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A91BC" w14:textId="7E7012FB" w:rsidR="004542AA" w:rsidRPr="00CE2218" w:rsidRDefault="00D00DFD" w:rsidP="004542AA">
      <w:pPr>
        <w:autoSpaceDE w:val="0"/>
        <w:autoSpaceDN w:val="0"/>
        <w:adjustRightInd w:val="0"/>
        <w:jc w:val="right"/>
        <w:rPr>
          <w:rFonts w:eastAsia="TimesNewRoman"/>
          <w:b/>
          <w:bCs/>
          <w:color w:val="000000"/>
          <w:sz w:val="22"/>
          <w:szCs w:val="22"/>
        </w:rPr>
      </w:pPr>
      <w:bookmarkStart w:id="0" w:name="_GoBack"/>
      <w:bookmarkEnd w:id="0"/>
      <w:r w:rsidRPr="00CE2218">
        <w:rPr>
          <w:rFonts w:eastAsia="TimesNewRoman"/>
          <w:b/>
          <w:bCs/>
          <w:color w:val="000000"/>
          <w:sz w:val="22"/>
          <w:szCs w:val="22"/>
        </w:rPr>
        <w:t xml:space="preserve">DA </w:t>
      </w:r>
      <w:r w:rsidR="000805CB">
        <w:rPr>
          <w:rFonts w:eastAsia="TimesNewRoman"/>
          <w:b/>
          <w:bCs/>
          <w:color w:val="000000"/>
          <w:sz w:val="22"/>
          <w:szCs w:val="22"/>
        </w:rPr>
        <w:t>16-</w:t>
      </w:r>
      <w:r w:rsidR="0050058D">
        <w:rPr>
          <w:rFonts w:eastAsia="TimesNewRoman"/>
          <w:b/>
          <w:bCs/>
          <w:color w:val="000000"/>
          <w:sz w:val="22"/>
          <w:szCs w:val="22"/>
        </w:rPr>
        <w:t>1094</w:t>
      </w:r>
    </w:p>
    <w:p w14:paraId="5E459949" w14:textId="77777777" w:rsidR="004542AA" w:rsidRPr="00CE2218" w:rsidRDefault="004542AA" w:rsidP="00CC2449">
      <w:pPr>
        <w:autoSpaceDE w:val="0"/>
        <w:autoSpaceDN w:val="0"/>
        <w:adjustRightInd w:val="0"/>
        <w:jc w:val="center"/>
        <w:rPr>
          <w:rFonts w:eastAsia="TimesNewRoman"/>
          <w:b/>
          <w:bCs/>
          <w:color w:val="000000"/>
          <w:sz w:val="22"/>
          <w:szCs w:val="22"/>
        </w:rPr>
      </w:pPr>
    </w:p>
    <w:p w14:paraId="5416091D" w14:textId="77777777" w:rsidR="0002026F" w:rsidRPr="0002026F" w:rsidRDefault="0002026F" w:rsidP="0002026F">
      <w:pPr>
        <w:widowControl w:val="0"/>
        <w:spacing w:after="120"/>
        <w:jc w:val="center"/>
        <w:rPr>
          <w:snapToGrid w:val="0"/>
          <w:kern w:val="28"/>
          <w:sz w:val="36"/>
          <w:szCs w:val="36"/>
        </w:rPr>
      </w:pPr>
      <w:r w:rsidRPr="0002026F">
        <w:rPr>
          <w:snapToGrid w:val="0"/>
          <w:kern w:val="28"/>
          <w:sz w:val="36"/>
          <w:szCs w:val="36"/>
        </w:rPr>
        <w:t>Small Entity Compliance Guide</w:t>
      </w:r>
    </w:p>
    <w:p w14:paraId="09075614" w14:textId="77777777" w:rsidR="00FA5E6E" w:rsidRPr="00CE2218" w:rsidRDefault="00FA5E6E" w:rsidP="00CC2449">
      <w:pPr>
        <w:autoSpaceDE w:val="0"/>
        <w:autoSpaceDN w:val="0"/>
        <w:adjustRightInd w:val="0"/>
        <w:jc w:val="center"/>
        <w:rPr>
          <w:rFonts w:eastAsia="TimesNewRoman"/>
          <w:b/>
          <w:bCs/>
          <w:color w:val="000000"/>
          <w:sz w:val="22"/>
          <w:szCs w:val="22"/>
        </w:rPr>
      </w:pPr>
    </w:p>
    <w:p w14:paraId="797DFD53" w14:textId="5F719B0F" w:rsidR="00CC2449" w:rsidRPr="0002026F" w:rsidRDefault="000805CB" w:rsidP="00D00DFD">
      <w:pPr>
        <w:autoSpaceDE w:val="0"/>
        <w:autoSpaceDN w:val="0"/>
        <w:adjustRightInd w:val="0"/>
        <w:jc w:val="center"/>
        <w:rPr>
          <w:rFonts w:eastAsia="TimesNewRoman"/>
          <w:b/>
          <w:bCs/>
          <w:color w:val="000000"/>
          <w:sz w:val="28"/>
          <w:szCs w:val="28"/>
        </w:rPr>
      </w:pPr>
      <w:r>
        <w:rPr>
          <w:rFonts w:eastAsia="TimesNewRoman"/>
          <w:b/>
          <w:bCs/>
          <w:color w:val="000000"/>
          <w:sz w:val="28"/>
          <w:szCs w:val="28"/>
        </w:rPr>
        <w:t xml:space="preserve">Supplemental </w:t>
      </w:r>
      <w:r w:rsidR="00D00DFD" w:rsidRPr="0002026F">
        <w:rPr>
          <w:rFonts w:eastAsia="TimesNewRoman"/>
          <w:b/>
          <w:bCs/>
          <w:color w:val="000000"/>
          <w:sz w:val="28"/>
          <w:szCs w:val="28"/>
        </w:rPr>
        <w:t>Rate-of-Return</w:t>
      </w:r>
      <w:r w:rsidR="00FA5E6E" w:rsidRPr="0002026F">
        <w:rPr>
          <w:rFonts w:eastAsia="TimesNewRoman"/>
          <w:b/>
          <w:bCs/>
          <w:color w:val="000000"/>
          <w:sz w:val="28"/>
          <w:szCs w:val="28"/>
        </w:rPr>
        <w:t xml:space="preserve"> Carrier </w:t>
      </w:r>
      <w:r w:rsidR="000A326A" w:rsidRPr="0002026F">
        <w:rPr>
          <w:rFonts w:eastAsia="TimesNewRoman"/>
          <w:b/>
          <w:bCs/>
          <w:color w:val="000000"/>
          <w:sz w:val="28"/>
          <w:szCs w:val="28"/>
        </w:rPr>
        <w:t xml:space="preserve">Requirements for </w:t>
      </w:r>
      <w:r w:rsidR="00FA5E6E" w:rsidRPr="0002026F">
        <w:rPr>
          <w:rFonts w:eastAsia="TimesNewRoman"/>
          <w:b/>
          <w:bCs/>
          <w:color w:val="000000"/>
          <w:sz w:val="28"/>
          <w:szCs w:val="28"/>
        </w:rPr>
        <w:t xml:space="preserve">Recipients of </w:t>
      </w:r>
      <w:r w:rsidR="00D00DFD" w:rsidRPr="0002026F">
        <w:rPr>
          <w:rFonts w:eastAsia="TimesNewRoman"/>
          <w:b/>
          <w:bCs/>
          <w:color w:val="000000"/>
          <w:sz w:val="28"/>
          <w:szCs w:val="28"/>
        </w:rPr>
        <w:t xml:space="preserve">High-Cost </w:t>
      </w:r>
      <w:r w:rsidR="00FA5E6E" w:rsidRPr="0002026F">
        <w:rPr>
          <w:rFonts w:eastAsia="TimesNewRoman"/>
          <w:b/>
          <w:bCs/>
          <w:color w:val="000000"/>
          <w:sz w:val="28"/>
          <w:szCs w:val="28"/>
        </w:rPr>
        <w:t>Universal Service Support</w:t>
      </w:r>
    </w:p>
    <w:p w14:paraId="716C64F7" w14:textId="77777777" w:rsidR="000A326A" w:rsidRPr="00CE2218" w:rsidRDefault="000A326A" w:rsidP="00CC2449">
      <w:pPr>
        <w:autoSpaceDE w:val="0"/>
        <w:autoSpaceDN w:val="0"/>
        <w:adjustRightInd w:val="0"/>
        <w:jc w:val="center"/>
        <w:rPr>
          <w:rFonts w:eastAsia="TimesNewRoman"/>
          <w:b/>
          <w:bCs/>
          <w:color w:val="000000"/>
          <w:sz w:val="22"/>
          <w:szCs w:val="22"/>
        </w:rPr>
      </w:pPr>
    </w:p>
    <w:p w14:paraId="666A55D5" w14:textId="77777777" w:rsidR="00E9333D" w:rsidRPr="00CE2218" w:rsidRDefault="00615FBE" w:rsidP="005D5568">
      <w:pPr>
        <w:autoSpaceDE w:val="0"/>
        <w:autoSpaceDN w:val="0"/>
        <w:adjustRightInd w:val="0"/>
        <w:jc w:val="center"/>
        <w:rPr>
          <w:rFonts w:eastAsia="TimesNewRoman"/>
          <w:color w:val="000000"/>
          <w:sz w:val="22"/>
          <w:szCs w:val="22"/>
        </w:rPr>
      </w:pPr>
      <w:r>
        <w:rPr>
          <w:rFonts w:eastAsia="TimesNewRoman"/>
          <w:color w:val="000000"/>
          <w:sz w:val="22"/>
          <w:szCs w:val="22"/>
        </w:rPr>
        <w:t>FCC 16-33</w:t>
      </w:r>
    </w:p>
    <w:p w14:paraId="186BC132" w14:textId="68E8DD53" w:rsidR="005D5568" w:rsidRPr="00CE2218" w:rsidRDefault="005D5568" w:rsidP="005D5568">
      <w:pPr>
        <w:autoSpaceDE w:val="0"/>
        <w:autoSpaceDN w:val="0"/>
        <w:adjustRightInd w:val="0"/>
        <w:jc w:val="center"/>
        <w:rPr>
          <w:rFonts w:eastAsia="TimesNewRoman"/>
          <w:color w:val="000000"/>
          <w:sz w:val="22"/>
          <w:szCs w:val="22"/>
        </w:rPr>
      </w:pPr>
      <w:r w:rsidRPr="00CE2218">
        <w:rPr>
          <w:rFonts w:eastAsia="TimesNewRoman"/>
          <w:color w:val="000000"/>
          <w:sz w:val="22"/>
          <w:szCs w:val="22"/>
        </w:rPr>
        <w:t>WC Docket No</w:t>
      </w:r>
      <w:r w:rsidR="0038095B" w:rsidRPr="00CE2218">
        <w:rPr>
          <w:rFonts w:eastAsia="TimesNewRoman"/>
          <w:color w:val="000000"/>
          <w:sz w:val="22"/>
          <w:szCs w:val="22"/>
        </w:rPr>
        <w:t>s</w:t>
      </w:r>
      <w:r w:rsidRPr="00CE2218">
        <w:rPr>
          <w:rFonts w:eastAsia="TimesNewRoman"/>
          <w:color w:val="000000"/>
          <w:sz w:val="22"/>
          <w:szCs w:val="22"/>
        </w:rPr>
        <w:t xml:space="preserve">. 10-90 </w:t>
      </w:r>
      <w:r w:rsidR="00615FBE">
        <w:rPr>
          <w:rFonts w:eastAsia="TimesNewRoman"/>
          <w:color w:val="000000"/>
          <w:sz w:val="22"/>
          <w:szCs w:val="22"/>
        </w:rPr>
        <w:t>and 14-58</w:t>
      </w:r>
      <w:r w:rsidR="000B1CAA" w:rsidRPr="00CE2218">
        <w:rPr>
          <w:rFonts w:eastAsia="TimesNewRoman"/>
          <w:color w:val="000000"/>
          <w:sz w:val="22"/>
          <w:szCs w:val="22"/>
        </w:rPr>
        <w:br/>
      </w:r>
      <w:r w:rsidR="00606DDE" w:rsidRPr="00CE2218">
        <w:rPr>
          <w:rFonts w:eastAsia="TimesNewRoman"/>
          <w:color w:val="000000"/>
          <w:sz w:val="22"/>
          <w:szCs w:val="22"/>
        </w:rPr>
        <w:t xml:space="preserve">CC Docket No. </w:t>
      </w:r>
      <w:r w:rsidR="004C1455" w:rsidRPr="00CE2218">
        <w:rPr>
          <w:rFonts w:eastAsia="TimesNewRoman"/>
          <w:color w:val="000000"/>
          <w:sz w:val="22"/>
          <w:szCs w:val="22"/>
        </w:rPr>
        <w:t>01-92</w:t>
      </w:r>
    </w:p>
    <w:p w14:paraId="78DF5575" w14:textId="77777777" w:rsidR="00E73CD0" w:rsidRPr="00CE2218" w:rsidRDefault="00FA5E6E" w:rsidP="005D5568">
      <w:pPr>
        <w:autoSpaceDE w:val="0"/>
        <w:autoSpaceDN w:val="0"/>
        <w:adjustRightInd w:val="0"/>
        <w:jc w:val="center"/>
        <w:rPr>
          <w:rFonts w:eastAsia="TimesNewRoman"/>
          <w:color w:val="000000"/>
          <w:sz w:val="22"/>
          <w:szCs w:val="22"/>
        </w:rPr>
      </w:pPr>
      <w:r w:rsidRPr="00CE2218">
        <w:rPr>
          <w:rFonts w:eastAsia="TimesNewRoman"/>
          <w:color w:val="000000"/>
          <w:sz w:val="22"/>
          <w:szCs w:val="22"/>
        </w:rPr>
        <w:t xml:space="preserve">Released: </w:t>
      </w:r>
      <w:r w:rsidR="00615FBE">
        <w:rPr>
          <w:rFonts w:eastAsia="TimesNewRoman"/>
          <w:color w:val="000000"/>
          <w:sz w:val="22"/>
          <w:szCs w:val="22"/>
        </w:rPr>
        <w:t>March 30,</w:t>
      </w:r>
      <w:r w:rsidRPr="00CE2218">
        <w:rPr>
          <w:rFonts w:eastAsia="TimesNewRoman"/>
          <w:color w:val="000000"/>
          <w:sz w:val="22"/>
          <w:szCs w:val="22"/>
        </w:rPr>
        <w:t xml:space="preserve"> 201</w:t>
      </w:r>
      <w:r w:rsidR="00615FBE">
        <w:rPr>
          <w:rFonts w:eastAsia="TimesNewRoman"/>
          <w:color w:val="000000"/>
          <w:sz w:val="22"/>
          <w:szCs w:val="22"/>
        </w:rPr>
        <w:t>6</w:t>
      </w:r>
    </w:p>
    <w:p w14:paraId="2ADE4F7C" w14:textId="77777777" w:rsidR="00FA5E6E" w:rsidRPr="00CE2218" w:rsidRDefault="00FA5E6E" w:rsidP="00615FBE">
      <w:pPr>
        <w:autoSpaceDE w:val="0"/>
        <w:autoSpaceDN w:val="0"/>
        <w:adjustRightInd w:val="0"/>
        <w:rPr>
          <w:rFonts w:eastAsia="TimesNewRoman"/>
          <w:color w:val="000000"/>
          <w:sz w:val="22"/>
          <w:szCs w:val="22"/>
        </w:rPr>
      </w:pPr>
    </w:p>
    <w:p w14:paraId="2D9C03C4" w14:textId="77777777" w:rsidR="00555CB2" w:rsidRDefault="00342953" w:rsidP="00CC2449">
      <w:pPr>
        <w:autoSpaceDE w:val="0"/>
        <w:autoSpaceDN w:val="0"/>
        <w:adjustRightInd w:val="0"/>
        <w:jc w:val="center"/>
        <w:rPr>
          <w:rFonts w:eastAsia="TimesNewRoman"/>
          <w:color w:val="000000"/>
          <w:sz w:val="22"/>
          <w:szCs w:val="22"/>
        </w:rPr>
      </w:pPr>
      <w:r w:rsidRPr="00CE2218">
        <w:rPr>
          <w:rFonts w:eastAsia="TimesNewRoman"/>
          <w:color w:val="000000"/>
          <w:sz w:val="22"/>
          <w:szCs w:val="22"/>
        </w:rPr>
        <w:t xml:space="preserve">47 </w:t>
      </w:r>
      <w:r w:rsidR="003F3E8A" w:rsidRPr="00CE2218">
        <w:rPr>
          <w:rFonts w:eastAsia="TimesNewRoman"/>
          <w:color w:val="000000"/>
          <w:sz w:val="22"/>
          <w:szCs w:val="22"/>
        </w:rPr>
        <w:t>C.F.R.</w:t>
      </w:r>
      <w:r w:rsidRPr="00CE2218">
        <w:rPr>
          <w:rFonts w:eastAsia="TimesNewRoman"/>
          <w:color w:val="000000"/>
          <w:sz w:val="22"/>
          <w:szCs w:val="22"/>
        </w:rPr>
        <w:t xml:space="preserve"> </w:t>
      </w:r>
      <w:r w:rsidR="004D5543" w:rsidRPr="00CE2218">
        <w:rPr>
          <w:rFonts w:eastAsia="TimesNewRoman"/>
          <w:color w:val="000000"/>
          <w:sz w:val="22"/>
          <w:szCs w:val="22"/>
        </w:rPr>
        <w:t>§</w:t>
      </w:r>
      <w:r w:rsidRPr="00CE2218">
        <w:rPr>
          <w:rFonts w:eastAsia="TimesNewRoman"/>
          <w:color w:val="000000"/>
          <w:sz w:val="22"/>
          <w:szCs w:val="22"/>
        </w:rPr>
        <w:t>§</w:t>
      </w:r>
      <w:r w:rsidR="004D5543" w:rsidRPr="00CE2218">
        <w:rPr>
          <w:rFonts w:eastAsia="TimesNewRoman"/>
          <w:color w:val="000000"/>
          <w:sz w:val="22"/>
          <w:szCs w:val="22"/>
        </w:rPr>
        <w:t xml:space="preserve"> </w:t>
      </w:r>
      <w:r w:rsidR="00076B13">
        <w:rPr>
          <w:rFonts w:eastAsia="TimesNewRoman"/>
          <w:color w:val="000000"/>
          <w:sz w:val="22"/>
          <w:szCs w:val="22"/>
        </w:rPr>
        <w:t>51.917, 54.30</w:t>
      </w:r>
      <w:r w:rsidRPr="00CE2218">
        <w:rPr>
          <w:rFonts w:eastAsia="TimesNewRoman"/>
          <w:color w:val="000000"/>
          <w:sz w:val="22"/>
          <w:szCs w:val="22"/>
        </w:rPr>
        <w:t>3</w:t>
      </w:r>
      <w:r w:rsidR="004D5543" w:rsidRPr="00CE2218">
        <w:rPr>
          <w:rFonts w:eastAsia="TimesNewRoman"/>
          <w:color w:val="000000"/>
          <w:sz w:val="22"/>
          <w:szCs w:val="22"/>
        </w:rPr>
        <w:t>,</w:t>
      </w:r>
      <w:r w:rsidR="00E73CD0" w:rsidRPr="00CE2218">
        <w:rPr>
          <w:rFonts w:eastAsia="TimesNewRoman"/>
          <w:color w:val="000000"/>
          <w:sz w:val="22"/>
          <w:szCs w:val="22"/>
        </w:rPr>
        <w:t xml:space="preserve"> </w:t>
      </w:r>
      <w:r w:rsidR="00076B13">
        <w:rPr>
          <w:rFonts w:eastAsia="TimesNewRoman"/>
          <w:color w:val="000000"/>
          <w:sz w:val="22"/>
          <w:szCs w:val="22"/>
        </w:rPr>
        <w:t xml:space="preserve">54.308, 54.311, </w:t>
      </w:r>
      <w:r w:rsidR="00E73CD0" w:rsidRPr="00CE2218">
        <w:rPr>
          <w:rFonts w:eastAsia="TimesNewRoman"/>
          <w:color w:val="000000"/>
          <w:sz w:val="22"/>
          <w:szCs w:val="22"/>
        </w:rPr>
        <w:t>54.31</w:t>
      </w:r>
      <w:r w:rsidR="00076B13">
        <w:rPr>
          <w:rFonts w:eastAsia="TimesNewRoman"/>
          <w:color w:val="000000"/>
          <w:sz w:val="22"/>
          <w:szCs w:val="22"/>
        </w:rPr>
        <w:t>6</w:t>
      </w:r>
      <w:r w:rsidR="00E73CD0" w:rsidRPr="00CE2218">
        <w:rPr>
          <w:rFonts w:eastAsia="TimesNewRoman"/>
          <w:color w:val="000000"/>
          <w:sz w:val="22"/>
          <w:szCs w:val="22"/>
        </w:rPr>
        <w:t>,</w:t>
      </w:r>
      <w:r w:rsidR="004D5543" w:rsidRPr="00CE2218">
        <w:rPr>
          <w:rFonts w:eastAsia="TimesNewRoman"/>
          <w:color w:val="000000"/>
          <w:sz w:val="22"/>
          <w:szCs w:val="22"/>
        </w:rPr>
        <w:t xml:space="preserve"> </w:t>
      </w:r>
      <w:r w:rsidR="003F41B7" w:rsidRPr="00CE2218">
        <w:rPr>
          <w:rFonts w:eastAsia="TimesNewRoman"/>
          <w:color w:val="000000"/>
          <w:sz w:val="22"/>
          <w:szCs w:val="22"/>
        </w:rPr>
        <w:t xml:space="preserve">54.320, </w:t>
      </w:r>
      <w:r w:rsidR="004D5543" w:rsidRPr="00CE2218">
        <w:rPr>
          <w:rFonts w:eastAsia="TimesNewRoman"/>
          <w:color w:val="000000"/>
          <w:sz w:val="22"/>
          <w:szCs w:val="22"/>
        </w:rPr>
        <w:t>54.</w:t>
      </w:r>
      <w:r w:rsidR="00076B13">
        <w:rPr>
          <w:rFonts w:eastAsia="TimesNewRoman"/>
          <w:color w:val="000000"/>
          <w:sz w:val="22"/>
          <w:szCs w:val="22"/>
        </w:rPr>
        <w:t>903</w:t>
      </w:r>
      <w:r w:rsidR="00555CB2">
        <w:rPr>
          <w:rFonts w:eastAsia="TimesNewRoman"/>
          <w:color w:val="000000"/>
          <w:sz w:val="22"/>
          <w:szCs w:val="22"/>
        </w:rPr>
        <w:t>,</w:t>
      </w:r>
    </w:p>
    <w:p w14:paraId="55494720" w14:textId="77777777" w:rsidR="00CC2449" w:rsidRPr="00CE2218" w:rsidRDefault="00555CB2" w:rsidP="00CC2449">
      <w:pPr>
        <w:autoSpaceDE w:val="0"/>
        <w:autoSpaceDN w:val="0"/>
        <w:adjustRightInd w:val="0"/>
        <w:jc w:val="center"/>
        <w:rPr>
          <w:rFonts w:eastAsia="TimesNewRoman"/>
          <w:color w:val="000000"/>
          <w:sz w:val="22"/>
          <w:szCs w:val="22"/>
        </w:rPr>
      </w:pPr>
      <w:r>
        <w:rPr>
          <w:rFonts w:eastAsia="TimesNewRoman"/>
          <w:color w:val="000000"/>
          <w:sz w:val="22"/>
          <w:szCs w:val="22"/>
        </w:rPr>
        <w:t>69.104, 69.115, 69.130, 69.132, 69.311, 69.416</w:t>
      </w:r>
    </w:p>
    <w:p w14:paraId="773A770E" w14:textId="77777777" w:rsidR="00CC2449" w:rsidRPr="00CE2218" w:rsidRDefault="00CC2449" w:rsidP="00CC2449">
      <w:pPr>
        <w:autoSpaceDE w:val="0"/>
        <w:autoSpaceDN w:val="0"/>
        <w:adjustRightInd w:val="0"/>
        <w:rPr>
          <w:rFonts w:eastAsia="TimesNewRoman"/>
          <w:b/>
          <w:bCs/>
          <w:color w:val="000000"/>
          <w:sz w:val="22"/>
          <w:szCs w:val="22"/>
        </w:rPr>
      </w:pPr>
    </w:p>
    <w:p w14:paraId="18F64B86" w14:textId="5265873F" w:rsidR="00CC2449" w:rsidRPr="00A41870" w:rsidRDefault="00CC2449" w:rsidP="004542AA">
      <w:pPr>
        <w:autoSpaceDE w:val="0"/>
        <w:autoSpaceDN w:val="0"/>
        <w:adjustRightInd w:val="0"/>
        <w:jc w:val="both"/>
        <w:rPr>
          <w:rFonts w:eastAsia="TimesNewRoman"/>
          <w:bCs/>
          <w:color w:val="000000"/>
          <w:sz w:val="22"/>
          <w:szCs w:val="22"/>
        </w:rPr>
      </w:pPr>
      <w:r w:rsidRPr="00A41870">
        <w:rPr>
          <w:rFonts w:eastAsia="TimesNewRoman"/>
          <w:bCs/>
          <w:color w:val="000000"/>
          <w:sz w:val="22"/>
          <w:szCs w:val="22"/>
        </w:rPr>
        <w:t xml:space="preserve">This Guide is prepared in accordance with the requirements of Section 212 of the Small Business Regulatory Enforcement Fairness Act of 1996. </w:t>
      </w:r>
      <w:r w:rsidR="00980FB4" w:rsidRPr="00A41870">
        <w:rPr>
          <w:rFonts w:eastAsia="TimesNewRoman"/>
          <w:bCs/>
          <w:color w:val="000000"/>
          <w:sz w:val="22"/>
          <w:szCs w:val="22"/>
        </w:rPr>
        <w:t xml:space="preserve"> </w:t>
      </w:r>
      <w:r w:rsidRPr="00A41870">
        <w:rPr>
          <w:rFonts w:eastAsia="TimesNewRoman"/>
          <w:bCs/>
          <w:color w:val="000000"/>
          <w:sz w:val="22"/>
          <w:szCs w:val="22"/>
        </w:rPr>
        <w:t xml:space="preserve">It is </w:t>
      </w:r>
      <w:r w:rsidR="00520FA7" w:rsidRPr="00A41870">
        <w:rPr>
          <w:rFonts w:eastAsia="TimesNewRoman"/>
          <w:bCs/>
          <w:color w:val="000000"/>
          <w:sz w:val="22"/>
          <w:szCs w:val="22"/>
        </w:rPr>
        <w:t>intended to help small entities</w:t>
      </w:r>
      <w:r w:rsidR="004542AA" w:rsidRPr="00A41870">
        <w:rPr>
          <w:sz w:val="22"/>
          <w:szCs w:val="22"/>
        </w:rPr>
        <w:t>—</w:t>
      </w:r>
      <w:r w:rsidRPr="00A41870">
        <w:rPr>
          <w:rFonts w:eastAsia="TimesNewRoman"/>
          <w:bCs/>
          <w:color w:val="000000"/>
          <w:sz w:val="22"/>
          <w:szCs w:val="22"/>
        </w:rPr>
        <w:t>small businesses, small organizations (non-profits), and small governmental jurisdictions</w:t>
      </w:r>
      <w:r w:rsidR="004542AA" w:rsidRPr="00A41870">
        <w:rPr>
          <w:sz w:val="22"/>
          <w:szCs w:val="22"/>
        </w:rPr>
        <w:t>—</w:t>
      </w:r>
      <w:r w:rsidRPr="00A41870">
        <w:rPr>
          <w:rFonts w:eastAsia="TimesNewRoman"/>
          <w:bCs/>
          <w:color w:val="000000"/>
          <w:sz w:val="22"/>
          <w:szCs w:val="22"/>
        </w:rPr>
        <w:t xml:space="preserve">comply with the revised rules adopted in the above referenced </w:t>
      </w:r>
      <w:r w:rsidR="009F711D" w:rsidRPr="00A41870">
        <w:rPr>
          <w:rFonts w:eastAsia="TimesNewRoman"/>
          <w:bCs/>
          <w:color w:val="000000"/>
          <w:sz w:val="22"/>
          <w:szCs w:val="22"/>
        </w:rPr>
        <w:t>Federal Communications Commission (</w:t>
      </w:r>
      <w:r w:rsidRPr="00A41870">
        <w:rPr>
          <w:rFonts w:eastAsia="TimesNewRoman"/>
          <w:bCs/>
          <w:color w:val="000000"/>
          <w:sz w:val="22"/>
          <w:szCs w:val="22"/>
        </w:rPr>
        <w:t xml:space="preserve">FCC </w:t>
      </w:r>
      <w:r w:rsidR="009F711D" w:rsidRPr="00A41870">
        <w:rPr>
          <w:rFonts w:eastAsia="TimesNewRoman"/>
          <w:bCs/>
          <w:color w:val="000000"/>
          <w:sz w:val="22"/>
          <w:szCs w:val="22"/>
        </w:rPr>
        <w:t xml:space="preserve">or Commission) </w:t>
      </w:r>
      <w:r w:rsidRPr="00A41870">
        <w:rPr>
          <w:rFonts w:eastAsia="TimesNewRoman"/>
          <w:bCs/>
          <w:color w:val="000000"/>
          <w:sz w:val="22"/>
          <w:szCs w:val="22"/>
        </w:rPr>
        <w:t xml:space="preserve">rulemaking docket(s). </w:t>
      </w:r>
      <w:r w:rsidR="00980FB4" w:rsidRPr="00A41870">
        <w:rPr>
          <w:rFonts w:eastAsia="TimesNewRoman"/>
          <w:bCs/>
          <w:color w:val="000000"/>
          <w:sz w:val="22"/>
          <w:szCs w:val="22"/>
        </w:rPr>
        <w:t xml:space="preserve"> </w:t>
      </w:r>
      <w:r w:rsidRPr="00A41870">
        <w:rPr>
          <w:rFonts w:eastAsia="TimesNewRoman"/>
          <w:bCs/>
          <w:color w:val="000000"/>
          <w:sz w:val="22"/>
          <w:szCs w:val="22"/>
        </w:rPr>
        <w:t>This Guide is not intended to replace the rules</w:t>
      </w:r>
      <w:r w:rsidR="00980FB4" w:rsidRPr="00A41870">
        <w:rPr>
          <w:rFonts w:eastAsia="TimesNewRoman"/>
          <w:bCs/>
          <w:color w:val="000000"/>
          <w:sz w:val="22"/>
          <w:szCs w:val="22"/>
        </w:rPr>
        <w:t xml:space="preserve">.  The Guide is intended to facilitate compliance with the rules, not to supersede the rules.  </w:t>
      </w:r>
      <w:r w:rsidRPr="00A41870">
        <w:rPr>
          <w:rFonts w:eastAsia="TimesNewRoman"/>
          <w:bCs/>
          <w:color w:val="000000"/>
          <w:sz w:val="22"/>
          <w:szCs w:val="22"/>
        </w:rPr>
        <w:t xml:space="preserve">Although we have attempted to cover all parts of the rules that might be especially important to small entities, the coverage may not be exhaustive. </w:t>
      </w:r>
      <w:r w:rsidR="00980FB4" w:rsidRPr="00A41870">
        <w:rPr>
          <w:rFonts w:eastAsia="TimesNewRoman"/>
          <w:bCs/>
          <w:color w:val="000000"/>
          <w:sz w:val="22"/>
          <w:szCs w:val="22"/>
        </w:rPr>
        <w:t xml:space="preserve"> </w:t>
      </w:r>
      <w:r w:rsidRPr="00A41870">
        <w:rPr>
          <w:rFonts w:eastAsia="TimesNewRoman"/>
          <w:bCs/>
          <w:color w:val="000000"/>
          <w:sz w:val="22"/>
          <w:szCs w:val="22"/>
        </w:rPr>
        <w:t xml:space="preserve">This Guide </w:t>
      </w:r>
      <w:r w:rsidR="009F711D" w:rsidRPr="00A41870">
        <w:rPr>
          <w:rFonts w:eastAsia="TimesNewRoman"/>
          <w:bCs/>
          <w:color w:val="000000"/>
          <w:sz w:val="22"/>
          <w:szCs w:val="22"/>
        </w:rPr>
        <w:t xml:space="preserve">cannot anticipate all situations in which the rules apply.  Furthermore, </w:t>
      </w:r>
      <w:r w:rsidRPr="00A41870">
        <w:rPr>
          <w:rFonts w:eastAsia="TimesNewRoman"/>
          <w:bCs/>
          <w:color w:val="000000"/>
          <w:sz w:val="22"/>
          <w:szCs w:val="22"/>
        </w:rPr>
        <w:t xml:space="preserve">the </w:t>
      </w:r>
      <w:r w:rsidR="009F711D" w:rsidRPr="00A41870">
        <w:rPr>
          <w:rFonts w:eastAsia="TimesNewRoman"/>
          <w:bCs/>
          <w:color w:val="000000"/>
          <w:sz w:val="22"/>
          <w:szCs w:val="22"/>
        </w:rPr>
        <w:t xml:space="preserve">Commission </w:t>
      </w:r>
      <w:r w:rsidRPr="00A41870">
        <w:rPr>
          <w:rFonts w:eastAsia="TimesNewRoman"/>
          <w:bCs/>
          <w:color w:val="000000"/>
          <w:sz w:val="22"/>
          <w:szCs w:val="22"/>
        </w:rPr>
        <w:t>retains the discretion to adopt approaches on a case-by-case basis that may differ from this Guide, where appropriate. A</w:t>
      </w:r>
      <w:r w:rsidR="009F711D" w:rsidRPr="00A41870">
        <w:rPr>
          <w:rFonts w:eastAsia="TimesNewRoman"/>
          <w:bCs/>
          <w:color w:val="000000"/>
          <w:sz w:val="22"/>
          <w:szCs w:val="22"/>
        </w:rPr>
        <w:t>ll</w:t>
      </w:r>
      <w:r w:rsidRPr="00A41870">
        <w:rPr>
          <w:rFonts w:eastAsia="TimesNewRoman"/>
          <w:bCs/>
          <w:color w:val="000000"/>
          <w:sz w:val="22"/>
          <w:szCs w:val="22"/>
        </w:rPr>
        <w:t xml:space="preserve"> decisions regarding a particular small entity will be based on the statute and </w:t>
      </w:r>
      <w:r w:rsidR="009F711D" w:rsidRPr="00A41870">
        <w:rPr>
          <w:rFonts w:eastAsia="TimesNewRoman"/>
          <w:bCs/>
          <w:color w:val="000000"/>
          <w:sz w:val="22"/>
          <w:szCs w:val="22"/>
        </w:rPr>
        <w:t xml:space="preserve">relevant rules. </w:t>
      </w:r>
    </w:p>
    <w:p w14:paraId="3BBC1BD6" w14:textId="77777777" w:rsidR="00CC2449" w:rsidRPr="00A41870" w:rsidRDefault="00CC2449" w:rsidP="004542AA">
      <w:pPr>
        <w:autoSpaceDE w:val="0"/>
        <w:autoSpaceDN w:val="0"/>
        <w:adjustRightInd w:val="0"/>
        <w:jc w:val="both"/>
        <w:rPr>
          <w:rFonts w:eastAsia="TimesNewRoman"/>
          <w:bCs/>
          <w:color w:val="000000"/>
          <w:sz w:val="22"/>
          <w:szCs w:val="22"/>
        </w:rPr>
      </w:pPr>
    </w:p>
    <w:p w14:paraId="3A84B783" w14:textId="0A76FD08" w:rsidR="00CC2449" w:rsidRPr="00A41870" w:rsidRDefault="00CC2449" w:rsidP="004542AA">
      <w:pPr>
        <w:autoSpaceDE w:val="0"/>
        <w:autoSpaceDN w:val="0"/>
        <w:adjustRightInd w:val="0"/>
        <w:jc w:val="both"/>
        <w:rPr>
          <w:rFonts w:eastAsia="TimesNewRoman"/>
          <w:bCs/>
          <w:color w:val="000000"/>
          <w:sz w:val="22"/>
          <w:szCs w:val="22"/>
        </w:rPr>
      </w:pPr>
      <w:r w:rsidRPr="00A41870">
        <w:rPr>
          <w:rFonts w:eastAsia="TimesNewRoman"/>
          <w:bCs/>
          <w:color w:val="000000"/>
          <w:sz w:val="22"/>
          <w:szCs w:val="22"/>
        </w:rPr>
        <w:t>In any civil or administrative action against a small entity for a violation of rules,</w:t>
      </w:r>
      <w:r w:rsidR="001A7743" w:rsidRPr="00A41870">
        <w:rPr>
          <w:rFonts w:eastAsia="TimesNewRoman"/>
          <w:bCs/>
          <w:color w:val="000000"/>
          <w:sz w:val="22"/>
          <w:szCs w:val="22"/>
        </w:rPr>
        <w:t xml:space="preserve"> </w:t>
      </w:r>
      <w:r w:rsidRPr="00A41870">
        <w:rPr>
          <w:rFonts w:eastAsia="TimesNewRoman"/>
          <w:bCs/>
          <w:color w:val="000000"/>
          <w:sz w:val="22"/>
          <w:szCs w:val="22"/>
        </w:rPr>
        <w:t>the content of the Small Entity Compliance Guide may be considered as evidence of</w:t>
      </w:r>
      <w:r w:rsidR="001A7743" w:rsidRPr="00A41870">
        <w:rPr>
          <w:rFonts w:eastAsia="TimesNewRoman"/>
          <w:bCs/>
          <w:color w:val="000000"/>
          <w:sz w:val="22"/>
          <w:szCs w:val="22"/>
        </w:rPr>
        <w:t xml:space="preserve"> </w:t>
      </w:r>
      <w:r w:rsidRPr="00A41870">
        <w:rPr>
          <w:rFonts w:eastAsia="TimesNewRoman"/>
          <w:bCs/>
          <w:color w:val="000000"/>
          <w:sz w:val="22"/>
          <w:szCs w:val="22"/>
        </w:rPr>
        <w:t>the reasonableness or appropriatene</w:t>
      </w:r>
      <w:r w:rsidR="00051E99" w:rsidRPr="00A41870">
        <w:rPr>
          <w:rFonts w:eastAsia="TimesNewRoman"/>
          <w:bCs/>
          <w:color w:val="000000"/>
          <w:sz w:val="22"/>
          <w:szCs w:val="22"/>
        </w:rPr>
        <w:t>ss of proposed fines, penalties</w:t>
      </w:r>
      <w:r w:rsidRPr="00A41870">
        <w:rPr>
          <w:rFonts w:eastAsia="TimesNewRoman"/>
          <w:bCs/>
          <w:color w:val="000000"/>
          <w:sz w:val="22"/>
          <w:szCs w:val="22"/>
        </w:rPr>
        <w:t>, or damages.</w:t>
      </w:r>
      <w:r w:rsidR="001A7743" w:rsidRPr="00A41870">
        <w:rPr>
          <w:rFonts w:eastAsia="TimesNewRoman"/>
          <w:bCs/>
          <w:color w:val="000000"/>
          <w:sz w:val="22"/>
          <w:szCs w:val="22"/>
        </w:rPr>
        <w:t xml:space="preserve"> </w:t>
      </w:r>
      <w:r w:rsidR="009F711D" w:rsidRPr="00A41870">
        <w:rPr>
          <w:rFonts w:eastAsia="TimesNewRoman"/>
          <w:bCs/>
          <w:color w:val="000000"/>
          <w:sz w:val="22"/>
          <w:szCs w:val="22"/>
        </w:rPr>
        <w:t xml:space="preserve"> </w:t>
      </w:r>
      <w:r w:rsidRPr="00A41870">
        <w:rPr>
          <w:rFonts w:eastAsia="TimesNewRoman"/>
          <w:bCs/>
          <w:color w:val="000000"/>
          <w:sz w:val="22"/>
          <w:szCs w:val="22"/>
        </w:rPr>
        <w:t>Interested parties are free to file comments regarding this Guide and the</w:t>
      </w:r>
      <w:r w:rsidR="001A7743" w:rsidRPr="00A41870">
        <w:rPr>
          <w:rFonts w:eastAsia="TimesNewRoman"/>
          <w:bCs/>
          <w:color w:val="000000"/>
          <w:sz w:val="22"/>
          <w:szCs w:val="22"/>
        </w:rPr>
        <w:t xml:space="preserve"> </w:t>
      </w:r>
      <w:r w:rsidRPr="00A41870">
        <w:rPr>
          <w:rFonts w:eastAsia="TimesNewRoman"/>
          <w:bCs/>
          <w:color w:val="000000"/>
          <w:sz w:val="22"/>
          <w:szCs w:val="22"/>
        </w:rPr>
        <w:t>appropriateness of its application to a particular situation; the FCC will consider</w:t>
      </w:r>
      <w:r w:rsidR="001A7743" w:rsidRPr="00A41870">
        <w:rPr>
          <w:rFonts w:eastAsia="TimesNewRoman"/>
          <w:bCs/>
          <w:color w:val="000000"/>
          <w:sz w:val="22"/>
          <w:szCs w:val="22"/>
        </w:rPr>
        <w:t xml:space="preserve"> </w:t>
      </w:r>
      <w:r w:rsidRPr="00A41870">
        <w:rPr>
          <w:rFonts w:eastAsia="TimesNewRoman"/>
          <w:bCs/>
          <w:color w:val="000000"/>
          <w:sz w:val="22"/>
          <w:szCs w:val="22"/>
        </w:rPr>
        <w:t>whether the recommendations or interpretations in the Guide are appropriate in</w:t>
      </w:r>
      <w:r w:rsidR="001A7743" w:rsidRPr="00A41870">
        <w:rPr>
          <w:rFonts w:eastAsia="TimesNewRoman"/>
          <w:bCs/>
          <w:color w:val="000000"/>
          <w:sz w:val="22"/>
          <w:szCs w:val="22"/>
        </w:rPr>
        <w:t xml:space="preserve"> </w:t>
      </w:r>
      <w:r w:rsidRPr="00A41870">
        <w:rPr>
          <w:rFonts w:eastAsia="TimesNewRoman"/>
          <w:bCs/>
          <w:color w:val="000000"/>
          <w:sz w:val="22"/>
          <w:szCs w:val="22"/>
        </w:rPr>
        <w:t>that situation. The FCC may decide to revise</w:t>
      </w:r>
      <w:r w:rsidR="001A7743" w:rsidRPr="00A41870">
        <w:rPr>
          <w:rFonts w:eastAsia="TimesNewRoman"/>
          <w:bCs/>
          <w:color w:val="000000"/>
          <w:sz w:val="22"/>
          <w:szCs w:val="22"/>
        </w:rPr>
        <w:t xml:space="preserve"> this Guide without public noti</w:t>
      </w:r>
      <w:r w:rsidRPr="00A41870">
        <w:rPr>
          <w:rFonts w:eastAsia="TimesNewRoman"/>
          <w:bCs/>
          <w:color w:val="000000"/>
          <w:sz w:val="22"/>
          <w:szCs w:val="22"/>
        </w:rPr>
        <w:t>ce to</w:t>
      </w:r>
      <w:r w:rsidR="001A7743" w:rsidRPr="00A41870">
        <w:rPr>
          <w:rFonts w:eastAsia="TimesNewRoman"/>
          <w:bCs/>
          <w:color w:val="000000"/>
          <w:sz w:val="22"/>
          <w:szCs w:val="22"/>
        </w:rPr>
        <w:t xml:space="preserve"> </w:t>
      </w:r>
      <w:r w:rsidRPr="00A41870">
        <w:rPr>
          <w:rFonts w:eastAsia="TimesNewRoman"/>
          <w:bCs/>
          <w:color w:val="000000"/>
          <w:sz w:val="22"/>
          <w:szCs w:val="22"/>
        </w:rPr>
        <w:t>reflect changes in the FCC’s approach to implementing a rule, or to clarify or</w:t>
      </w:r>
      <w:r w:rsidR="001A7743" w:rsidRPr="00A41870">
        <w:rPr>
          <w:rFonts w:eastAsia="TimesNewRoman"/>
          <w:bCs/>
          <w:color w:val="000000"/>
          <w:sz w:val="22"/>
          <w:szCs w:val="22"/>
        </w:rPr>
        <w:t xml:space="preserve"> </w:t>
      </w:r>
      <w:r w:rsidRPr="00A41870">
        <w:rPr>
          <w:rFonts w:eastAsia="TimesNewRoman"/>
          <w:bCs/>
          <w:color w:val="000000"/>
          <w:sz w:val="22"/>
          <w:szCs w:val="22"/>
        </w:rPr>
        <w:t xml:space="preserve">update the text of the Guide. </w:t>
      </w:r>
      <w:r w:rsidR="009F711D" w:rsidRPr="00A41870">
        <w:rPr>
          <w:rFonts w:eastAsia="TimesNewRoman"/>
          <w:bCs/>
          <w:color w:val="000000"/>
          <w:sz w:val="22"/>
          <w:szCs w:val="22"/>
        </w:rPr>
        <w:t xml:space="preserve"> </w:t>
      </w:r>
      <w:r w:rsidRPr="00A41870">
        <w:rPr>
          <w:rFonts w:eastAsia="TimesNewRoman"/>
          <w:bCs/>
          <w:color w:val="000000"/>
          <w:sz w:val="22"/>
          <w:szCs w:val="22"/>
        </w:rPr>
        <w:t>Direct your comments and recommendations, or calls</w:t>
      </w:r>
      <w:r w:rsidR="001A7743" w:rsidRPr="00A41870">
        <w:rPr>
          <w:rFonts w:eastAsia="TimesNewRoman"/>
          <w:bCs/>
          <w:color w:val="000000"/>
          <w:sz w:val="22"/>
          <w:szCs w:val="22"/>
        </w:rPr>
        <w:t xml:space="preserve"> </w:t>
      </w:r>
      <w:r w:rsidRPr="00A41870">
        <w:rPr>
          <w:rFonts w:eastAsia="TimesNewRoman"/>
          <w:bCs/>
          <w:color w:val="000000"/>
          <w:sz w:val="22"/>
          <w:szCs w:val="22"/>
        </w:rPr>
        <w:t>for further assistance, to the FCC’s Consumer Center:</w:t>
      </w:r>
    </w:p>
    <w:p w14:paraId="1080DD1B" w14:textId="77777777" w:rsidR="001A7743" w:rsidRPr="00B254F2" w:rsidRDefault="001A7743" w:rsidP="00CC2449">
      <w:pPr>
        <w:autoSpaceDE w:val="0"/>
        <w:autoSpaceDN w:val="0"/>
        <w:adjustRightInd w:val="0"/>
        <w:rPr>
          <w:rFonts w:eastAsia="TimesNewRoman"/>
          <w:b/>
          <w:bCs/>
          <w:color w:val="000000"/>
          <w:sz w:val="22"/>
          <w:szCs w:val="22"/>
        </w:rPr>
      </w:pPr>
    </w:p>
    <w:p w14:paraId="3AAF1758" w14:textId="77777777" w:rsidR="00CC2449" w:rsidRPr="00CE2218" w:rsidRDefault="00CC2449" w:rsidP="00342953">
      <w:pPr>
        <w:autoSpaceDE w:val="0"/>
        <w:autoSpaceDN w:val="0"/>
        <w:adjustRightInd w:val="0"/>
        <w:jc w:val="center"/>
        <w:rPr>
          <w:rFonts w:eastAsia="TimesNewRoman"/>
          <w:b/>
          <w:bCs/>
          <w:color w:val="000000"/>
          <w:sz w:val="22"/>
          <w:szCs w:val="22"/>
        </w:rPr>
      </w:pPr>
      <w:r w:rsidRPr="00CE2218">
        <w:rPr>
          <w:rFonts w:eastAsia="TimesNewRoman"/>
          <w:b/>
          <w:bCs/>
          <w:color w:val="000000"/>
          <w:sz w:val="22"/>
          <w:szCs w:val="22"/>
        </w:rPr>
        <w:t>1-888-CALL-FCC (1-888-225-5322)</w:t>
      </w:r>
    </w:p>
    <w:p w14:paraId="6A1F7032" w14:textId="77777777" w:rsidR="00CC2449" w:rsidRPr="00CE2218" w:rsidRDefault="00CC2449" w:rsidP="00342953">
      <w:pPr>
        <w:autoSpaceDE w:val="0"/>
        <w:autoSpaceDN w:val="0"/>
        <w:adjustRightInd w:val="0"/>
        <w:jc w:val="center"/>
        <w:rPr>
          <w:rFonts w:eastAsia="TimesNewRoman"/>
          <w:b/>
          <w:bCs/>
          <w:color w:val="000000"/>
          <w:sz w:val="22"/>
          <w:szCs w:val="22"/>
        </w:rPr>
      </w:pPr>
      <w:r w:rsidRPr="00CE2218">
        <w:rPr>
          <w:rFonts w:eastAsia="TimesNewRoman"/>
          <w:b/>
          <w:bCs/>
          <w:color w:val="000000"/>
          <w:sz w:val="22"/>
          <w:szCs w:val="22"/>
        </w:rPr>
        <w:t>TTY: 1-888-TELL-FCC (1-888-835-5322)</w:t>
      </w:r>
    </w:p>
    <w:p w14:paraId="112765C9" w14:textId="0076A2C7" w:rsidR="008867A0" w:rsidRPr="00CE2218" w:rsidRDefault="00CC2449" w:rsidP="008A4A77">
      <w:pPr>
        <w:autoSpaceDE w:val="0"/>
        <w:autoSpaceDN w:val="0"/>
        <w:adjustRightInd w:val="0"/>
        <w:jc w:val="center"/>
        <w:rPr>
          <w:rFonts w:eastAsia="TimesNewRoman"/>
          <w:b/>
          <w:bCs/>
          <w:color w:val="367FFF"/>
          <w:sz w:val="22"/>
          <w:szCs w:val="22"/>
        </w:rPr>
      </w:pPr>
      <w:r w:rsidRPr="00CE2218">
        <w:rPr>
          <w:rFonts w:eastAsia="TimesNewRoman"/>
          <w:b/>
          <w:bCs/>
          <w:color w:val="000000"/>
          <w:sz w:val="22"/>
          <w:szCs w:val="22"/>
        </w:rPr>
        <w:t>Fax: 1-866-418-0232</w:t>
      </w:r>
      <w:r w:rsidR="008867A0" w:rsidRPr="00CE2218">
        <w:rPr>
          <w:rFonts w:eastAsia="TimesNewRoman"/>
          <w:b/>
          <w:bCs/>
          <w:color w:val="367FFF"/>
          <w:sz w:val="22"/>
          <w:szCs w:val="22"/>
        </w:rPr>
        <w:br w:type="page"/>
      </w:r>
    </w:p>
    <w:p w14:paraId="2F788A77" w14:textId="77777777" w:rsidR="00FA5E6E" w:rsidRPr="00CE2218" w:rsidRDefault="008B0C72" w:rsidP="001D60C2">
      <w:pPr>
        <w:autoSpaceDE w:val="0"/>
        <w:autoSpaceDN w:val="0"/>
        <w:adjustRightInd w:val="0"/>
        <w:jc w:val="center"/>
        <w:rPr>
          <w:rFonts w:eastAsia="TimesNewRoman"/>
          <w:b/>
          <w:bCs/>
          <w:color w:val="000000"/>
          <w:sz w:val="22"/>
          <w:szCs w:val="22"/>
          <w:u w:val="single"/>
        </w:rPr>
      </w:pPr>
      <w:r w:rsidRPr="00CE2218">
        <w:rPr>
          <w:rFonts w:eastAsia="TimesNewRoman"/>
          <w:b/>
          <w:bCs/>
          <w:color w:val="000000"/>
          <w:sz w:val="22"/>
          <w:szCs w:val="22"/>
          <w:u w:val="single"/>
        </w:rPr>
        <w:lastRenderedPageBreak/>
        <w:t>Rate-of-Return</w:t>
      </w:r>
      <w:r w:rsidR="00FA5E6E" w:rsidRPr="00CE2218">
        <w:rPr>
          <w:rFonts w:eastAsia="TimesNewRoman"/>
          <w:b/>
          <w:bCs/>
          <w:color w:val="000000"/>
          <w:sz w:val="22"/>
          <w:szCs w:val="22"/>
          <w:u w:val="single"/>
        </w:rPr>
        <w:t xml:space="preserve"> Carrier Annual Reporting</w:t>
      </w:r>
      <w:r w:rsidR="003F41B7" w:rsidRPr="00CE2218">
        <w:rPr>
          <w:rFonts w:eastAsia="TimesNewRoman"/>
          <w:b/>
          <w:bCs/>
          <w:color w:val="000000"/>
          <w:sz w:val="22"/>
          <w:szCs w:val="22"/>
          <w:u w:val="single"/>
        </w:rPr>
        <w:t xml:space="preserve">, </w:t>
      </w:r>
      <w:r w:rsidR="00825219" w:rsidRPr="00CE2218">
        <w:rPr>
          <w:rFonts w:eastAsia="TimesNewRoman"/>
          <w:b/>
          <w:bCs/>
          <w:color w:val="000000"/>
          <w:sz w:val="22"/>
          <w:szCs w:val="22"/>
          <w:u w:val="single"/>
        </w:rPr>
        <w:t>Certification</w:t>
      </w:r>
      <w:r w:rsidR="003F41B7" w:rsidRPr="00CE2218">
        <w:rPr>
          <w:rFonts w:eastAsia="TimesNewRoman"/>
          <w:b/>
          <w:bCs/>
          <w:color w:val="000000"/>
          <w:sz w:val="22"/>
          <w:szCs w:val="22"/>
          <w:u w:val="single"/>
        </w:rPr>
        <w:t>, and Recordkeeping</w:t>
      </w:r>
      <w:r w:rsidR="00FA5E6E" w:rsidRPr="00CE2218">
        <w:rPr>
          <w:rFonts w:eastAsia="TimesNewRoman"/>
          <w:b/>
          <w:bCs/>
          <w:color w:val="000000"/>
          <w:sz w:val="22"/>
          <w:szCs w:val="22"/>
          <w:u w:val="single"/>
        </w:rPr>
        <w:t xml:space="preserve"> Requireme</w:t>
      </w:r>
      <w:r w:rsidRPr="00CE2218">
        <w:rPr>
          <w:rFonts w:eastAsia="TimesNewRoman"/>
          <w:b/>
          <w:bCs/>
          <w:color w:val="000000"/>
          <w:sz w:val="22"/>
          <w:szCs w:val="22"/>
          <w:u w:val="single"/>
        </w:rPr>
        <w:t>nts for Recipients of High-Cost</w:t>
      </w:r>
      <w:r w:rsidR="001D60C2">
        <w:rPr>
          <w:rFonts w:eastAsia="TimesNewRoman"/>
          <w:b/>
          <w:bCs/>
          <w:color w:val="000000"/>
          <w:sz w:val="22"/>
          <w:szCs w:val="22"/>
          <w:u w:val="single"/>
        </w:rPr>
        <w:t xml:space="preserve"> </w:t>
      </w:r>
      <w:r w:rsidR="00FA5E6E" w:rsidRPr="00CE2218">
        <w:rPr>
          <w:rFonts w:eastAsia="TimesNewRoman"/>
          <w:b/>
          <w:bCs/>
          <w:color w:val="000000"/>
          <w:sz w:val="22"/>
          <w:szCs w:val="22"/>
          <w:u w:val="single"/>
        </w:rPr>
        <w:t xml:space="preserve">Universal Service Support </w:t>
      </w:r>
    </w:p>
    <w:p w14:paraId="3E64C4C8" w14:textId="77777777" w:rsidR="00C04A3B" w:rsidRPr="00CE2218" w:rsidRDefault="00C04A3B" w:rsidP="00E9333D">
      <w:pPr>
        <w:rPr>
          <w:b/>
          <w:sz w:val="22"/>
          <w:szCs w:val="22"/>
        </w:rPr>
      </w:pPr>
    </w:p>
    <w:p w14:paraId="3ADE066C" w14:textId="77777777" w:rsidR="00D3553A" w:rsidRPr="00CE2218" w:rsidRDefault="00CF3F52" w:rsidP="00FA5E6E">
      <w:pPr>
        <w:pStyle w:val="ListParagraph"/>
        <w:numPr>
          <w:ilvl w:val="0"/>
          <w:numId w:val="4"/>
        </w:numPr>
        <w:rPr>
          <w:b/>
          <w:sz w:val="22"/>
          <w:szCs w:val="22"/>
        </w:rPr>
      </w:pPr>
      <w:r w:rsidRPr="00CE2218">
        <w:rPr>
          <w:b/>
          <w:sz w:val="22"/>
          <w:szCs w:val="22"/>
        </w:rPr>
        <w:t>Objective</w:t>
      </w:r>
      <w:r w:rsidR="00701168" w:rsidRPr="00CE2218">
        <w:rPr>
          <w:b/>
          <w:sz w:val="22"/>
          <w:szCs w:val="22"/>
        </w:rPr>
        <w:t>s</w:t>
      </w:r>
      <w:r w:rsidRPr="00CE2218">
        <w:rPr>
          <w:b/>
          <w:sz w:val="22"/>
          <w:szCs w:val="22"/>
        </w:rPr>
        <w:t xml:space="preserve"> of the Proc</w:t>
      </w:r>
      <w:r w:rsidR="003A755E" w:rsidRPr="00CE2218">
        <w:rPr>
          <w:b/>
          <w:sz w:val="22"/>
          <w:szCs w:val="22"/>
        </w:rPr>
        <w:t>e</w:t>
      </w:r>
      <w:r w:rsidRPr="00CE2218">
        <w:rPr>
          <w:b/>
          <w:sz w:val="22"/>
          <w:szCs w:val="22"/>
        </w:rPr>
        <w:t>eding</w:t>
      </w:r>
    </w:p>
    <w:p w14:paraId="72A927EF" w14:textId="77777777" w:rsidR="008B0C72" w:rsidRPr="00CE2218" w:rsidRDefault="008B0C72" w:rsidP="008B0C72">
      <w:pPr>
        <w:pStyle w:val="ListParagraph"/>
        <w:rPr>
          <w:b/>
          <w:sz w:val="22"/>
          <w:szCs w:val="22"/>
        </w:rPr>
      </w:pPr>
    </w:p>
    <w:p w14:paraId="5E6DFFB2" w14:textId="77777777" w:rsidR="008B0C72" w:rsidRPr="00CE2218" w:rsidRDefault="008B0C72" w:rsidP="008B0C72">
      <w:pPr>
        <w:pStyle w:val="ParaNum"/>
        <w:numPr>
          <w:ilvl w:val="0"/>
          <w:numId w:val="0"/>
        </w:numPr>
        <w:tabs>
          <w:tab w:val="num" w:pos="1440"/>
        </w:tabs>
        <w:ind w:firstLine="720"/>
        <w:rPr>
          <w:szCs w:val="22"/>
        </w:rPr>
      </w:pPr>
      <w:r w:rsidRPr="00CE2218">
        <w:rPr>
          <w:szCs w:val="22"/>
        </w:rPr>
        <w:t xml:space="preserve">On March 30, 2016, the Commission released an order establishing a new forward-looking mechanism for the distribution of </w:t>
      </w:r>
      <w:r w:rsidR="00F011C2" w:rsidRPr="00CE2218">
        <w:rPr>
          <w:szCs w:val="22"/>
        </w:rPr>
        <w:t xml:space="preserve">universal service </w:t>
      </w:r>
      <w:r w:rsidRPr="00CE2218">
        <w:rPr>
          <w:szCs w:val="22"/>
        </w:rPr>
        <w:t>support in rate-of-return areas.</w:t>
      </w:r>
      <w:r w:rsidR="006D770E">
        <w:rPr>
          <w:rStyle w:val="FootnoteReference"/>
          <w:szCs w:val="22"/>
        </w:rPr>
        <w:footnoteReference w:id="2"/>
      </w:r>
      <w:r w:rsidRPr="00CE2218">
        <w:rPr>
          <w:szCs w:val="22"/>
        </w:rPr>
        <w:t xml:space="preserve">  Specifically, </w:t>
      </w:r>
      <w:r w:rsidR="00CE2218" w:rsidRPr="00CE2218">
        <w:rPr>
          <w:szCs w:val="22"/>
        </w:rPr>
        <w:t>the Commission</w:t>
      </w:r>
      <w:r w:rsidRPr="00CE2218">
        <w:rPr>
          <w:szCs w:val="22"/>
        </w:rPr>
        <w:t xml:space="preserve"> adopted a voluntary path under which rate-of-return carriers may elect model-based support for a term of 10 years in exchange for meeting defined build-out obligations.  We emphasize the voluntary nature of this mechanism; no carrier will be required to take model-based support.  </w:t>
      </w:r>
    </w:p>
    <w:p w14:paraId="3CF743E1" w14:textId="1C026922" w:rsidR="0066309C" w:rsidRPr="00CE2218" w:rsidRDefault="00F011C2" w:rsidP="00F011C2">
      <w:pPr>
        <w:pStyle w:val="ParaNum"/>
        <w:numPr>
          <w:ilvl w:val="0"/>
          <w:numId w:val="0"/>
        </w:numPr>
        <w:tabs>
          <w:tab w:val="num" w:pos="1440"/>
        </w:tabs>
        <w:ind w:firstLine="720"/>
        <w:rPr>
          <w:szCs w:val="22"/>
        </w:rPr>
      </w:pPr>
      <w:r w:rsidRPr="00CE2218">
        <w:rPr>
          <w:szCs w:val="22"/>
        </w:rPr>
        <w:t xml:space="preserve">In the </w:t>
      </w:r>
      <w:r w:rsidR="00607908">
        <w:rPr>
          <w:szCs w:val="22"/>
        </w:rPr>
        <w:t>O</w:t>
      </w:r>
      <w:r w:rsidRPr="00CE2218">
        <w:rPr>
          <w:szCs w:val="22"/>
        </w:rPr>
        <w:t>rder, w</w:t>
      </w:r>
      <w:r w:rsidR="008B0C72" w:rsidRPr="00CE2218">
        <w:rPr>
          <w:szCs w:val="22"/>
        </w:rPr>
        <w:t>e also reform</w:t>
      </w:r>
      <w:r w:rsidRPr="00CE2218">
        <w:rPr>
          <w:szCs w:val="22"/>
        </w:rPr>
        <w:t>ed</w:t>
      </w:r>
      <w:r w:rsidR="008B0C72" w:rsidRPr="00CE2218">
        <w:rPr>
          <w:szCs w:val="22"/>
        </w:rPr>
        <w:t xml:space="preserve"> the existing mechanisms for the distribution of </w:t>
      </w:r>
      <w:r w:rsidRPr="00CE2218">
        <w:rPr>
          <w:szCs w:val="22"/>
        </w:rPr>
        <w:t xml:space="preserve">universal service </w:t>
      </w:r>
      <w:r w:rsidR="008B0C72" w:rsidRPr="00CE2218">
        <w:rPr>
          <w:szCs w:val="22"/>
        </w:rPr>
        <w:t xml:space="preserve">support in rate-of-return areas for those carriers that do not elect to receive model-based support.  </w:t>
      </w:r>
      <w:r w:rsidR="00CE2218" w:rsidRPr="00CE2218">
        <w:rPr>
          <w:szCs w:val="22"/>
        </w:rPr>
        <w:t>Further, w</w:t>
      </w:r>
      <w:r w:rsidR="008B0C72" w:rsidRPr="00CE2218">
        <w:rPr>
          <w:szCs w:val="22"/>
        </w:rPr>
        <w:t xml:space="preserve">e </w:t>
      </w:r>
      <w:r w:rsidRPr="00CE2218">
        <w:rPr>
          <w:szCs w:val="22"/>
        </w:rPr>
        <w:t>made</w:t>
      </w:r>
      <w:r w:rsidR="008B0C72" w:rsidRPr="00CE2218">
        <w:rPr>
          <w:szCs w:val="22"/>
        </w:rPr>
        <w:t xml:space="preserve"> technical corrections to modernize our existing interstate common line support (ICLS) rules to provide support in situations where the customer no longer subscribes to traditional regulated local exchange voice service, </w:t>
      </w:r>
      <w:r w:rsidR="008B0C72" w:rsidRPr="001D60C2">
        <w:rPr>
          <w:i/>
          <w:szCs w:val="22"/>
        </w:rPr>
        <w:t>i.e.</w:t>
      </w:r>
      <w:r w:rsidR="008B0C72" w:rsidRPr="00CE2218">
        <w:rPr>
          <w:szCs w:val="22"/>
        </w:rPr>
        <w:t xml:space="preserve"> stand-alone broadband.  Going forward, this reformed mechanism will be known as Connect America Fund Broadband Loop Support (CAF BLS). </w:t>
      </w:r>
      <w:r w:rsidRPr="00CE2218">
        <w:rPr>
          <w:szCs w:val="22"/>
        </w:rPr>
        <w:t xml:space="preserve"> This </w:t>
      </w:r>
      <w:r w:rsidR="00CE2218" w:rsidRPr="00CE2218">
        <w:rPr>
          <w:szCs w:val="22"/>
        </w:rPr>
        <w:t xml:space="preserve">simple </w:t>
      </w:r>
      <w:r w:rsidRPr="00CE2218">
        <w:rPr>
          <w:szCs w:val="22"/>
        </w:rPr>
        <w:t xml:space="preserve">change </w:t>
      </w:r>
      <w:r w:rsidR="008B0C72" w:rsidRPr="00CE2218">
        <w:rPr>
          <w:szCs w:val="22"/>
        </w:rPr>
        <w:t xml:space="preserve">will provide support for broadband-capable loops in an equitable and stable manner, regardless of whether the customer chooses to purchase traditional voice service, a bundle of voice and broadband, or only broadband.  </w:t>
      </w:r>
    </w:p>
    <w:p w14:paraId="74F3DE02" w14:textId="77777777" w:rsidR="0066309C" w:rsidRPr="00CE2218" w:rsidRDefault="00BA53D8" w:rsidP="00FA5E6E">
      <w:pPr>
        <w:pStyle w:val="ListParagraph"/>
        <w:numPr>
          <w:ilvl w:val="0"/>
          <w:numId w:val="4"/>
        </w:numPr>
        <w:rPr>
          <w:b/>
          <w:sz w:val="22"/>
          <w:szCs w:val="22"/>
        </w:rPr>
      </w:pPr>
      <w:r w:rsidRPr="00CE2218">
        <w:rPr>
          <w:b/>
          <w:sz w:val="22"/>
          <w:szCs w:val="22"/>
        </w:rPr>
        <w:t>Compliance</w:t>
      </w:r>
    </w:p>
    <w:p w14:paraId="4A98F9AC" w14:textId="77777777" w:rsidR="0071371B" w:rsidRPr="00CE2218" w:rsidRDefault="0071371B" w:rsidP="001E2970">
      <w:pPr>
        <w:rPr>
          <w:sz w:val="22"/>
          <w:szCs w:val="22"/>
        </w:rPr>
      </w:pPr>
    </w:p>
    <w:p w14:paraId="69AF1A91" w14:textId="3409A021" w:rsidR="00F011C2" w:rsidRPr="00CE2218" w:rsidRDefault="00F011C2" w:rsidP="005241D5">
      <w:pPr>
        <w:ind w:firstLine="720"/>
        <w:rPr>
          <w:sz w:val="22"/>
          <w:szCs w:val="22"/>
        </w:rPr>
      </w:pPr>
      <w:r w:rsidRPr="00CE2218">
        <w:rPr>
          <w:sz w:val="22"/>
          <w:szCs w:val="22"/>
        </w:rPr>
        <w:t xml:space="preserve">Rate-of-return carriers </w:t>
      </w:r>
      <w:r w:rsidR="00D51AD4" w:rsidRPr="00CE2218">
        <w:rPr>
          <w:sz w:val="22"/>
          <w:szCs w:val="22"/>
        </w:rPr>
        <w:t>will have the opportunity to voluntarily elect, on a state-level basis, to receive Connect America Fund-Alterna</w:t>
      </w:r>
      <w:r w:rsidR="00555CB2">
        <w:rPr>
          <w:sz w:val="22"/>
          <w:szCs w:val="22"/>
        </w:rPr>
        <w:t>tive Connect America Cost Model</w:t>
      </w:r>
      <w:r w:rsidR="00D51AD4" w:rsidRPr="00CE2218">
        <w:rPr>
          <w:sz w:val="22"/>
          <w:szCs w:val="22"/>
        </w:rPr>
        <w:t xml:space="preserve"> support as calculated by the Alternative-Co</w:t>
      </w:r>
      <w:r w:rsidR="00555CB2">
        <w:rPr>
          <w:sz w:val="22"/>
          <w:szCs w:val="22"/>
        </w:rPr>
        <w:t xml:space="preserve">nnect America Cost Model </w:t>
      </w:r>
      <w:r w:rsidR="005241D5">
        <w:rPr>
          <w:sz w:val="22"/>
          <w:szCs w:val="22"/>
        </w:rPr>
        <w:t>(referred to</w:t>
      </w:r>
      <w:r w:rsidR="00BA6013">
        <w:rPr>
          <w:sz w:val="22"/>
          <w:szCs w:val="22"/>
        </w:rPr>
        <w:t xml:space="preserve"> herein</w:t>
      </w:r>
      <w:r w:rsidR="005241D5">
        <w:rPr>
          <w:sz w:val="22"/>
          <w:szCs w:val="22"/>
        </w:rPr>
        <w:t xml:space="preserve"> as “</w:t>
      </w:r>
      <w:r w:rsidR="005241D5" w:rsidRPr="005241D5">
        <w:rPr>
          <w:sz w:val="22"/>
          <w:szCs w:val="22"/>
          <w:u w:val="single"/>
        </w:rPr>
        <w:t>model-based carriers</w:t>
      </w:r>
      <w:r w:rsidR="005241D5">
        <w:rPr>
          <w:sz w:val="22"/>
          <w:szCs w:val="22"/>
        </w:rPr>
        <w:t>”)</w:t>
      </w:r>
      <w:r w:rsidR="00D51AD4" w:rsidRPr="00CE2218">
        <w:rPr>
          <w:sz w:val="22"/>
          <w:szCs w:val="22"/>
        </w:rPr>
        <w:t xml:space="preserve">.  Any rate-of-return carrier that does not elect support pursuant to this section </w:t>
      </w:r>
      <w:r w:rsidR="00EE734A" w:rsidRPr="00EE734A">
        <w:rPr>
          <w:sz w:val="22"/>
          <w:szCs w:val="22"/>
        </w:rPr>
        <w:t>(referred to herein as “legacy carriers”)</w:t>
      </w:r>
      <w:r w:rsidR="00EE734A">
        <w:rPr>
          <w:sz w:val="22"/>
          <w:szCs w:val="22"/>
        </w:rPr>
        <w:t xml:space="preserve"> </w:t>
      </w:r>
      <w:r w:rsidR="00CE2218">
        <w:rPr>
          <w:sz w:val="22"/>
          <w:szCs w:val="22"/>
        </w:rPr>
        <w:t>will</w:t>
      </w:r>
      <w:r w:rsidR="00D51AD4" w:rsidRPr="00CE2218">
        <w:rPr>
          <w:sz w:val="22"/>
          <w:szCs w:val="22"/>
        </w:rPr>
        <w:t xml:space="preserve"> continu</w:t>
      </w:r>
      <w:r w:rsidR="00CE2218">
        <w:rPr>
          <w:sz w:val="22"/>
          <w:szCs w:val="22"/>
        </w:rPr>
        <w:t>e to receive support pursuant to legacy mechanisms</w:t>
      </w:r>
      <w:r w:rsidR="00EE734A">
        <w:rPr>
          <w:sz w:val="22"/>
          <w:szCs w:val="22"/>
        </w:rPr>
        <w:t>, though those legacy mechanisms have been revised.</w:t>
      </w:r>
    </w:p>
    <w:p w14:paraId="7D9B19C5" w14:textId="77777777" w:rsidR="00F011C2" w:rsidRPr="00CE2218" w:rsidRDefault="00F011C2" w:rsidP="006E0D50">
      <w:pPr>
        <w:rPr>
          <w:sz w:val="22"/>
          <w:szCs w:val="22"/>
        </w:rPr>
      </w:pPr>
    </w:p>
    <w:p w14:paraId="42388663" w14:textId="77777777" w:rsidR="008E0E42" w:rsidRPr="00CE2218" w:rsidRDefault="008E0E42" w:rsidP="005241D5">
      <w:pPr>
        <w:ind w:firstLine="720"/>
        <w:rPr>
          <w:sz w:val="22"/>
          <w:szCs w:val="22"/>
        </w:rPr>
      </w:pPr>
      <w:r w:rsidRPr="00CE2218">
        <w:rPr>
          <w:sz w:val="22"/>
          <w:szCs w:val="22"/>
        </w:rPr>
        <w:t xml:space="preserve">Whether a rate-of-return </w:t>
      </w:r>
      <w:r w:rsidR="00F873DC">
        <w:rPr>
          <w:sz w:val="22"/>
          <w:szCs w:val="22"/>
        </w:rPr>
        <w:t xml:space="preserve">carrier </w:t>
      </w:r>
      <w:r w:rsidRPr="00CE2218">
        <w:rPr>
          <w:sz w:val="22"/>
          <w:szCs w:val="22"/>
        </w:rPr>
        <w:t xml:space="preserve">chooses model-based support or remains on legacy mechanisms, it will be required to meet </w:t>
      </w:r>
      <w:r w:rsidR="00076B13">
        <w:rPr>
          <w:sz w:val="22"/>
          <w:szCs w:val="22"/>
        </w:rPr>
        <w:t>se</w:t>
      </w:r>
      <w:r w:rsidRPr="00CE2218">
        <w:rPr>
          <w:sz w:val="22"/>
          <w:szCs w:val="22"/>
        </w:rPr>
        <w:t xml:space="preserve">rvice obligations, adhere to reporting obligations, and retain records.  We describe the requirements below.  </w:t>
      </w:r>
    </w:p>
    <w:p w14:paraId="0D886C7E" w14:textId="77777777" w:rsidR="00D0454E" w:rsidRDefault="00D0454E" w:rsidP="008F5E46">
      <w:pPr>
        <w:rPr>
          <w:b/>
          <w:sz w:val="22"/>
          <w:szCs w:val="22"/>
          <w:u w:val="single"/>
        </w:rPr>
      </w:pPr>
    </w:p>
    <w:p w14:paraId="45B6E029" w14:textId="77777777" w:rsidR="007E3BED" w:rsidRPr="004B7D54" w:rsidRDefault="007E3BED" w:rsidP="004B7D54">
      <w:pPr>
        <w:pStyle w:val="ListParagraph"/>
        <w:numPr>
          <w:ilvl w:val="0"/>
          <w:numId w:val="19"/>
        </w:numPr>
        <w:rPr>
          <w:b/>
          <w:sz w:val="22"/>
          <w:szCs w:val="22"/>
          <w:u w:val="single"/>
        </w:rPr>
      </w:pPr>
      <w:r w:rsidRPr="004B7D54">
        <w:rPr>
          <w:b/>
          <w:sz w:val="22"/>
          <w:szCs w:val="22"/>
          <w:u w:val="single"/>
        </w:rPr>
        <w:t>Service/Deployment Obligations</w:t>
      </w:r>
    </w:p>
    <w:p w14:paraId="13C25C30" w14:textId="77777777" w:rsidR="007E3BED" w:rsidRDefault="007E3BED" w:rsidP="008F5E46">
      <w:pPr>
        <w:rPr>
          <w:b/>
          <w:sz w:val="22"/>
          <w:szCs w:val="22"/>
        </w:rPr>
      </w:pPr>
    </w:p>
    <w:p w14:paraId="2257685E" w14:textId="77777777" w:rsidR="008F5E46" w:rsidRPr="004B7D54" w:rsidRDefault="009E26FE" w:rsidP="004B7D54">
      <w:pPr>
        <w:pStyle w:val="ListParagraph"/>
        <w:numPr>
          <w:ilvl w:val="0"/>
          <w:numId w:val="20"/>
        </w:numPr>
        <w:rPr>
          <w:b/>
          <w:sz w:val="22"/>
          <w:szCs w:val="22"/>
        </w:rPr>
      </w:pPr>
      <w:r w:rsidRPr="004B7D54">
        <w:rPr>
          <w:b/>
          <w:sz w:val="22"/>
          <w:szCs w:val="22"/>
        </w:rPr>
        <w:t xml:space="preserve">Each </w:t>
      </w:r>
      <w:r w:rsidR="001A1AA0" w:rsidRPr="004B7D54">
        <w:rPr>
          <w:b/>
          <w:sz w:val="22"/>
          <w:szCs w:val="22"/>
        </w:rPr>
        <w:t>model-</w:t>
      </w:r>
      <w:r w:rsidRPr="004B7D54">
        <w:rPr>
          <w:b/>
          <w:sz w:val="22"/>
          <w:szCs w:val="22"/>
        </w:rPr>
        <w:t xml:space="preserve">based </w:t>
      </w:r>
      <w:r w:rsidR="004B7D54">
        <w:rPr>
          <w:b/>
          <w:sz w:val="22"/>
          <w:szCs w:val="22"/>
        </w:rPr>
        <w:t xml:space="preserve">carrier </w:t>
      </w:r>
      <w:r w:rsidRPr="004B7D54">
        <w:rPr>
          <w:b/>
          <w:sz w:val="22"/>
          <w:szCs w:val="22"/>
        </w:rPr>
        <w:t>must:</w:t>
      </w:r>
    </w:p>
    <w:p w14:paraId="0E4BAA34" w14:textId="77777777" w:rsidR="008F5E46" w:rsidRPr="00CE2218" w:rsidRDefault="008F5E46" w:rsidP="008F5E46">
      <w:pPr>
        <w:rPr>
          <w:b/>
          <w:sz w:val="22"/>
          <w:szCs w:val="22"/>
        </w:rPr>
      </w:pPr>
    </w:p>
    <w:p w14:paraId="07CD4E62" w14:textId="77777777" w:rsidR="008F5E46" w:rsidRPr="00CE2218" w:rsidRDefault="00BA6013" w:rsidP="008F5E46">
      <w:pPr>
        <w:pStyle w:val="ListParagraph"/>
        <w:numPr>
          <w:ilvl w:val="0"/>
          <w:numId w:val="9"/>
        </w:numPr>
        <w:rPr>
          <w:b/>
          <w:sz w:val="22"/>
          <w:szCs w:val="22"/>
        </w:rPr>
      </w:pPr>
      <w:r>
        <w:rPr>
          <w:i/>
          <w:sz w:val="22"/>
          <w:szCs w:val="22"/>
        </w:rPr>
        <w:t>Speed</w:t>
      </w:r>
      <w:r>
        <w:rPr>
          <w:sz w:val="22"/>
          <w:szCs w:val="22"/>
        </w:rPr>
        <w:t>:</w:t>
      </w:r>
      <w:r>
        <w:rPr>
          <w:i/>
          <w:sz w:val="22"/>
          <w:szCs w:val="22"/>
        </w:rPr>
        <w:t xml:space="preserve">  </w:t>
      </w:r>
      <w:r w:rsidR="005241D5">
        <w:rPr>
          <w:sz w:val="22"/>
          <w:szCs w:val="22"/>
        </w:rPr>
        <w:t>Model-based carriers</w:t>
      </w:r>
      <w:r w:rsidR="008F5E46" w:rsidRPr="00CE2218">
        <w:rPr>
          <w:sz w:val="22"/>
          <w:szCs w:val="22"/>
        </w:rPr>
        <w:t xml:space="preserve"> must offer broadband service at actual speeds of at least 10 Mbps downstream/1 Mbps upstream to a defined number of locations.  The defined number of locations will be specified in a </w:t>
      </w:r>
      <w:r w:rsidR="00162D02">
        <w:rPr>
          <w:sz w:val="22"/>
          <w:szCs w:val="22"/>
        </w:rPr>
        <w:t xml:space="preserve">future </w:t>
      </w:r>
      <w:r w:rsidR="008F5E46" w:rsidRPr="00CE2218">
        <w:rPr>
          <w:sz w:val="22"/>
          <w:szCs w:val="22"/>
        </w:rPr>
        <w:t>public notice.</w:t>
      </w:r>
      <w:r w:rsidR="006D770E">
        <w:rPr>
          <w:rStyle w:val="FootnoteReference"/>
          <w:sz w:val="22"/>
          <w:szCs w:val="22"/>
        </w:rPr>
        <w:footnoteReference w:id="3"/>
      </w:r>
      <w:r w:rsidR="008F5E46" w:rsidRPr="00CE2218">
        <w:rPr>
          <w:sz w:val="22"/>
          <w:szCs w:val="22"/>
        </w:rPr>
        <w:t xml:space="preserve">  </w:t>
      </w:r>
    </w:p>
    <w:p w14:paraId="6A44AFA2" w14:textId="77777777" w:rsidR="0014452C" w:rsidRPr="00CE2218" w:rsidRDefault="0014452C" w:rsidP="0014452C">
      <w:pPr>
        <w:pStyle w:val="ListParagraph"/>
        <w:rPr>
          <w:b/>
          <w:sz w:val="22"/>
          <w:szCs w:val="22"/>
        </w:rPr>
      </w:pPr>
    </w:p>
    <w:p w14:paraId="6812D63B" w14:textId="6F701686" w:rsidR="00CE2218" w:rsidRPr="00CE2218" w:rsidRDefault="00BA6013" w:rsidP="00BA6013">
      <w:pPr>
        <w:pStyle w:val="ListParagraph"/>
        <w:numPr>
          <w:ilvl w:val="0"/>
          <w:numId w:val="9"/>
        </w:numPr>
        <w:rPr>
          <w:b/>
          <w:sz w:val="22"/>
          <w:szCs w:val="22"/>
        </w:rPr>
      </w:pPr>
      <w:r w:rsidRPr="00BA6013">
        <w:rPr>
          <w:i/>
          <w:sz w:val="22"/>
          <w:szCs w:val="22"/>
        </w:rPr>
        <w:t>Latency</w:t>
      </w:r>
      <w:r>
        <w:rPr>
          <w:sz w:val="22"/>
          <w:szCs w:val="22"/>
        </w:rPr>
        <w:t xml:space="preserve">:  </w:t>
      </w:r>
      <w:r w:rsidR="00CE2218">
        <w:rPr>
          <w:sz w:val="22"/>
          <w:szCs w:val="22"/>
        </w:rPr>
        <w:t xml:space="preserve">Model-based carriers must offer service with </w:t>
      </w:r>
      <w:r w:rsidR="00CE2218" w:rsidRPr="00CE2218">
        <w:rPr>
          <w:sz w:val="22"/>
          <w:szCs w:val="22"/>
        </w:rPr>
        <w:t>latency suitable for real-time applications, including Voice over Internet Protocol</w:t>
      </w:r>
      <w:r w:rsidR="00CE2218">
        <w:rPr>
          <w:sz w:val="22"/>
          <w:szCs w:val="22"/>
        </w:rPr>
        <w:t>.</w:t>
      </w:r>
      <w:r w:rsidR="006D770E">
        <w:rPr>
          <w:rStyle w:val="FootnoteReference"/>
          <w:sz w:val="22"/>
          <w:szCs w:val="22"/>
        </w:rPr>
        <w:footnoteReference w:id="4"/>
      </w:r>
      <w:r w:rsidR="00A41870">
        <w:rPr>
          <w:sz w:val="22"/>
          <w:szCs w:val="22"/>
        </w:rPr>
        <w:t xml:space="preserve">  Specifically, </w:t>
      </w:r>
      <w:r w:rsidR="00A41870" w:rsidRPr="00A41870">
        <w:rPr>
          <w:sz w:val="22"/>
          <w:szCs w:val="22"/>
        </w:rPr>
        <w:t xml:space="preserve">rate-of-return carriers </w:t>
      </w:r>
      <w:r w:rsidR="00A41870" w:rsidRPr="00A41870">
        <w:rPr>
          <w:sz w:val="22"/>
          <w:szCs w:val="22"/>
        </w:rPr>
        <w:lastRenderedPageBreak/>
        <w:t xml:space="preserve">accepting model-based support </w:t>
      </w:r>
      <w:r w:rsidR="00560DA4">
        <w:rPr>
          <w:sz w:val="22"/>
          <w:szCs w:val="22"/>
        </w:rPr>
        <w:t>must</w:t>
      </w:r>
      <w:r w:rsidR="00A41870" w:rsidRPr="00A41870">
        <w:rPr>
          <w:sz w:val="22"/>
          <w:szCs w:val="22"/>
        </w:rPr>
        <w:t xml:space="preserve"> certify that 95 percent or more of all peak period measurements of network round-trip latency ar</w:t>
      </w:r>
      <w:r w:rsidR="00A41870">
        <w:rPr>
          <w:sz w:val="22"/>
          <w:szCs w:val="22"/>
        </w:rPr>
        <w:t>e at or below 100 milliseconds.</w:t>
      </w:r>
      <w:r w:rsidR="00A41870" w:rsidRPr="00A41870">
        <w:rPr>
          <w:sz w:val="22"/>
          <w:szCs w:val="22"/>
        </w:rPr>
        <w:t xml:space="preserve">  </w:t>
      </w:r>
      <w:r w:rsidR="00162D02">
        <w:rPr>
          <w:sz w:val="22"/>
          <w:szCs w:val="22"/>
        </w:rPr>
        <w:t xml:space="preserve">  </w:t>
      </w:r>
    </w:p>
    <w:p w14:paraId="35B1835B" w14:textId="77777777" w:rsidR="00CE2218" w:rsidRPr="00CE2218" w:rsidRDefault="00CE2218" w:rsidP="00CE2218">
      <w:pPr>
        <w:pStyle w:val="ListParagraph"/>
        <w:ind w:left="1440"/>
        <w:rPr>
          <w:b/>
          <w:sz w:val="22"/>
          <w:szCs w:val="22"/>
        </w:rPr>
      </w:pPr>
    </w:p>
    <w:p w14:paraId="7608FF70" w14:textId="262C3C75" w:rsidR="008F5E46" w:rsidRPr="00CE2218" w:rsidRDefault="00BA6013" w:rsidP="008114D4">
      <w:pPr>
        <w:pStyle w:val="ListParagraph"/>
        <w:numPr>
          <w:ilvl w:val="0"/>
          <w:numId w:val="9"/>
        </w:numPr>
        <w:rPr>
          <w:b/>
          <w:sz w:val="22"/>
          <w:szCs w:val="22"/>
        </w:rPr>
      </w:pPr>
      <w:r w:rsidRPr="00BA6013">
        <w:rPr>
          <w:i/>
          <w:sz w:val="22"/>
          <w:szCs w:val="22"/>
        </w:rPr>
        <w:t>Data Usage</w:t>
      </w:r>
      <w:r>
        <w:rPr>
          <w:sz w:val="22"/>
          <w:szCs w:val="22"/>
        </w:rPr>
        <w:t xml:space="preserve">:  </w:t>
      </w:r>
      <w:r w:rsidR="008F5E46" w:rsidRPr="00CE2218">
        <w:rPr>
          <w:sz w:val="22"/>
          <w:szCs w:val="22"/>
        </w:rPr>
        <w:t>Model-based carriers must offer a minimum usage allowance of 150 GB per month, subject to the requirement that usage allowances remain consistent with median usage in the United States over the course of the ten-year term.</w:t>
      </w:r>
      <w:r w:rsidR="006D770E">
        <w:rPr>
          <w:rStyle w:val="FootnoteReference"/>
          <w:sz w:val="22"/>
          <w:szCs w:val="22"/>
        </w:rPr>
        <w:footnoteReference w:id="5"/>
      </w:r>
      <w:r w:rsidR="00A41870">
        <w:rPr>
          <w:sz w:val="22"/>
          <w:szCs w:val="22"/>
        </w:rPr>
        <w:t xml:space="preserve">  This usage requirement is determined </w:t>
      </w:r>
      <w:r w:rsidR="00CA0A77">
        <w:rPr>
          <w:sz w:val="22"/>
          <w:szCs w:val="22"/>
        </w:rPr>
        <w:t xml:space="preserve">using the </w:t>
      </w:r>
      <w:r w:rsidR="00A41870">
        <w:rPr>
          <w:sz w:val="22"/>
          <w:szCs w:val="22"/>
        </w:rPr>
        <w:t>Measuring Broadband America</w:t>
      </w:r>
      <w:r w:rsidR="00CA0A77">
        <w:rPr>
          <w:sz w:val="22"/>
          <w:szCs w:val="22"/>
        </w:rPr>
        <w:t xml:space="preserve"> data</w:t>
      </w:r>
      <w:r w:rsidR="00D1140B">
        <w:rPr>
          <w:sz w:val="22"/>
          <w:szCs w:val="22"/>
        </w:rPr>
        <w:t xml:space="preserve"> or similar data source, whichever is higher</w:t>
      </w:r>
      <w:r w:rsidR="00CA0A77">
        <w:rPr>
          <w:sz w:val="22"/>
          <w:szCs w:val="22"/>
        </w:rPr>
        <w:t>.</w:t>
      </w:r>
      <w:r w:rsidR="00F3184F">
        <w:rPr>
          <w:rStyle w:val="FootnoteReference"/>
          <w:sz w:val="22"/>
          <w:szCs w:val="22"/>
        </w:rPr>
        <w:footnoteReference w:id="6"/>
      </w:r>
      <w:r w:rsidR="008114D4">
        <w:rPr>
          <w:sz w:val="22"/>
          <w:szCs w:val="22"/>
        </w:rPr>
        <w:t xml:space="preserve">  The Bureau announces </w:t>
      </w:r>
      <w:r w:rsidR="008114D4" w:rsidRPr="008114D4">
        <w:rPr>
          <w:sz w:val="22"/>
          <w:szCs w:val="22"/>
        </w:rPr>
        <w:t xml:space="preserve">the </w:t>
      </w:r>
      <w:r w:rsidR="008114D4">
        <w:rPr>
          <w:sz w:val="22"/>
          <w:szCs w:val="22"/>
        </w:rPr>
        <w:t>data usage requirement</w:t>
      </w:r>
      <w:r w:rsidR="008114D4" w:rsidRPr="008114D4">
        <w:rPr>
          <w:sz w:val="22"/>
          <w:szCs w:val="22"/>
        </w:rPr>
        <w:t xml:space="preserve"> in a public notice</w:t>
      </w:r>
      <w:r w:rsidR="008114D4">
        <w:rPr>
          <w:sz w:val="22"/>
          <w:szCs w:val="22"/>
        </w:rPr>
        <w:t>.</w:t>
      </w:r>
      <w:r w:rsidR="00CA0A77">
        <w:rPr>
          <w:sz w:val="22"/>
          <w:szCs w:val="22"/>
        </w:rPr>
        <w:t xml:space="preserve">  </w:t>
      </w:r>
      <w:r w:rsidR="00A41870">
        <w:rPr>
          <w:sz w:val="22"/>
          <w:szCs w:val="22"/>
        </w:rPr>
        <w:t xml:space="preserve">  </w:t>
      </w:r>
      <w:r w:rsidR="008F5E46" w:rsidRPr="00CE2218">
        <w:rPr>
          <w:sz w:val="22"/>
          <w:szCs w:val="22"/>
        </w:rPr>
        <w:t xml:space="preserve">  </w:t>
      </w:r>
    </w:p>
    <w:p w14:paraId="523C7388" w14:textId="77777777" w:rsidR="00CE2218" w:rsidRPr="00CE2218" w:rsidRDefault="00CE2218" w:rsidP="00CE2218">
      <w:pPr>
        <w:pStyle w:val="ListParagraph"/>
        <w:ind w:left="1440"/>
        <w:rPr>
          <w:b/>
          <w:sz w:val="22"/>
          <w:szCs w:val="22"/>
        </w:rPr>
      </w:pPr>
    </w:p>
    <w:p w14:paraId="74290E61" w14:textId="2A232033" w:rsidR="00CE2218" w:rsidRPr="00CE2218" w:rsidRDefault="00EB4CB1" w:rsidP="00CE2218">
      <w:pPr>
        <w:pStyle w:val="ListParagraph"/>
        <w:numPr>
          <w:ilvl w:val="0"/>
          <w:numId w:val="9"/>
        </w:numPr>
        <w:rPr>
          <w:b/>
          <w:sz w:val="22"/>
          <w:szCs w:val="22"/>
        </w:rPr>
      </w:pPr>
      <w:r>
        <w:rPr>
          <w:sz w:val="22"/>
          <w:szCs w:val="22"/>
        </w:rPr>
        <w:t xml:space="preserve">In </w:t>
      </w:r>
      <w:r w:rsidR="00FC6054">
        <w:rPr>
          <w:sz w:val="22"/>
          <w:szCs w:val="22"/>
        </w:rPr>
        <w:t>addition to offering 10/1 Mbps, m</w:t>
      </w:r>
      <w:r w:rsidR="005241D5" w:rsidRPr="00CE2218">
        <w:rPr>
          <w:sz w:val="22"/>
          <w:szCs w:val="22"/>
        </w:rPr>
        <w:t>odel</w:t>
      </w:r>
      <w:r w:rsidR="008F5E46" w:rsidRPr="00CE2218">
        <w:rPr>
          <w:sz w:val="22"/>
          <w:szCs w:val="22"/>
        </w:rPr>
        <w:t xml:space="preserve">-based </w:t>
      </w:r>
      <w:r w:rsidR="00CE2218" w:rsidRPr="00CE2218">
        <w:rPr>
          <w:sz w:val="22"/>
          <w:szCs w:val="22"/>
        </w:rPr>
        <w:t xml:space="preserve">carriers </w:t>
      </w:r>
      <w:r w:rsidR="008F5E46" w:rsidRPr="00CE2218">
        <w:rPr>
          <w:sz w:val="22"/>
          <w:szCs w:val="22"/>
        </w:rPr>
        <w:t xml:space="preserve">must offer broadband speeds of at least 25 Mbps downstream/3 Mbps upstream to a certain number of </w:t>
      </w:r>
      <w:r w:rsidR="000B361C" w:rsidRPr="00CE2218">
        <w:rPr>
          <w:sz w:val="22"/>
          <w:szCs w:val="22"/>
        </w:rPr>
        <w:t>“</w:t>
      </w:r>
      <w:r w:rsidR="000B361C" w:rsidRPr="00CE2218">
        <w:rPr>
          <w:sz w:val="22"/>
          <w:szCs w:val="22"/>
          <w:u w:val="single"/>
        </w:rPr>
        <w:t>fully funded</w:t>
      </w:r>
      <w:r w:rsidR="000B361C" w:rsidRPr="00CE2218">
        <w:rPr>
          <w:sz w:val="22"/>
          <w:szCs w:val="22"/>
        </w:rPr>
        <w:t xml:space="preserve">” </w:t>
      </w:r>
      <w:r w:rsidR="008F5E46" w:rsidRPr="00CE2218">
        <w:rPr>
          <w:sz w:val="22"/>
          <w:szCs w:val="22"/>
        </w:rPr>
        <w:t>locations.</w:t>
      </w:r>
      <w:r w:rsidR="00A95362">
        <w:rPr>
          <w:rStyle w:val="FootnoteReference"/>
          <w:sz w:val="22"/>
          <w:szCs w:val="22"/>
        </w:rPr>
        <w:footnoteReference w:id="7"/>
      </w:r>
      <w:r w:rsidR="008F5E46" w:rsidRPr="00CE2218">
        <w:rPr>
          <w:sz w:val="22"/>
          <w:szCs w:val="22"/>
        </w:rPr>
        <w:t xml:space="preserve">  </w:t>
      </w:r>
      <w:r w:rsidR="00CE2218" w:rsidRPr="00CE2218">
        <w:rPr>
          <w:sz w:val="22"/>
          <w:szCs w:val="22"/>
        </w:rPr>
        <w:t>Fully funded locations are those loca</w:t>
      </w:r>
      <w:r w:rsidR="005241D5">
        <w:rPr>
          <w:sz w:val="22"/>
          <w:szCs w:val="22"/>
        </w:rPr>
        <w:t xml:space="preserve">tions identified by </w:t>
      </w:r>
      <w:r w:rsidR="007E4436">
        <w:rPr>
          <w:sz w:val="22"/>
          <w:szCs w:val="22"/>
        </w:rPr>
        <w:t xml:space="preserve">the </w:t>
      </w:r>
      <w:r w:rsidR="00BA6013">
        <w:rPr>
          <w:sz w:val="22"/>
          <w:szCs w:val="22"/>
        </w:rPr>
        <w:t>model</w:t>
      </w:r>
      <w:r w:rsidR="00CE2218" w:rsidRPr="00CE2218">
        <w:rPr>
          <w:sz w:val="22"/>
          <w:szCs w:val="22"/>
        </w:rPr>
        <w:t xml:space="preserve"> where the average cost is above the funding benchmark and at or below the funding cap.</w:t>
      </w:r>
      <w:r w:rsidR="006D770E">
        <w:rPr>
          <w:rStyle w:val="FootnoteReference"/>
          <w:sz w:val="22"/>
          <w:szCs w:val="22"/>
        </w:rPr>
        <w:footnoteReference w:id="8"/>
      </w:r>
    </w:p>
    <w:p w14:paraId="6619A79B" w14:textId="77777777" w:rsidR="00CE2218" w:rsidRPr="00CE2218" w:rsidRDefault="00CE2218" w:rsidP="00CE2218">
      <w:pPr>
        <w:pStyle w:val="ListParagraph"/>
        <w:rPr>
          <w:b/>
          <w:sz w:val="22"/>
          <w:szCs w:val="22"/>
        </w:rPr>
      </w:pPr>
      <w:r w:rsidRPr="00CE2218">
        <w:rPr>
          <w:sz w:val="22"/>
          <w:szCs w:val="22"/>
        </w:rPr>
        <w:t xml:space="preserve">  </w:t>
      </w:r>
    </w:p>
    <w:p w14:paraId="013FD5A1" w14:textId="77777777" w:rsidR="008F5E46" w:rsidRPr="00CE2218" w:rsidRDefault="008F5E46" w:rsidP="00CE2218">
      <w:pPr>
        <w:pStyle w:val="ListParagraph"/>
        <w:numPr>
          <w:ilvl w:val="1"/>
          <w:numId w:val="9"/>
        </w:numPr>
        <w:rPr>
          <w:b/>
          <w:sz w:val="22"/>
          <w:szCs w:val="22"/>
        </w:rPr>
      </w:pPr>
      <w:r w:rsidRPr="00CE2218">
        <w:rPr>
          <w:sz w:val="22"/>
          <w:szCs w:val="22"/>
        </w:rPr>
        <w:t xml:space="preserve">The number of </w:t>
      </w:r>
      <w:r w:rsidR="000B361C" w:rsidRPr="00CE2218">
        <w:rPr>
          <w:sz w:val="22"/>
          <w:szCs w:val="22"/>
        </w:rPr>
        <w:t xml:space="preserve">“fully funded” </w:t>
      </w:r>
      <w:r w:rsidRPr="00CE2218">
        <w:rPr>
          <w:sz w:val="22"/>
          <w:szCs w:val="22"/>
        </w:rPr>
        <w:t xml:space="preserve">locations </w:t>
      </w:r>
      <w:r w:rsidR="000B361C" w:rsidRPr="00CE2218">
        <w:rPr>
          <w:sz w:val="22"/>
          <w:szCs w:val="22"/>
        </w:rPr>
        <w:t xml:space="preserve">a </w:t>
      </w:r>
      <w:r w:rsidR="00EB6C3A">
        <w:rPr>
          <w:sz w:val="22"/>
          <w:szCs w:val="22"/>
        </w:rPr>
        <w:t xml:space="preserve">model-based </w:t>
      </w:r>
      <w:r w:rsidR="000B361C" w:rsidRPr="00CE2218">
        <w:rPr>
          <w:sz w:val="22"/>
          <w:szCs w:val="22"/>
        </w:rPr>
        <w:t xml:space="preserve">carrier is required to offer 25/3 Mbps </w:t>
      </w:r>
      <w:r w:rsidR="007E4436">
        <w:rPr>
          <w:sz w:val="22"/>
          <w:szCs w:val="22"/>
        </w:rPr>
        <w:t xml:space="preserve">to </w:t>
      </w:r>
      <w:r w:rsidRPr="00CE2218">
        <w:rPr>
          <w:sz w:val="22"/>
          <w:szCs w:val="22"/>
        </w:rPr>
        <w:t xml:space="preserve">is based upon the </w:t>
      </w:r>
      <w:r w:rsidR="00740113">
        <w:rPr>
          <w:sz w:val="22"/>
          <w:szCs w:val="22"/>
        </w:rPr>
        <w:t>state’s population density</w:t>
      </w:r>
      <w:r w:rsidRPr="00CE2218">
        <w:rPr>
          <w:sz w:val="22"/>
          <w:szCs w:val="22"/>
        </w:rPr>
        <w:t xml:space="preserve">. </w:t>
      </w:r>
    </w:p>
    <w:p w14:paraId="08F33FAF" w14:textId="77777777" w:rsidR="000B361C" w:rsidRPr="00CE2218" w:rsidRDefault="000B361C" w:rsidP="000B361C">
      <w:pPr>
        <w:pStyle w:val="ListParagraph"/>
        <w:rPr>
          <w:b/>
          <w:sz w:val="22"/>
          <w:szCs w:val="22"/>
        </w:rPr>
      </w:pPr>
    </w:p>
    <w:p w14:paraId="76DEC6E8" w14:textId="77777777" w:rsidR="008F5E46" w:rsidRPr="00CE2218" w:rsidRDefault="00CE2218" w:rsidP="00CE2218">
      <w:pPr>
        <w:pStyle w:val="ListParagraph"/>
        <w:numPr>
          <w:ilvl w:val="2"/>
          <w:numId w:val="9"/>
        </w:numPr>
        <w:rPr>
          <w:b/>
          <w:sz w:val="22"/>
          <w:szCs w:val="22"/>
        </w:rPr>
      </w:pPr>
      <w:r w:rsidRPr="00CE2218">
        <w:rPr>
          <w:sz w:val="22"/>
          <w:szCs w:val="22"/>
        </w:rPr>
        <w:t>M</w:t>
      </w:r>
      <w:r w:rsidR="008F5E46" w:rsidRPr="00CE2218">
        <w:rPr>
          <w:sz w:val="22"/>
          <w:szCs w:val="22"/>
        </w:rPr>
        <w:t>odel-based c</w:t>
      </w:r>
      <w:r w:rsidR="000B361C" w:rsidRPr="00CE2218">
        <w:rPr>
          <w:sz w:val="22"/>
          <w:szCs w:val="22"/>
        </w:rPr>
        <w:t>arrier</w:t>
      </w:r>
      <w:r w:rsidRPr="00CE2218">
        <w:rPr>
          <w:sz w:val="22"/>
          <w:szCs w:val="22"/>
        </w:rPr>
        <w:t>s</w:t>
      </w:r>
      <w:r w:rsidR="000B361C" w:rsidRPr="00CE2218">
        <w:rPr>
          <w:sz w:val="22"/>
          <w:szCs w:val="22"/>
        </w:rPr>
        <w:t xml:space="preserve"> in</w:t>
      </w:r>
      <w:r w:rsidR="008F5E46" w:rsidRPr="00CE2218">
        <w:rPr>
          <w:sz w:val="22"/>
          <w:szCs w:val="22"/>
        </w:rPr>
        <w:t xml:space="preserve"> a state with a density of more than 10 </w:t>
      </w:r>
      <w:r w:rsidR="00BA6013">
        <w:rPr>
          <w:sz w:val="22"/>
          <w:szCs w:val="22"/>
        </w:rPr>
        <w:t>housing units per square mile are</w:t>
      </w:r>
      <w:r w:rsidR="008F5E46" w:rsidRPr="00CE2218">
        <w:rPr>
          <w:sz w:val="22"/>
          <w:szCs w:val="22"/>
        </w:rPr>
        <w:t xml:space="preserve"> required to offer broadband speeds of at least 25 Mbps downstream/3 Mbps upstream to 75 percent of all fully funded locations in the state by the end of the ten-year period.</w:t>
      </w:r>
      <w:r w:rsidR="006D770E">
        <w:rPr>
          <w:rStyle w:val="FootnoteReference"/>
          <w:sz w:val="22"/>
          <w:szCs w:val="22"/>
        </w:rPr>
        <w:footnoteReference w:id="9"/>
      </w:r>
      <w:r w:rsidR="008F5E46" w:rsidRPr="00CE2218">
        <w:rPr>
          <w:sz w:val="22"/>
          <w:szCs w:val="22"/>
        </w:rPr>
        <w:t xml:space="preserve">  </w:t>
      </w:r>
    </w:p>
    <w:p w14:paraId="5B81AFAC" w14:textId="77777777" w:rsidR="000B361C" w:rsidRPr="00CE2218" w:rsidRDefault="000B361C" w:rsidP="000B361C">
      <w:pPr>
        <w:pStyle w:val="ListParagraph"/>
        <w:ind w:left="1440"/>
        <w:rPr>
          <w:b/>
          <w:sz w:val="22"/>
          <w:szCs w:val="22"/>
        </w:rPr>
      </w:pPr>
    </w:p>
    <w:p w14:paraId="193D459C" w14:textId="77777777" w:rsidR="000B361C" w:rsidRPr="00CE2218" w:rsidRDefault="00CE2218" w:rsidP="00CE2218">
      <w:pPr>
        <w:pStyle w:val="ListParagraph"/>
        <w:numPr>
          <w:ilvl w:val="2"/>
          <w:numId w:val="9"/>
        </w:numPr>
        <w:rPr>
          <w:b/>
          <w:sz w:val="22"/>
          <w:szCs w:val="22"/>
        </w:rPr>
      </w:pPr>
      <w:r w:rsidRPr="00CE2218">
        <w:rPr>
          <w:sz w:val="22"/>
          <w:szCs w:val="22"/>
        </w:rPr>
        <w:t>M</w:t>
      </w:r>
      <w:r w:rsidR="008F5E46" w:rsidRPr="00CE2218">
        <w:rPr>
          <w:sz w:val="22"/>
          <w:szCs w:val="22"/>
        </w:rPr>
        <w:t>odel-based c</w:t>
      </w:r>
      <w:r w:rsidR="000B361C" w:rsidRPr="00CE2218">
        <w:rPr>
          <w:sz w:val="22"/>
          <w:szCs w:val="22"/>
        </w:rPr>
        <w:t>arrier</w:t>
      </w:r>
      <w:r w:rsidRPr="00CE2218">
        <w:rPr>
          <w:sz w:val="22"/>
          <w:szCs w:val="22"/>
        </w:rPr>
        <w:t>s</w:t>
      </w:r>
      <w:r w:rsidR="000B361C" w:rsidRPr="00CE2218">
        <w:rPr>
          <w:sz w:val="22"/>
          <w:szCs w:val="22"/>
        </w:rPr>
        <w:t xml:space="preserve"> in</w:t>
      </w:r>
      <w:r w:rsidR="008F5E46" w:rsidRPr="00CE2218">
        <w:rPr>
          <w:sz w:val="22"/>
          <w:szCs w:val="22"/>
        </w:rPr>
        <w:t xml:space="preserve"> a state with a </w:t>
      </w:r>
      <w:r w:rsidR="00A00B98" w:rsidRPr="00CE2218">
        <w:rPr>
          <w:sz w:val="22"/>
          <w:szCs w:val="22"/>
        </w:rPr>
        <w:t xml:space="preserve">density of </w:t>
      </w:r>
      <w:r w:rsidR="008F5E46" w:rsidRPr="00CE2218">
        <w:rPr>
          <w:sz w:val="22"/>
          <w:szCs w:val="22"/>
        </w:rPr>
        <w:t xml:space="preserve">10 </w:t>
      </w:r>
      <w:r w:rsidR="00A00B98" w:rsidRPr="00CE2218">
        <w:rPr>
          <w:sz w:val="22"/>
          <w:szCs w:val="22"/>
        </w:rPr>
        <w:t xml:space="preserve">or fewer </w:t>
      </w:r>
      <w:r w:rsidR="008F5E46" w:rsidRPr="00CE2218">
        <w:rPr>
          <w:sz w:val="22"/>
          <w:szCs w:val="22"/>
        </w:rPr>
        <w:t xml:space="preserve">housing units per square mile </w:t>
      </w:r>
      <w:r w:rsidR="00BA6013">
        <w:rPr>
          <w:sz w:val="22"/>
          <w:szCs w:val="22"/>
        </w:rPr>
        <w:t>are</w:t>
      </w:r>
      <w:r w:rsidR="008F5E46" w:rsidRPr="00CE2218">
        <w:rPr>
          <w:sz w:val="22"/>
          <w:szCs w:val="22"/>
        </w:rPr>
        <w:t xml:space="preserve"> required to offer broadband speeds of at least 25 Mbps </w:t>
      </w:r>
      <w:r w:rsidR="00A00B98" w:rsidRPr="00CE2218">
        <w:rPr>
          <w:sz w:val="22"/>
          <w:szCs w:val="22"/>
        </w:rPr>
        <w:t>downstream/3 Mbps upstream to 50</w:t>
      </w:r>
      <w:r w:rsidR="008F5E46" w:rsidRPr="00CE2218">
        <w:rPr>
          <w:sz w:val="22"/>
          <w:szCs w:val="22"/>
        </w:rPr>
        <w:t xml:space="preserve"> percent of all fully funded locations in the state by the end of the ten-year period.</w:t>
      </w:r>
      <w:r w:rsidR="006D770E">
        <w:rPr>
          <w:rStyle w:val="FootnoteReference"/>
          <w:sz w:val="22"/>
          <w:szCs w:val="22"/>
        </w:rPr>
        <w:footnoteReference w:id="10"/>
      </w:r>
      <w:r w:rsidR="008F5E46" w:rsidRPr="00CE2218">
        <w:rPr>
          <w:sz w:val="22"/>
          <w:szCs w:val="22"/>
        </w:rPr>
        <w:t xml:space="preserve">  </w:t>
      </w:r>
    </w:p>
    <w:p w14:paraId="5EA42944" w14:textId="77777777" w:rsidR="000B361C" w:rsidRPr="00CE2218" w:rsidRDefault="000B361C" w:rsidP="000B361C">
      <w:pPr>
        <w:rPr>
          <w:b/>
          <w:sz w:val="22"/>
          <w:szCs w:val="22"/>
        </w:rPr>
      </w:pPr>
    </w:p>
    <w:p w14:paraId="5AD00D5D" w14:textId="77777777" w:rsidR="008F5E46" w:rsidRPr="00CE2218" w:rsidRDefault="00CE2218" w:rsidP="00CE2218">
      <w:pPr>
        <w:pStyle w:val="ListParagraph"/>
        <w:numPr>
          <w:ilvl w:val="2"/>
          <w:numId w:val="9"/>
        </w:numPr>
        <w:rPr>
          <w:b/>
          <w:sz w:val="22"/>
          <w:szCs w:val="22"/>
        </w:rPr>
      </w:pPr>
      <w:r w:rsidRPr="00CE2218">
        <w:rPr>
          <w:sz w:val="22"/>
          <w:szCs w:val="22"/>
        </w:rPr>
        <w:t>M</w:t>
      </w:r>
      <w:r w:rsidR="00A00B98" w:rsidRPr="00CE2218">
        <w:rPr>
          <w:sz w:val="22"/>
          <w:szCs w:val="22"/>
        </w:rPr>
        <w:t>odel-based c</w:t>
      </w:r>
      <w:r w:rsidR="000B361C" w:rsidRPr="00CE2218">
        <w:rPr>
          <w:sz w:val="22"/>
          <w:szCs w:val="22"/>
        </w:rPr>
        <w:t>arrier</w:t>
      </w:r>
      <w:r w:rsidRPr="00CE2218">
        <w:rPr>
          <w:sz w:val="22"/>
          <w:szCs w:val="22"/>
        </w:rPr>
        <w:t>s</w:t>
      </w:r>
      <w:r w:rsidR="000B361C" w:rsidRPr="00CE2218">
        <w:rPr>
          <w:sz w:val="22"/>
          <w:szCs w:val="22"/>
        </w:rPr>
        <w:t xml:space="preserve"> in</w:t>
      </w:r>
      <w:r w:rsidR="00A00B98" w:rsidRPr="00CE2218">
        <w:rPr>
          <w:sz w:val="22"/>
          <w:szCs w:val="22"/>
        </w:rPr>
        <w:t xml:space="preserve"> a state with a density of five or fewer housing units per square mile </w:t>
      </w:r>
      <w:r w:rsidR="00BA6013">
        <w:rPr>
          <w:sz w:val="22"/>
          <w:szCs w:val="22"/>
        </w:rPr>
        <w:t>are</w:t>
      </w:r>
      <w:r w:rsidR="00A00B98" w:rsidRPr="00CE2218">
        <w:rPr>
          <w:sz w:val="22"/>
          <w:szCs w:val="22"/>
        </w:rPr>
        <w:t xml:space="preserve"> required to offer broadband speeds of at least 25 Mbps downstream/3 Mbps upstream to 25 percent of all fully funded locations in the state by the end of the ten-year period.</w:t>
      </w:r>
      <w:r w:rsidR="006D770E">
        <w:rPr>
          <w:rStyle w:val="FootnoteReference"/>
          <w:sz w:val="22"/>
          <w:szCs w:val="22"/>
        </w:rPr>
        <w:footnoteReference w:id="11"/>
      </w:r>
      <w:r w:rsidR="00A00B98" w:rsidRPr="00CE2218">
        <w:rPr>
          <w:sz w:val="22"/>
          <w:szCs w:val="22"/>
        </w:rPr>
        <w:t xml:space="preserve">  </w:t>
      </w:r>
    </w:p>
    <w:p w14:paraId="7A9D85B1" w14:textId="77777777" w:rsidR="000B361C" w:rsidRPr="00CE2218" w:rsidRDefault="000B361C" w:rsidP="000B361C">
      <w:pPr>
        <w:rPr>
          <w:b/>
          <w:sz w:val="22"/>
          <w:szCs w:val="22"/>
        </w:rPr>
      </w:pPr>
    </w:p>
    <w:p w14:paraId="081EE080" w14:textId="21B18527" w:rsidR="00CE2218" w:rsidRPr="00CE2218" w:rsidRDefault="00CE2218" w:rsidP="00CE2218">
      <w:pPr>
        <w:pStyle w:val="ListParagraph"/>
        <w:numPr>
          <w:ilvl w:val="0"/>
          <w:numId w:val="9"/>
        </w:numPr>
        <w:rPr>
          <w:b/>
          <w:sz w:val="22"/>
          <w:szCs w:val="22"/>
        </w:rPr>
      </w:pPr>
      <w:r>
        <w:rPr>
          <w:sz w:val="22"/>
          <w:szCs w:val="22"/>
        </w:rPr>
        <w:t>M</w:t>
      </w:r>
      <w:r w:rsidR="000B361C" w:rsidRPr="00CE2218">
        <w:rPr>
          <w:sz w:val="22"/>
          <w:szCs w:val="22"/>
        </w:rPr>
        <w:t xml:space="preserve">odel-based </w:t>
      </w:r>
      <w:r>
        <w:rPr>
          <w:sz w:val="22"/>
          <w:szCs w:val="22"/>
        </w:rPr>
        <w:t>carrier</w:t>
      </w:r>
      <w:r w:rsidR="005241D5">
        <w:rPr>
          <w:sz w:val="22"/>
          <w:szCs w:val="22"/>
        </w:rPr>
        <w:t>s</w:t>
      </w:r>
      <w:r>
        <w:rPr>
          <w:sz w:val="22"/>
          <w:szCs w:val="22"/>
        </w:rPr>
        <w:t xml:space="preserve"> </w:t>
      </w:r>
      <w:r w:rsidR="000B361C" w:rsidRPr="00CE2218">
        <w:rPr>
          <w:sz w:val="22"/>
          <w:szCs w:val="22"/>
        </w:rPr>
        <w:t>must offer broadband speeds of at least 4 Mbps downstream/1 Mbps upstream to a certain number of “</w:t>
      </w:r>
      <w:r w:rsidR="000B361C" w:rsidRPr="00CE2218">
        <w:rPr>
          <w:sz w:val="22"/>
          <w:szCs w:val="22"/>
          <w:u w:val="single"/>
        </w:rPr>
        <w:t>capped locations</w:t>
      </w:r>
      <w:r w:rsidR="000B361C" w:rsidRPr="00CE2218">
        <w:rPr>
          <w:sz w:val="22"/>
          <w:szCs w:val="22"/>
        </w:rPr>
        <w:t>.”</w:t>
      </w:r>
      <w:r w:rsidR="00C345E2">
        <w:rPr>
          <w:rStyle w:val="FootnoteReference"/>
          <w:sz w:val="22"/>
          <w:szCs w:val="22"/>
        </w:rPr>
        <w:footnoteReference w:id="12"/>
      </w:r>
      <w:r w:rsidR="000B361C" w:rsidRPr="00CE2218">
        <w:rPr>
          <w:sz w:val="22"/>
          <w:szCs w:val="22"/>
        </w:rPr>
        <w:t xml:space="preserve">  </w:t>
      </w:r>
      <w:r w:rsidRPr="00CE2218">
        <w:rPr>
          <w:sz w:val="22"/>
          <w:szCs w:val="22"/>
        </w:rPr>
        <w:t xml:space="preserve">Capped locations are those locations in census blocks for which </w:t>
      </w:r>
      <w:r w:rsidR="00BA6013">
        <w:rPr>
          <w:sz w:val="22"/>
          <w:szCs w:val="22"/>
        </w:rPr>
        <w:t xml:space="preserve">the model </w:t>
      </w:r>
      <w:r w:rsidRPr="00CE2218">
        <w:rPr>
          <w:sz w:val="22"/>
          <w:szCs w:val="22"/>
        </w:rPr>
        <w:t>calculates an average cost per location above the funding cap.</w:t>
      </w:r>
      <w:r w:rsidR="006D770E">
        <w:rPr>
          <w:rStyle w:val="FootnoteReference"/>
          <w:sz w:val="22"/>
          <w:szCs w:val="22"/>
        </w:rPr>
        <w:footnoteReference w:id="13"/>
      </w:r>
    </w:p>
    <w:p w14:paraId="23973218" w14:textId="77777777" w:rsidR="00CE2218" w:rsidRPr="00CE2218" w:rsidRDefault="00CE2218" w:rsidP="00CE2218">
      <w:pPr>
        <w:pStyle w:val="ListParagraph"/>
        <w:rPr>
          <w:b/>
          <w:sz w:val="22"/>
          <w:szCs w:val="22"/>
        </w:rPr>
      </w:pPr>
      <w:r w:rsidRPr="00CE2218">
        <w:rPr>
          <w:sz w:val="22"/>
          <w:szCs w:val="22"/>
        </w:rPr>
        <w:t xml:space="preserve">  </w:t>
      </w:r>
    </w:p>
    <w:p w14:paraId="7A6980E8" w14:textId="18FCA70A" w:rsidR="000B361C" w:rsidRPr="00CE2218" w:rsidRDefault="000B361C" w:rsidP="006A3DCB">
      <w:pPr>
        <w:pStyle w:val="ListParagraph"/>
        <w:numPr>
          <w:ilvl w:val="1"/>
          <w:numId w:val="9"/>
        </w:numPr>
        <w:rPr>
          <w:b/>
          <w:sz w:val="22"/>
          <w:szCs w:val="22"/>
        </w:rPr>
      </w:pPr>
      <w:r w:rsidRPr="00CE2218">
        <w:rPr>
          <w:sz w:val="22"/>
          <w:szCs w:val="22"/>
        </w:rPr>
        <w:t xml:space="preserve">The number of “capped locations” a carrier is required to offer 4/1 Mbps to is </w:t>
      </w:r>
      <w:r w:rsidR="005241D5">
        <w:rPr>
          <w:sz w:val="22"/>
          <w:szCs w:val="22"/>
        </w:rPr>
        <w:t xml:space="preserve">also </w:t>
      </w:r>
      <w:r w:rsidRPr="00CE2218">
        <w:rPr>
          <w:sz w:val="22"/>
          <w:szCs w:val="22"/>
        </w:rPr>
        <w:t xml:space="preserve">based upon </w:t>
      </w:r>
      <w:r w:rsidR="00740113">
        <w:rPr>
          <w:sz w:val="22"/>
          <w:szCs w:val="22"/>
        </w:rPr>
        <w:t>the state’s population density.</w:t>
      </w:r>
      <w:r w:rsidR="00C345E2">
        <w:rPr>
          <w:rStyle w:val="FootnoteReference"/>
          <w:sz w:val="22"/>
          <w:szCs w:val="22"/>
        </w:rPr>
        <w:footnoteReference w:id="14"/>
      </w:r>
      <w:r w:rsidRPr="00CE2218">
        <w:rPr>
          <w:sz w:val="22"/>
          <w:szCs w:val="22"/>
        </w:rPr>
        <w:t xml:space="preserve">   </w:t>
      </w:r>
    </w:p>
    <w:p w14:paraId="3C833B58" w14:textId="77777777" w:rsidR="000B361C" w:rsidRPr="00CE2218" w:rsidRDefault="000B361C" w:rsidP="000B361C">
      <w:pPr>
        <w:rPr>
          <w:b/>
          <w:sz w:val="22"/>
          <w:szCs w:val="22"/>
        </w:rPr>
      </w:pPr>
    </w:p>
    <w:p w14:paraId="11886A93" w14:textId="77777777" w:rsidR="000B361C" w:rsidRPr="006A3DCB" w:rsidRDefault="00BA6013" w:rsidP="00CE2218">
      <w:pPr>
        <w:pStyle w:val="ListParagraph"/>
        <w:numPr>
          <w:ilvl w:val="2"/>
          <w:numId w:val="9"/>
        </w:numPr>
        <w:rPr>
          <w:b/>
          <w:sz w:val="22"/>
          <w:szCs w:val="22"/>
        </w:rPr>
      </w:pPr>
      <w:r>
        <w:rPr>
          <w:sz w:val="22"/>
          <w:szCs w:val="22"/>
        </w:rPr>
        <w:t>Model-based c</w:t>
      </w:r>
      <w:r w:rsidR="000B361C" w:rsidRPr="006A3DCB">
        <w:rPr>
          <w:sz w:val="22"/>
          <w:szCs w:val="22"/>
        </w:rPr>
        <w:t xml:space="preserve">arriers </w:t>
      </w:r>
      <w:r w:rsidR="00CE2218" w:rsidRPr="006A3DCB">
        <w:rPr>
          <w:sz w:val="22"/>
          <w:szCs w:val="22"/>
        </w:rPr>
        <w:t xml:space="preserve">in </w:t>
      </w:r>
      <w:r w:rsidR="000B361C" w:rsidRPr="006A3DCB">
        <w:rPr>
          <w:sz w:val="22"/>
          <w:szCs w:val="22"/>
        </w:rPr>
        <w:t>a state with a</w:t>
      </w:r>
      <w:r w:rsidR="008F5E46" w:rsidRPr="006A3DCB">
        <w:rPr>
          <w:sz w:val="22"/>
          <w:szCs w:val="22"/>
        </w:rPr>
        <w:t xml:space="preserve"> density of more than 10 housing units per square mile, as specified by public notice </w:t>
      </w:r>
      <w:r>
        <w:rPr>
          <w:sz w:val="22"/>
          <w:szCs w:val="22"/>
        </w:rPr>
        <w:t>at the time of election, are</w:t>
      </w:r>
      <w:r w:rsidR="008F5E46" w:rsidRPr="006A3DCB">
        <w:rPr>
          <w:sz w:val="22"/>
          <w:szCs w:val="22"/>
        </w:rPr>
        <w:t xml:space="preserve"> required to offer broadband speeds of at least 4 Mbps downstream/1 Mbps upstream to 50 percent of all capped locations in the state by the end of the ten-year period.</w:t>
      </w:r>
      <w:r w:rsidR="006D770E">
        <w:rPr>
          <w:rStyle w:val="FootnoteReference"/>
          <w:sz w:val="22"/>
          <w:szCs w:val="22"/>
        </w:rPr>
        <w:footnoteReference w:id="15"/>
      </w:r>
      <w:r w:rsidR="008F5E46" w:rsidRPr="006A3DCB">
        <w:rPr>
          <w:sz w:val="22"/>
          <w:szCs w:val="22"/>
        </w:rPr>
        <w:t xml:space="preserve">  </w:t>
      </w:r>
    </w:p>
    <w:p w14:paraId="396D4772" w14:textId="77777777" w:rsidR="000B361C" w:rsidRPr="006A3DCB" w:rsidRDefault="000B361C" w:rsidP="000B361C">
      <w:pPr>
        <w:pStyle w:val="ListParagraph"/>
        <w:ind w:left="1440"/>
        <w:rPr>
          <w:b/>
          <w:sz w:val="22"/>
          <w:szCs w:val="22"/>
        </w:rPr>
      </w:pPr>
    </w:p>
    <w:p w14:paraId="305AA32D" w14:textId="77777777" w:rsidR="000B361C" w:rsidRPr="006A3DCB" w:rsidRDefault="00BA6013" w:rsidP="006A3DCB">
      <w:pPr>
        <w:pStyle w:val="ListParagraph"/>
        <w:numPr>
          <w:ilvl w:val="2"/>
          <w:numId w:val="9"/>
        </w:numPr>
        <w:rPr>
          <w:b/>
          <w:sz w:val="22"/>
          <w:szCs w:val="22"/>
        </w:rPr>
      </w:pPr>
      <w:r>
        <w:rPr>
          <w:sz w:val="22"/>
          <w:szCs w:val="22"/>
        </w:rPr>
        <w:t>Model-based c</w:t>
      </w:r>
      <w:r w:rsidR="000B361C" w:rsidRPr="006A3DCB">
        <w:rPr>
          <w:sz w:val="22"/>
          <w:szCs w:val="22"/>
        </w:rPr>
        <w:t xml:space="preserve">arriers in a state with a </w:t>
      </w:r>
      <w:r w:rsidR="008F5E46" w:rsidRPr="006A3DCB">
        <w:rPr>
          <w:sz w:val="22"/>
          <w:szCs w:val="22"/>
        </w:rPr>
        <w:t xml:space="preserve">density of 10 or fewer housing units per square mile, as specified by public notice at the time of election, </w:t>
      </w:r>
      <w:r>
        <w:rPr>
          <w:sz w:val="22"/>
          <w:szCs w:val="22"/>
        </w:rPr>
        <w:t>are</w:t>
      </w:r>
      <w:r w:rsidR="008F5E46" w:rsidRPr="006A3DCB">
        <w:rPr>
          <w:sz w:val="22"/>
          <w:szCs w:val="22"/>
        </w:rPr>
        <w:t xml:space="preserve"> required to offer broadband speeds of at least 4 Mbps downstream/1 Mbps upstream to 25 percent of capped locations in the state by the end of the ten-year period.</w:t>
      </w:r>
      <w:r w:rsidR="006D770E">
        <w:rPr>
          <w:rStyle w:val="FootnoteReference"/>
          <w:sz w:val="22"/>
          <w:szCs w:val="22"/>
        </w:rPr>
        <w:footnoteReference w:id="16"/>
      </w:r>
    </w:p>
    <w:p w14:paraId="2032C91F" w14:textId="77777777" w:rsidR="000B361C" w:rsidRPr="006A3DCB" w:rsidRDefault="000B361C" w:rsidP="000B361C">
      <w:pPr>
        <w:pStyle w:val="ListParagraph"/>
        <w:rPr>
          <w:sz w:val="22"/>
          <w:szCs w:val="22"/>
        </w:rPr>
      </w:pPr>
    </w:p>
    <w:p w14:paraId="575A6095" w14:textId="77777777" w:rsidR="008F5E46" w:rsidRPr="009127B3" w:rsidRDefault="00BA6013" w:rsidP="006A3DCB">
      <w:pPr>
        <w:pStyle w:val="ListParagraph"/>
        <w:numPr>
          <w:ilvl w:val="2"/>
          <w:numId w:val="9"/>
        </w:numPr>
        <w:rPr>
          <w:b/>
          <w:sz w:val="22"/>
          <w:szCs w:val="22"/>
        </w:rPr>
      </w:pPr>
      <w:r>
        <w:rPr>
          <w:sz w:val="22"/>
          <w:szCs w:val="22"/>
        </w:rPr>
        <w:t>Model-based c</w:t>
      </w:r>
      <w:r w:rsidR="008F5E46" w:rsidRPr="006A3DCB">
        <w:rPr>
          <w:sz w:val="22"/>
          <w:szCs w:val="22"/>
        </w:rPr>
        <w:t>arriers shall provide to all other capped locations, upon reasonable request, broadband at actual speeds of at least 4 Mbps downstream/1 Mbps upstream.</w:t>
      </w:r>
      <w:r w:rsidR="006D770E">
        <w:rPr>
          <w:rStyle w:val="FootnoteReference"/>
          <w:sz w:val="22"/>
          <w:szCs w:val="22"/>
        </w:rPr>
        <w:footnoteReference w:id="17"/>
      </w:r>
    </w:p>
    <w:p w14:paraId="0E3B2B12" w14:textId="77777777" w:rsidR="009127B3" w:rsidRPr="009127B3" w:rsidRDefault="009127B3" w:rsidP="009127B3">
      <w:pPr>
        <w:pStyle w:val="ListParagraph"/>
        <w:rPr>
          <w:b/>
          <w:sz w:val="22"/>
          <w:szCs w:val="22"/>
        </w:rPr>
      </w:pPr>
    </w:p>
    <w:p w14:paraId="2D19400E" w14:textId="3A1D1428" w:rsidR="00FF6053" w:rsidRDefault="00CC305E" w:rsidP="00CC305E">
      <w:pPr>
        <w:pStyle w:val="ListParagraph"/>
        <w:numPr>
          <w:ilvl w:val="3"/>
          <w:numId w:val="9"/>
        </w:numPr>
        <w:rPr>
          <w:sz w:val="22"/>
          <w:szCs w:val="22"/>
        </w:rPr>
      </w:pPr>
      <w:r w:rsidRPr="00CC305E">
        <w:rPr>
          <w:sz w:val="22"/>
          <w:szCs w:val="22"/>
        </w:rPr>
        <w:t xml:space="preserve">There are several ways </w:t>
      </w:r>
      <w:r w:rsidR="00FF6053">
        <w:rPr>
          <w:sz w:val="22"/>
          <w:szCs w:val="22"/>
        </w:rPr>
        <w:t>that carrier</w:t>
      </w:r>
      <w:r w:rsidR="00560DA4">
        <w:rPr>
          <w:sz w:val="22"/>
          <w:szCs w:val="22"/>
        </w:rPr>
        <w:t>s</w:t>
      </w:r>
      <w:r w:rsidR="00FF6053">
        <w:rPr>
          <w:sz w:val="22"/>
          <w:szCs w:val="22"/>
        </w:rPr>
        <w:t xml:space="preserve"> may </w:t>
      </w:r>
      <w:r w:rsidRPr="00CC305E">
        <w:rPr>
          <w:sz w:val="22"/>
          <w:szCs w:val="22"/>
        </w:rPr>
        <w:t xml:space="preserve">evaluate whether a request for service is reasonable — the end-user revenues </w:t>
      </w:r>
      <w:r w:rsidR="00FF6053">
        <w:rPr>
          <w:sz w:val="22"/>
          <w:szCs w:val="22"/>
        </w:rPr>
        <w:t xml:space="preserve">taking into account the reasonable comparability pricing benchmark </w:t>
      </w:r>
      <w:r w:rsidRPr="00CC305E">
        <w:rPr>
          <w:sz w:val="22"/>
          <w:szCs w:val="22"/>
        </w:rPr>
        <w:t xml:space="preserve">versus the cost to upgrade/deploy service; whether </w:t>
      </w:r>
      <w:r>
        <w:rPr>
          <w:sz w:val="22"/>
          <w:szCs w:val="22"/>
        </w:rPr>
        <w:t xml:space="preserve">deployment </w:t>
      </w:r>
      <w:r w:rsidRPr="00CC305E">
        <w:rPr>
          <w:sz w:val="22"/>
          <w:szCs w:val="22"/>
        </w:rPr>
        <w:t xml:space="preserve">would cause total high-cost support, excluding CAF-ICC, to exceed $250 per line </w:t>
      </w:r>
      <w:r>
        <w:rPr>
          <w:sz w:val="22"/>
          <w:szCs w:val="22"/>
        </w:rPr>
        <w:t xml:space="preserve">per month in the study area; whether the </w:t>
      </w:r>
      <w:r w:rsidRPr="000713E8">
        <w:rPr>
          <w:sz w:val="22"/>
          <w:szCs w:val="22"/>
        </w:rPr>
        <w:t>census block is serve</w:t>
      </w:r>
      <w:r>
        <w:rPr>
          <w:sz w:val="22"/>
          <w:szCs w:val="22"/>
        </w:rPr>
        <w:t>d by an unsubsidized competitor</w:t>
      </w:r>
      <w:r w:rsidR="00FF6053">
        <w:rPr>
          <w:sz w:val="22"/>
          <w:szCs w:val="22"/>
        </w:rPr>
        <w:t>.</w:t>
      </w:r>
      <w:r>
        <w:rPr>
          <w:rStyle w:val="FootnoteReference"/>
          <w:sz w:val="22"/>
          <w:szCs w:val="22"/>
        </w:rPr>
        <w:footnoteReference w:id="18"/>
      </w:r>
    </w:p>
    <w:p w14:paraId="0F70AC57" w14:textId="503B01B6" w:rsidR="00CC305E" w:rsidRPr="00FF6053" w:rsidRDefault="00FF6053" w:rsidP="00FF6053">
      <w:pPr>
        <w:rPr>
          <w:sz w:val="22"/>
          <w:szCs w:val="22"/>
        </w:rPr>
      </w:pPr>
      <w:r w:rsidRPr="00FF6053">
        <w:rPr>
          <w:sz w:val="22"/>
          <w:szCs w:val="22"/>
        </w:rPr>
        <w:t xml:space="preserve"> </w:t>
      </w:r>
      <w:r w:rsidR="00CC305E" w:rsidRPr="00FF6053">
        <w:rPr>
          <w:sz w:val="22"/>
          <w:szCs w:val="22"/>
        </w:rPr>
        <w:t xml:space="preserve"> </w:t>
      </w:r>
    </w:p>
    <w:p w14:paraId="618EB483" w14:textId="786199C7" w:rsidR="00CC305E" w:rsidRDefault="00FF6053" w:rsidP="009127B3">
      <w:pPr>
        <w:pStyle w:val="ListParagraph"/>
        <w:numPr>
          <w:ilvl w:val="3"/>
          <w:numId w:val="9"/>
        </w:numPr>
        <w:rPr>
          <w:sz w:val="22"/>
          <w:szCs w:val="22"/>
        </w:rPr>
      </w:pPr>
      <w:r>
        <w:rPr>
          <w:sz w:val="22"/>
          <w:szCs w:val="22"/>
        </w:rPr>
        <w:t xml:space="preserve">Carriers are required to retain documentation related to requests for service and must be prepared to demonstrate why a request was not reasonable.    </w:t>
      </w:r>
    </w:p>
    <w:p w14:paraId="4138286B" w14:textId="77777777" w:rsidR="00556178" w:rsidRPr="00CE2218" w:rsidRDefault="00556178" w:rsidP="00556178">
      <w:pPr>
        <w:pStyle w:val="ListParagraph"/>
        <w:rPr>
          <w:b/>
          <w:sz w:val="22"/>
          <w:szCs w:val="22"/>
        </w:rPr>
      </w:pPr>
    </w:p>
    <w:p w14:paraId="2273671E" w14:textId="77777777" w:rsidR="00556178" w:rsidRPr="007E3BED" w:rsidRDefault="00BA6013" w:rsidP="00556178">
      <w:pPr>
        <w:pStyle w:val="ListParagraph"/>
        <w:numPr>
          <w:ilvl w:val="0"/>
          <w:numId w:val="9"/>
        </w:numPr>
        <w:rPr>
          <w:b/>
          <w:sz w:val="22"/>
          <w:szCs w:val="22"/>
        </w:rPr>
      </w:pPr>
      <w:r>
        <w:rPr>
          <w:i/>
          <w:sz w:val="22"/>
          <w:szCs w:val="22"/>
        </w:rPr>
        <w:t>Interim Buildout Obligations</w:t>
      </w:r>
      <w:r>
        <w:rPr>
          <w:sz w:val="22"/>
          <w:szCs w:val="22"/>
        </w:rPr>
        <w:t>:</w:t>
      </w:r>
      <w:r>
        <w:rPr>
          <w:i/>
          <w:sz w:val="22"/>
          <w:szCs w:val="22"/>
        </w:rPr>
        <w:t xml:space="preserve">  </w:t>
      </w:r>
      <w:r w:rsidR="006A3DCB" w:rsidRPr="00E179B3">
        <w:rPr>
          <w:sz w:val="22"/>
          <w:szCs w:val="22"/>
        </w:rPr>
        <w:t>M</w:t>
      </w:r>
      <w:r w:rsidR="00556178" w:rsidRPr="00E179B3">
        <w:rPr>
          <w:sz w:val="22"/>
          <w:szCs w:val="22"/>
        </w:rPr>
        <w:t xml:space="preserve">odel-based </w:t>
      </w:r>
      <w:r w:rsidR="006A3DCB" w:rsidRPr="00E179B3">
        <w:rPr>
          <w:sz w:val="22"/>
          <w:szCs w:val="22"/>
        </w:rPr>
        <w:t xml:space="preserve">carriers </w:t>
      </w:r>
      <w:r w:rsidR="00556178" w:rsidRPr="00E179B3">
        <w:rPr>
          <w:sz w:val="22"/>
          <w:szCs w:val="22"/>
        </w:rPr>
        <w:t xml:space="preserve">must complete deployment to: </w:t>
      </w:r>
    </w:p>
    <w:p w14:paraId="40479FFF" w14:textId="77777777" w:rsidR="007E3BED" w:rsidRPr="00E179B3" w:rsidRDefault="007E3BED" w:rsidP="007E3BED">
      <w:pPr>
        <w:pStyle w:val="ListParagraph"/>
        <w:rPr>
          <w:b/>
          <w:sz w:val="22"/>
          <w:szCs w:val="22"/>
        </w:rPr>
      </w:pPr>
    </w:p>
    <w:p w14:paraId="16D1D906" w14:textId="77777777" w:rsidR="00556178" w:rsidRPr="00BA6013" w:rsidRDefault="00556178" w:rsidP="00556178">
      <w:pPr>
        <w:pStyle w:val="ListParagraph"/>
        <w:numPr>
          <w:ilvl w:val="1"/>
          <w:numId w:val="9"/>
        </w:numPr>
        <w:rPr>
          <w:b/>
          <w:sz w:val="22"/>
          <w:szCs w:val="22"/>
        </w:rPr>
      </w:pPr>
      <w:r w:rsidRPr="00E179B3">
        <w:rPr>
          <w:sz w:val="22"/>
          <w:szCs w:val="22"/>
        </w:rPr>
        <w:t>40 percent of fully funded locations by the end of 2020;</w:t>
      </w:r>
    </w:p>
    <w:p w14:paraId="0B7F776D" w14:textId="77777777" w:rsidR="00BA6013" w:rsidRPr="00E179B3" w:rsidRDefault="00BA6013" w:rsidP="00BA6013">
      <w:pPr>
        <w:pStyle w:val="ListParagraph"/>
        <w:ind w:left="1440"/>
        <w:rPr>
          <w:b/>
          <w:sz w:val="22"/>
          <w:szCs w:val="22"/>
        </w:rPr>
      </w:pPr>
    </w:p>
    <w:p w14:paraId="34154593" w14:textId="77777777" w:rsidR="00556178" w:rsidRPr="00BA6013" w:rsidRDefault="00556178" w:rsidP="00556178">
      <w:pPr>
        <w:pStyle w:val="ListParagraph"/>
        <w:numPr>
          <w:ilvl w:val="1"/>
          <w:numId w:val="9"/>
        </w:numPr>
        <w:rPr>
          <w:b/>
          <w:sz w:val="22"/>
          <w:szCs w:val="22"/>
        </w:rPr>
      </w:pPr>
      <w:r w:rsidRPr="00E179B3">
        <w:rPr>
          <w:sz w:val="22"/>
          <w:szCs w:val="22"/>
        </w:rPr>
        <w:t xml:space="preserve">50 percent of fully funded locations by the end of 2021; </w:t>
      </w:r>
    </w:p>
    <w:p w14:paraId="2F1ADBFD" w14:textId="77777777" w:rsidR="00BA6013" w:rsidRPr="00BA6013" w:rsidRDefault="00BA6013" w:rsidP="00BA6013">
      <w:pPr>
        <w:rPr>
          <w:b/>
          <w:sz w:val="22"/>
          <w:szCs w:val="22"/>
        </w:rPr>
      </w:pPr>
    </w:p>
    <w:p w14:paraId="34764C9B" w14:textId="77777777" w:rsidR="00556178" w:rsidRPr="00BA6013" w:rsidRDefault="00556178" w:rsidP="00556178">
      <w:pPr>
        <w:pStyle w:val="ListParagraph"/>
        <w:numPr>
          <w:ilvl w:val="1"/>
          <w:numId w:val="9"/>
        </w:numPr>
        <w:rPr>
          <w:b/>
          <w:sz w:val="22"/>
          <w:szCs w:val="22"/>
        </w:rPr>
      </w:pPr>
      <w:r w:rsidRPr="00E179B3">
        <w:rPr>
          <w:sz w:val="22"/>
          <w:szCs w:val="22"/>
        </w:rPr>
        <w:t>60 percent of fully funded locations by the end of 2022;</w:t>
      </w:r>
    </w:p>
    <w:p w14:paraId="3965AC07" w14:textId="77777777" w:rsidR="00BA6013" w:rsidRPr="00BA6013" w:rsidRDefault="00BA6013" w:rsidP="00BA6013">
      <w:pPr>
        <w:rPr>
          <w:b/>
          <w:sz w:val="22"/>
          <w:szCs w:val="22"/>
        </w:rPr>
      </w:pPr>
    </w:p>
    <w:p w14:paraId="0C855A98" w14:textId="77777777" w:rsidR="00BA6013" w:rsidRPr="00BA6013" w:rsidRDefault="00556178" w:rsidP="00556178">
      <w:pPr>
        <w:pStyle w:val="ListParagraph"/>
        <w:numPr>
          <w:ilvl w:val="1"/>
          <w:numId w:val="9"/>
        </w:numPr>
        <w:rPr>
          <w:b/>
          <w:sz w:val="22"/>
          <w:szCs w:val="22"/>
        </w:rPr>
      </w:pPr>
      <w:r w:rsidRPr="00E179B3">
        <w:rPr>
          <w:sz w:val="22"/>
          <w:szCs w:val="22"/>
        </w:rPr>
        <w:t>70 percent of fully funded locations by the end of 2023;</w:t>
      </w:r>
    </w:p>
    <w:p w14:paraId="72F128B8" w14:textId="77777777" w:rsidR="00556178" w:rsidRPr="00BA6013" w:rsidRDefault="00556178" w:rsidP="00BA6013">
      <w:pPr>
        <w:rPr>
          <w:b/>
          <w:sz w:val="22"/>
          <w:szCs w:val="22"/>
        </w:rPr>
      </w:pPr>
      <w:r w:rsidRPr="00BA6013">
        <w:rPr>
          <w:sz w:val="22"/>
          <w:szCs w:val="22"/>
        </w:rPr>
        <w:t xml:space="preserve"> </w:t>
      </w:r>
    </w:p>
    <w:p w14:paraId="28B42131" w14:textId="77777777" w:rsidR="00556178" w:rsidRPr="00BA6013" w:rsidRDefault="00556178" w:rsidP="00556178">
      <w:pPr>
        <w:pStyle w:val="ListParagraph"/>
        <w:numPr>
          <w:ilvl w:val="1"/>
          <w:numId w:val="9"/>
        </w:numPr>
        <w:rPr>
          <w:b/>
          <w:sz w:val="22"/>
          <w:szCs w:val="22"/>
        </w:rPr>
      </w:pPr>
      <w:r w:rsidRPr="00E179B3">
        <w:rPr>
          <w:sz w:val="22"/>
          <w:szCs w:val="22"/>
        </w:rPr>
        <w:t>80 percent of fully funded locations by the end of 2024;</w:t>
      </w:r>
    </w:p>
    <w:p w14:paraId="216A2281" w14:textId="77777777" w:rsidR="00BA6013" w:rsidRPr="00BA6013" w:rsidRDefault="00BA6013" w:rsidP="00BA6013">
      <w:pPr>
        <w:rPr>
          <w:b/>
          <w:sz w:val="22"/>
          <w:szCs w:val="22"/>
        </w:rPr>
      </w:pPr>
    </w:p>
    <w:p w14:paraId="7FBA7032" w14:textId="77777777" w:rsidR="00556178" w:rsidRPr="00BA6013" w:rsidRDefault="00556178" w:rsidP="00556178">
      <w:pPr>
        <w:pStyle w:val="ListParagraph"/>
        <w:numPr>
          <w:ilvl w:val="1"/>
          <w:numId w:val="9"/>
        </w:numPr>
        <w:rPr>
          <w:b/>
          <w:sz w:val="22"/>
          <w:szCs w:val="22"/>
        </w:rPr>
      </w:pPr>
      <w:r w:rsidRPr="00E179B3">
        <w:rPr>
          <w:sz w:val="22"/>
          <w:szCs w:val="22"/>
        </w:rPr>
        <w:t>90 percent of fully funded locations by the end of 2025;</w:t>
      </w:r>
    </w:p>
    <w:p w14:paraId="2E6F3D5A" w14:textId="77777777" w:rsidR="00BA6013" w:rsidRPr="00BA6013" w:rsidRDefault="00BA6013" w:rsidP="00BA6013">
      <w:pPr>
        <w:rPr>
          <w:b/>
          <w:sz w:val="22"/>
          <w:szCs w:val="22"/>
        </w:rPr>
      </w:pPr>
    </w:p>
    <w:p w14:paraId="7C918407" w14:textId="77777777" w:rsidR="007E3BED" w:rsidRPr="007E3BED" w:rsidRDefault="00556178" w:rsidP="00556178">
      <w:pPr>
        <w:pStyle w:val="ListParagraph"/>
        <w:numPr>
          <w:ilvl w:val="1"/>
          <w:numId w:val="9"/>
        </w:numPr>
        <w:rPr>
          <w:b/>
          <w:sz w:val="22"/>
          <w:szCs w:val="22"/>
        </w:rPr>
      </w:pPr>
      <w:r w:rsidRPr="00E179B3">
        <w:rPr>
          <w:sz w:val="22"/>
          <w:szCs w:val="22"/>
        </w:rPr>
        <w:t>100 percent of fully funded locations by the end of 2026.</w:t>
      </w:r>
      <w:r w:rsidR="006D770E">
        <w:rPr>
          <w:rStyle w:val="FootnoteReference"/>
          <w:sz w:val="22"/>
          <w:szCs w:val="22"/>
        </w:rPr>
        <w:footnoteReference w:id="19"/>
      </w:r>
    </w:p>
    <w:p w14:paraId="7582F4AE" w14:textId="77777777" w:rsidR="00556178" w:rsidRPr="00E179B3" w:rsidRDefault="00556178" w:rsidP="007E3BED">
      <w:pPr>
        <w:pStyle w:val="ListParagraph"/>
        <w:ind w:left="1440"/>
        <w:rPr>
          <w:b/>
          <w:sz w:val="22"/>
          <w:szCs w:val="22"/>
        </w:rPr>
      </w:pPr>
      <w:r w:rsidRPr="00E179B3">
        <w:rPr>
          <w:sz w:val="22"/>
          <w:szCs w:val="22"/>
        </w:rPr>
        <w:t xml:space="preserve">  </w:t>
      </w:r>
    </w:p>
    <w:p w14:paraId="76C790C2" w14:textId="3BFDC9AC" w:rsidR="00B66A19" w:rsidRPr="00A41870" w:rsidRDefault="00B66A19" w:rsidP="00BE07AC">
      <w:pPr>
        <w:pStyle w:val="ListParagraph"/>
        <w:numPr>
          <w:ilvl w:val="0"/>
          <w:numId w:val="9"/>
        </w:numPr>
        <w:rPr>
          <w:sz w:val="22"/>
        </w:rPr>
      </w:pPr>
      <w:r w:rsidRPr="00E179B3">
        <w:rPr>
          <w:sz w:val="22"/>
          <w:szCs w:val="22"/>
        </w:rPr>
        <w:t xml:space="preserve">By the end of 2026, carriers must complete deployment of broadband meeting a standard of at least 25 Mbps downstream/3 Mbps upstream to the </w:t>
      </w:r>
      <w:r>
        <w:rPr>
          <w:sz w:val="22"/>
          <w:szCs w:val="22"/>
        </w:rPr>
        <w:t>required</w:t>
      </w:r>
      <w:r w:rsidRPr="00E179B3">
        <w:rPr>
          <w:sz w:val="22"/>
          <w:szCs w:val="22"/>
        </w:rPr>
        <w:t xml:space="preserve"> number of locations based on state level density</w:t>
      </w:r>
      <w:r w:rsidR="00025531">
        <w:rPr>
          <w:sz w:val="22"/>
          <w:szCs w:val="22"/>
        </w:rPr>
        <w:t>,</w:t>
      </w:r>
      <w:r w:rsidRPr="00E179B3">
        <w:rPr>
          <w:sz w:val="22"/>
          <w:szCs w:val="22"/>
        </w:rPr>
        <w:t xml:space="preserve"> as specified above.</w:t>
      </w:r>
      <w:r>
        <w:rPr>
          <w:rStyle w:val="FootnoteReference"/>
          <w:sz w:val="22"/>
          <w:szCs w:val="22"/>
        </w:rPr>
        <w:footnoteReference w:id="20"/>
      </w:r>
      <w:r>
        <w:rPr>
          <w:sz w:val="22"/>
          <w:szCs w:val="22"/>
        </w:rPr>
        <w:t xml:space="preserve">  </w:t>
      </w:r>
    </w:p>
    <w:p w14:paraId="67ED6CE8" w14:textId="77777777" w:rsidR="00B66A19" w:rsidRDefault="00B66A19" w:rsidP="00B66A19">
      <w:pPr>
        <w:pStyle w:val="ListParagraph"/>
        <w:rPr>
          <w:sz w:val="22"/>
          <w:szCs w:val="22"/>
        </w:rPr>
      </w:pPr>
    </w:p>
    <w:p w14:paraId="0F0B9EF1" w14:textId="1F2519E2" w:rsidR="00B66A19" w:rsidRPr="00B66A19" w:rsidRDefault="00B66A19" w:rsidP="00B66A19">
      <w:pPr>
        <w:pStyle w:val="ListParagraph"/>
        <w:numPr>
          <w:ilvl w:val="0"/>
          <w:numId w:val="9"/>
        </w:numPr>
        <w:rPr>
          <w:b/>
          <w:sz w:val="22"/>
          <w:szCs w:val="22"/>
        </w:rPr>
      </w:pPr>
      <w:r w:rsidRPr="0051551B">
        <w:rPr>
          <w:sz w:val="22"/>
          <w:szCs w:val="22"/>
        </w:rPr>
        <w:t>Compliance shall be determined based on the total number of fully funded locations in a state</w:t>
      </w:r>
      <w:r>
        <w:rPr>
          <w:sz w:val="22"/>
          <w:szCs w:val="22"/>
        </w:rPr>
        <w:t>.</w:t>
      </w:r>
      <w:r>
        <w:rPr>
          <w:rStyle w:val="FootnoteReference"/>
          <w:sz w:val="22"/>
          <w:szCs w:val="22"/>
        </w:rPr>
        <w:footnoteReference w:id="21"/>
      </w:r>
    </w:p>
    <w:p w14:paraId="00C896E4" w14:textId="77777777" w:rsidR="00B66A19" w:rsidRPr="00B66A19" w:rsidRDefault="00B66A19" w:rsidP="00B66A19">
      <w:pPr>
        <w:pStyle w:val="ListParagraph"/>
        <w:rPr>
          <w:sz w:val="22"/>
          <w:szCs w:val="22"/>
        </w:rPr>
      </w:pPr>
    </w:p>
    <w:p w14:paraId="730271D0" w14:textId="3E0CE8CE" w:rsidR="00BE07AC" w:rsidRPr="00B66A19" w:rsidRDefault="00B66A19" w:rsidP="00B66A19">
      <w:pPr>
        <w:pStyle w:val="ListParagraph"/>
        <w:numPr>
          <w:ilvl w:val="1"/>
          <w:numId w:val="9"/>
        </w:numPr>
        <w:rPr>
          <w:b/>
          <w:sz w:val="22"/>
          <w:szCs w:val="22"/>
        </w:rPr>
      </w:pPr>
      <w:r>
        <w:rPr>
          <w:sz w:val="22"/>
          <w:szCs w:val="22"/>
        </w:rPr>
        <w:t>In other words, a</w:t>
      </w:r>
      <w:r w:rsidR="00BE07AC" w:rsidRPr="00B66A19">
        <w:rPr>
          <w:sz w:val="22"/>
          <w:szCs w:val="22"/>
        </w:rPr>
        <w:t xml:space="preserve"> carrier will be deemed in compliance with </w:t>
      </w:r>
      <w:r>
        <w:rPr>
          <w:sz w:val="22"/>
          <w:szCs w:val="22"/>
        </w:rPr>
        <w:t>its</w:t>
      </w:r>
      <w:r w:rsidR="00BE07AC" w:rsidRPr="00B66A19">
        <w:rPr>
          <w:sz w:val="22"/>
          <w:szCs w:val="22"/>
        </w:rPr>
        <w:t xml:space="preserve"> </w:t>
      </w:r>
      <w:r w:rsidR="00A37348">
        <w:rPr>
          <w:sz w:val="22"/>
          <w:szCs w:val="22"/>
        </w:rPr>
        <w:t xml:space="preserve">deployment </w:t>
      </w:r>
      <w:r w:rsidR="00BE07AC" w:rsidRPr="00B66A19">
        <w:rPr>
          <w:sz w:val="22"/>
          <w:szCs w:val="22"/>
        </w:rPr>
        <w:t xml:space="preserve">obligations if the total number of reported locations in each required speed tier (25/3 Mbps, 10/1 Mbps, 4/1 Mbps) meets the total required number of locations for each tier in the state.  The locations may be in any funded census block, regardless of whether the model identifies a block as </w:t>
      </w:r>
      <w:r w:rsidR="00BE07AC" w:rsidRPr="00B66A19">
        <w:rPr>
          <w:rFonts w:hint="eastAsia"/>
          <w:sz w:val="22"/>
          <w:szCs w:val="22"/>
        </w:rPr>
        <w:t>“</w:t>
      </w:r>
      <w:r w:rsidR="00BE07AC" w:rsidRPr="00B66A19">
        <w:rPr>
          <w:sz w:val="22"/>
          <w:szCs w:val="22"/>
        </w:rPr>
        <w:t>fully funded</w:t>
      </w:r>
      <w:r w:rsidR="00BE07AC" w:rsidRPr="00B66A19">
        <w:rPr>
          <w:rFonts w:hint="eastAsia"/>
          <w:sz w:val="22"/>
          <w:szCs w:val="22"/>
        </w:rPr>
        <w:t>”</w:t>
      </w:r>
      <w:r w:rsidR="00BE07AC" w:rsidRPr="00B66A19">
        <w:rPr>
          <w:sz w:val="22"/>
          <w:szCs w:val="22"/>
        </w:rPr>
        <w:t xml:space="preserve"> or </w:t>
      </w:r>
      <w:r w:rsidR="00BE07AC" w:rsidRPr="00B66A19">
        <w:rPr>
          <w:rFonts w:hint="eastAsia"/>
          <w:sz w:val="22"/>
          <w:szCs w:val="22"/>
        </w:rPr>
        <w:t>“</w:t>
      </w:r>
      <w:r w:rsidR="00BE07AC" w:rsidRPr="00B66A19">
        <w:rPr>
          <w:sz w:val="22"/>
          <w:szCs w:val="22"/>
        </w:rPr>
        <w:t>capped”.</w:t>
      </w:r>
    </w:p>
    <w:p w14:paraId="068523DB" w14:textId="77777777" w:rsidR="00BE07AC" w:rsidRPr="00BE07AC" w:rsidRDefault="00BE07AC" w:rsidP="00BE07AC">
      <w:pPr>
        <w:pStyle w:val="ListParagraph"/>
        <w:rPr>
          <w:sz w:val="22"/>
          <w:szCs w:val="22"/>
        </w:rPr>
      </w:pPr>
    </w:p>
    <w:p w14:paraId="43EED466" w14:textId="77777777" w:rsidR="00BE07AC" w:rsidRDefault="00BE07AC" w:rsidP="00B66A19">
      <w:pPr>
        <w:pStyle w:val="ListParagraph"/>
        <w:numPr>
          <w:ilvl w:val="2"/>
          <w:numId w:val="9"/>
        </w:numPr>
        <w:rPr>
          <w:sz w:val="22"/>
          <w:szCs w:val="22"/>
        </w:rPr>
      </w:pPr>
      <w:r w:rsidRPr="00BE07AC">
        <w:rPr>
          <w:sz w:val="22"/>
          <w:szCs w:val="22"/>
        </w:rPr>
        <w:t xml:space="preserve">For example, a carrier may find that it can offer 25/3 Mbps to locations in some of blocks where A-CAM calculated capped support, but only 4/1 Mbps to some locations in a block that is “fully funded” in A-CAM.  All of these locations would be counted towards meeting the total number of locations where broadband service must be available.  </w:t>
      </w:r>
    </w:p>
    <w:p w14:paraId="407B4D42" w14:textId="560AF937" w:rsidR="00556178" w:rsidRPr="007E3BED" w:rsidRDefault="00556178" w:rsidP="007E3BED">
      <w:pPr>
        <w:rPr>
          <w:b/>
          <w:sz w:val="22"/>
          <w:szCs w:val="22"/>
        </w:rPr>
      </w:pPr>
    </w:p>
    <w:p w14:paraId="554FBA56" w14:textId="401A9014" w:rsidR="00556178" w:rsidRPr="00BA14E2" w:rsidRDefault="00BA6013" w:rsidP="00297EB5">
      <w:pPr>
        <w:pStyle w:val="ListParagraph"/>
        <w:numPr>
          <w:ilvl w:val="1"/>
          <w:numId w:val="9"/>
        </w:numPr>
        <w:rPr>
          <w:b/>
          <w:sz w:val="22"/>
          <w:szCs w:val="22"/>
        </w:rPr>
      </w:pPr>
      <w:r>
        <w:rPr>
          <w:sz w:val="22"/>
          <w:szCs w:val="22"/>
        </w:rPr>
        <w:t>Model-based c</w:t>
      </w:r>
      <w:r w:rsidR="00556178" w:rsidRPr="00E179B3">
        <w:rPr>
          <w:sz w:val="22"/>
          <w:szCs w:val="22"/>
        </w:rPr>
        <w:t xml:space="preserve">arriers that complete deployment to at least 95 percent of the requisite number of </w:t>
      </w:r>
      <w:r w:rsidR="00C368FF">
        <w:rPr>
          <w:sz w:val="22"/>
          <w:szCs w:val="22"/>
        </w:rPr>
        <w:t xml:space="preserve">fully funded </w:t>
      </w:r>
      <w:r w:rsidR="00556178" w:rsidRPr="00E179B3">
        <w:rPr>
          <w:sz w:val="22"/>
          <w:szCs w:val="22"/>
        </w:rPr>
        <w:t>locations will be deemed to be in compliance with their deployment obligations.</w:t>
      </w:r>
      <w:r w:rsidR="006D770E">
        <w:rPr>
          <w:rStyle w:val="FootnoteReference"/>
          <w:sz w:val="22"/>
          <w:szCs w:val="22"/>
        </w:rPr>
        <w:footnoteReference w:id="22"/>
      </w:r>
      <w:r w:rsidR="00556178" w:rsidRPr="00E179B3">
        <w:rPr>
          <w:sz w:val="22"/>
          <w:szCs w:val="22"/>
        </w:rPr>
        <w:t xml:space="preserve">  </w:t>
      </w:r>
    </w:p>
    <w:p w14:paraId="6EAC5B84" w14:textId="77777777" w:rsidR="00BA14E2" w:rsidRPr="00BA14E2" w:rsidRDefault="00BA14E2" w:rsidP="00BA14E2">
      <w:pPr>
        <w:pStyle w:val="ListParagraph"/>
        <w:ind w:left="1440"/>
        <w:rPr>
          <w:b/>
          <w:sz w:val="22"/>
          <w:szCs w:val="22"/>
        </w:rPr>
      </w:pPr>
    </w:p>
    <w:p w14:paraId="6B1E30AB" w14:textId="55BF295B" w:rsidR="007E4436" w:rsidRPr="0052250A" w:rsidRDefault="00BA14E2" w:rsidP="0052250A">
      <w:pPr>
        <w:pStyle w:val="ListParagraph"/>
        <w:numPr>
          <w:ilvl w:val="0"/>
          <w:numId w:val="9"/>
        </w:numPr>
        <w:rPr>
          <w:sz w:val="22"/>
          <w:szCs w:val="22"/>
        </w:rPr>
      </w:pPr>
      <w:r>
        <w:rPr>
          <w:i/>
          <w:sz w:val="22"/>
          <w:szCs w:val="22"/>
        </w:rPr>
        <w:t>Failure to Meet Buildout Obligations</w:t>
      </w:r>
      <w:r>
        <w:rPr>
          <w:sz w:val="22"/>
          <w:szCs w:val="22"/>
        </w:rPr>
        <w:t>:</w:t>
      </w:r>
      <w:r>
        <w:rPr>
          <w:i/>
          <w:sz w:val="22"/>
          <w:szCs w:val="22"/>
        </w:rPr>
        <w:t xml:space="preserve"> </w:t>
      </w:r>
      <w:r>
        <w:rPr>
          <w:sz w:val="22"/>
          <w:szCs w:val="22"/>
        </w:rPr>
        <w:t xml:space="preserve">Model-based carriers that do not buildout to the required number of locations will be </w:t>
      </w:r>
      <w:r w:rsidRPr="00BA14E2">
        <w:rPr>
          <w:sz w:val="22"/>
          <w:szCs w:val="22"/>
        </w:rPr>
        <w:t xml:space="preserve">subject </w:t>
      </w:r>
      <w:r>
        <w:rPr>
          <w:sz w:val="22"/>
          <w:szCs w:val="22"/>
        </w:rPr>
        <w:t xml:space="preserve">to </w:t>
      </w:r>
      <w:r w:rsidRPr="00BA14E2">
        <w:rPr>
          <w:sz w:val="22"/>
          <w:szCs w:val="22"/>
        </w:rPr>
        <w:t>certain reporting requirements, support reductions, and even possible recovery of support.</w:t>
      </w:r>
      <w:r w:rsidR="00C345E2">
        <w:rPr>
          <w:rStyle w:val="FootnoteReference"/>
          <w:sz w:val="22"/>
          <w:szCs w:val="22"/>
        </w:rPr>
        <w:footnoteReference w:id="23"/>
      </w:r>
      <w:r w:rsidRPr="00BA14E2">
        <w:rPr>
          <w:sz w:val="22"/>
          <w:szCs w:val="22"/>
        </w:rPr>
        <w:t xml:space="preserve">  The non-compliance measures</w:t>
      </w:r>
      <w:r w:rsidR="00DE5EB5">
        <w:rPr>
          <w:sz w:val="22"/>
          <w:szCs w:val="22"/>
        </w:rPr>
        <w:t xml:space="preserve"> are detailed in section 54.320(d), and the measures</w:t>
      </w:r>
      <w:r w:rsidRPr="00BA14E2">
        <w:rPr>
          <w:sz w:val="22"/>
          <w:szCs w:val="22"/>
        </w:rPr>
        <w:t xml:space="preserve"> that apply will depend on the size of the compliance gap (i.e., the number of required locations that the ETC fails to build out to by the applicable deadline).</w:t>
      </w:r>
      <w:r w:rsidRPr="00CE2218">
        <w:rPr>
          <w:rStyle w:val="FootnoteReference"/>
          <w:sz w:val="22"/>
          <w:szCs w:val="22"/>
        </w:rPr>
        <w:footnoteReference w:id="24"/>
      </w:r>
      <w:r w:rsidRPr="00BA14E2">
        <w:rPr>
          <w:sz w:val="22"/>
          <w:szCs w:val="22"/>
        </w:rPr>
        <w:t xml:space="preserve"> </w:t>
      </w:r>
    </w:p>
    <w:p w14:paraId="003DF91A" w14:textId="77777777" w:rsidR="009E26FE" w:rsidRPr="00CE2218" w:rsidRDefault="009E26FE" w:rsidP="001E2970">
      <w:pPr>
        <w:rPr>
          <w:b/>
          <w:sz w:val="22"/>
          <w:szCs w:val="22"/>
        </w:rPr>
      </w:pPr>
    </w:p>
    <w:p w14:paraId="6489F9FD" w14:textId="77777777" w:rsidR="009E26FE" w:rsidRDefault="009E26FE" w:rsidP="004B7D54">
      <w:pPr>
        <w:pStyle w:val="ListParagraph"/>
        <w:numPr>
          <w:ilvl w:val="0"/>
          <w:numId w:val="20"/>
        </w:numPr>
        <w:rPr>
          <w:b/>
          <w:sz w:val="22"/>
          <w:szCs w:val="22"/>
        </w:rPr>
      </w:pPr>
      <w:r w:rsidRPr="004B7D54">
        <w:rPr>
          <w:b/>
          <w:sz w:val="22"/>
          <w:szCs w:val="22"/>
        </w:rPr>
        <w:t xml:space="preserve">Each </w:t>
      </w:r>
      <w:r w:rsidR="001A1AA0" w:rsidRPr="004B7D54">
        <w:rPr>
          <w:b/>
          <w:sz w:val="22"/>
          <w:szCs w:val="22"/>
        </w:rPr>
        <w:t xml:space="preserve">legacy </w:t>
      </w:r>
      <w:r w:rsidR="004B7D54">
        <w:rPr>
          <w:b/>
          <w:sz w:val="22"/>
          <w:szCs w:val="22"/>
        </w:rPr>
        <w:t xml:space="preserve">carrier </w:t>
      </w:r>
      <w:r w:rsidR="001A1AA0" w:rsidRPr="004B7D54">
        <w:rPr>
          <w:b/>
          <w:sz w:val="22"/>
          <w:szCs w:val="22"/>
        </w:rPr>
        <w:t>must:</w:t>
      </w:r>
    </w:p>
    <w:p w14:paraId="1C484AD0" w14:textId="77777777" w:rsidR="004B7D54" w:rsidRPr="004B7D54" w:rsidRDefault="004B7D54" w:rsidP="004B7D54">
      <w:pPr>
        <w:pStyle w:val="ListParagraph"/>
        <w:ind w:left="1080"/>
        <w:rPr>
          <w:b/>
          <w:sz w:val="22"/>
          <w:szCs w:val="22"/>
        </w:rPr>
      </w:pPr>
    </w:p>
    <w:p w14:paraId="1C6ABEA5" w14:textId="08E66123" w:rsidR="003B177E" w:rsidRDefault="003A59F6" w:rsidP="007E3BED">
      <w:pPr>
        <w:pStyle w:val="ListParagraph"/>
        <w:numPr>
          <w:ilvl w:val="0"/>
          <w:numId w:val="14"/>
        </w:numPr>
        <w:spacing w:before="200" w:after="100"/>
        <w:outlineLvl w:val="1"/>
        <w:rPr>
          <w:sz w:val="22"/>
          <w:szCs w:val="22"/>
        </w:rPr>
      </w:pPr>
      <w:r w:rsidRPr="00E179B3">
        <w:rPr>
          <w:sz w:val="22"/>
          <w:szCs w:val="22"/>
        </w:rPr>
        <w:t>Legacy</w:t>
      </w:r>
      <w:r w:rsidRPr="00E179B3">
        <w:rPr>
          <w:b/>
          <w:sz w:val="22"/>
          <w:szCs w:val="22"/>
        </w:rPr>
        <w:t xml:space="preserve"> </w:t>
      </w:r>
      <w:r w:rsidR="00E179B3" w:rsidRPr="00E179B3">
        <w:rPr>
          <w:sz w:val="22"/>
          <w:szCs w:val="22"/>
        </w:rPr>
        <w:t>carriers</w:t>
      </w:r>
      <w:r w:rsidR="00885A4B" w:rsidRPr="00E179B3">
        <w:rPr>
          <w:sz w:val="22"/>
          <w:szCs w:val="22"/>
        </w:rPr>
        <w:t xml:space="preserve"> </w:t>
      </w:r>
      <w:r w:rsidRPr="00E179B3">
        <w:rPr>
          <w:sz w:val="22"/>
          <w:szCs w:val="22"/>
        </w:rPr>
        <w:t>must</w:t>
      </w:r>
      <w:r w:rsidR="00885A4B" w:rsidRPr="00E179B3">
        <w:rPr>
          <w:sz w:val="22"/>
          <w:szCs w:val="22"/>
        </w:rPr>
        <w:t xml:space="preserve"> offer broadband service at actual speeds of at least 10 Mbps downstream/1 Mbps upstream, over a five-year period, to a defined number of unserved locations as specified by public notice</w:t>
      </w:r>
      <w:r w:rsidR="007E3BED">
        <w:rPr>
          <w:sz w:val="22"/>
          <w:szCs w:val="22"/>
        </w:rPr>
        <w:t>, according to the following methodology:</w:t>
      </w:r>
      <w:r w:rsidR="00117CCE">
        <w:rPr>
          <w:rStyle w:val="FootnoteReference"/>
          <w:sz w:val="22"/>
          <w:szCs w:val="22"/>
        </w:rPr>
        <w:footnoteReference w:id="25"/>
      </w:r>
    </w:p>
    <w:p w14:paraId="46207271" w14:textId="77777777" w:rsidR="007E3BED" w:rsidRPr="007E3BED" w:rsidRDefault="007E3BED" w:rsidP="007E3BED">
      <w:pPr>
        <w:pStyle w:val="ListParagraph"/>
        <w:spacing w:before="200" w:after="100"/>
        <w:outlineLvl w:val="1"/>
        <w:rPr>
          <w:sz w:val="22"/>
          <w:szCs w:val="22"/>
        </w:rPr>
      </w:pPr>
    </w:p>
    <w:p w14:paraId="65D34339" w14:textId="77777777" w:rsidR="003B177E" w:rsidRPr="007E3BED" w:rsidRDefault="007E3BED" w:rsidP="003B177E">
      <w:pPr>
        <w:pStyle w:val="ListParagraph"/>
        <w:numPr>
          <w:ilvl w:val="1"/>
          <w:numId w:val="10"/>
        </w:numPr>
        <w:spacing w:before="200" w:after="100"/>
        <w:outlineLvl w:val="1"/>
        <w:rPr>
          <w:sz w:val="22"/>
          <w:szCs w:val="22"/>
        </w:rPr>
      </w:pPr>
      <w:r w:rsidRPr="007E3BED">
        <w:rPr>
          <w:sz w:val="22"/>
          <w:szCs w:val="22"/>
        </w:rPr>
        <w:t xml:space="preserve">Legacy </w:t>
      </w:r>
      <w:r w:rsidR="00885A4B" w:rsidRPr="007E3BED">
        <w:rPr>
          <w:sz w:val="22"/>
          <w:szCs w:val="22"/>
        </w:rPr>
        <w:t>carriers with less than 20 percent deployment of 10/1 Mbps broadba</w:t>
      </w:r>
      <w:r w:rsidR="003B177E" w:rsidRPr="007E3BED">
        <w:rPr>
          <w:sz w:val="22"/>
          <w:szCs w:val="22"/>
        </w:rPr>
        <w:t>nd service in their study areas</w:t>
      </w:r>
      <w:r w:rsidR="00885A4B" w:rsidRPr="007E3BED">
        <w:rPr>
          <w:sz w:val="22"/>
          <w:szCs w:val="22"/>
        </w:rPr>
        <w:t xml:space="preserve"> will be required to utilize 35 percent of their five-year forecasted CAF-BLS support to extend broadband service where it is currently lacking.</w:t>
      </w:r>
      <w:r w:rsidR="00D76C94">
        <w:rPr>
          <w:rStyle w:val="FootnoteReference"/>
          <w:sz w:val="22"/>
          <w:szCs w:val="22"/>
        </w:rPr>
        <w:footnoteReference w:id="26"/>
      </w:r>
      <w:r w:rsidR="00885A4B" w:rsidRPr="007E3BED">
        <w:rPr>
          <w:sz w:val="22"/>
          <w:szCs w:val="22"/>
        </w:rPr>
        <w:t xml:space="preserve"> </w:t>
      </w:r>
    </w:p>
    <w:p w14:paraId="74C6CA4E" w14:textId="77777777" w:rsidR="003B177E" w:rsidRPr="007E3BED" w:rsidRDefault="00885A4B" w:rsidP="003B177E">
      <w:pPr>
        <w:pStyle w:val="ListParagraph"/>
        <w:spacing w:before="200" w:after="100"/>
        <w:ind w:left="1440"/>
        <w:outlineLvl w:val="1"/>
        <w:rPr>
          <w:sz w:val="22"/>
          <w:szCs w:val="22"/>
        </w:rPr>
      </w:pPr>
      <w:r w:rsidRPr="007E3BED">
        <w:rPr>
          <w:sz w:val="22"/>
          <w:szCs w:val="22"/>
        </w:rPr>
        <w:t xml:space="preserve"> </w:t>
      </w:r>
    </w:p>
    <w:p w14:paraId="094C020F" w14:textId="77777777" w:rsidR="003B177E" w:rsidRPr="007E3BED" w:rsidRDefault="007E3BED" w:rsidP="003B177E">
      <w:pPr>
        <w:pStyle w:val="ListParagraph"/>
        <w:numPr>
          <w:ilvl w:val="1"/>
          <w:numId w:val="10"/>
        </w:numPr>
        <w:spacing w:before="200" w:after="100"/>
        <w:outlineLvl w:val="1"/>
        <w:rPr>
          <w:sz w:val="22"/>
          <w:szCs w:val="22"/>
        </w:rPr>
      </w:pPr>
      <w:r w:rsidRPr="007E3BED">
        <w:rPr>
          <w:sz w:val="22"/>
          <w:szCs w:val="22"/>
        </w:rPr>
        <w:t xml:space="preserve">Legacy </w:t>
      </w:r>
      <w:r w:rsidR="00885A4B" w:rsidRPr="007E3BED">
        <w:rPr>
          <w:sz w:val="22"/>
          <w:szCs w:val="22"/>
        </w:rPr>
        <w:t xml:space="preserve">carriers with more than 20 percent but less than 40 percent deployment of 10/1 Mbps broadband </w:t>
      </w:r>
      <w:r w:rsidR="003B177E" w:rsidRPr="007E3BED">
        <w:rPr>
          <w:sz w:val="22"/>
          <w:szCs w:val="22"/>
        </w:rPr>
        <w:t xml:space="preserve">service in their study areas </w:t>
      </w:r>
      <w:r w:rsidR="00885A4B" w:rsidRPr="007E3BED">
        <w:rPr>
          <w:sz w:val="22"/>
          <w:szCs w:val="22"/>
        </w:rPr>
        <w:t>will be required to utilize 25 percent of their five-year forecasted CAF-BLS support to extend broadband service where it is currently lacking.</w:t>
      </w:r>
      <w:r w:rsidR="00D76C94">
        <w:rPr>
          <w:rStyle w:val="FootnoteReference"/>
          <w:sz w:val="22"/>
          <w:szCs w:val="22"/>
        </w:rPr>
        <w:footnoteReference w:id="27"/>
      </w:r>
      <w:r w:rsidR="00885A4B" w:rsidRPr="007E3BED">
        <w:rPr>
          <w:sz w:val="22"/>
          <w:szCs w:val="22"/>
        </w:rPr>
        <w:t xml:space="preserve">  </w:t>
      </w:r>
    </w:p>
    <w:p w14:paraId="43F7A655" w14:textId="77777777" w:rsidR="003B177E" w:rsidRPr="007E3BED" w:rsidRDefault="003B177E" w:rsidP="003B177E">
      <w:pPr>
        <w:pStyle w:val="ListParagraph"/>
        <w:rPr>
          <w:sz w:val="22"/>
          <w:szCs w:val="22"/>
        </w:rPr>
      </w:pPr>
    </w:p>
    <w:p w14:paraId="0EB4DD27" w14:textId="77777777" w:rsidR="007E3BED" w:rsidRDefault="007E3BED" w:rsidP="007E3BED">
      <w:pPr>
        <w:pStyle w:val="ListParagraph"/>
        <w:numPr>
          <w:ilvl w:val="1"/>
          <w:numId w:val="10"/>
        </w:numPr>
        <w:spacing w:before="200" w:after="100"/>
        <w:outlineLvl w:val="1"/>
        <w:rPr>
          <w:sz w:val="22"/>
          <w:szCs w:val="22"/>
        </w:rPr>
      </w:pPr>
      <w:r w:rsidRPr="007E3BED">
        <w:rPr>
          <w:sz w:val="22"/>
          <w:szCs w:val="22"/>
        </w:rPr>
        <w:t xml:space="preserve">Legacy </w:t>
      </w:r>
      <w:r w:rsidR="00885A4B" w:rsidRPr="007E3BED">
        <w:rPr>
          <w:sz w:val="22"/>
          <w:szCs w:val="22"/>
        </w:rPr>
        <w:t>carriers with more than 40 percent but less than 80 percent deployment of 10/1 Mbps broadband service in their study areas, as determined by the Wireline Competition Bureau, will be required to utilize 20 percent of their five-year forecasted CAF-BLS support to extend broadband service where it is currently lacking</w:t>
      </w:r>
      <w:r w:rsidR="00885A4B" w:rsidRPr="00CE2218">
        <w:rPr>
          <w:sz w:val="22"/>
          <w:szCs w:val="22"/>
        </w:rPr>
        <w:t>.</w:t>
      </w:r>
      <w:r w:rsidR="00D76C94">
        <w:rPr>
          <w:rStyle w:val="FootnoteReference"/>
          <w:sz w:val="22"/>
          <w:szCs w:val="22"/>
        </w:rPr>
        <w:footnoteReference w:id="28"/>
      </w:r>
      <w:r w:rsidR="00885A4B" w:rsidRPr="00CE2218">
        <w:rPr>
          <w:sz w:val="22"/>
          <w:szCs w:val="22"/>
        </w:rPr>
        <w:t xml:space="preserve">  </w:t>
      </w:r>
    </w:p>
    <w:p w14:paraId="4B94E594" w14:textId="77777777" w:rsidR="007D773B" w:rsidRPr="007D773B" w:rsidRDefault="007D773B" w:rsidP="007D773B">
      <w:pPr>
        <w:pStyle w:val="ListParagraph"/>
        <w:rPr>
          <w:sz w:val="22"/>
          <w:szCs w:val="22"/>
        </w:rPr>
      </w:pPr>
    </w:p>
    <w:p w14:paraId="2A383263" w14:textId="6D5EB70F" w:rsidR="002B7FAC" w:rsidRDefault="00BA14E2" w:rsidP="00691DB4">
      <w:pPr>
        <w:pStyle w:val="ListParagraph"/>
        <w:numPr>
          <w:ilvl w:val="1"/>
          <w:numId w:val="10"/>
        </w:numPr>
        <w:spacing w:before="200" w:after="100"/>
        <w:outlineLvl w:val="1"/>
        <w:rPr>
          <w:sz w:val="22"/>
          <w:szCs w:val="22"/>
        </w:rPr>
      </w:pPr>
      <w:r>
        <w:rPr>
          <w:sz w:val="22"/>
          <w:szCs w:val="22"/>
        </w:rPr>
        <w:t xml:space="preserve">Legacy carriers will be required to buildout to a certain number of locations.  That number </w:t>
      </w:r>
      <w:r w:rsidR="00665F42">
        <w:rPr>
          <w:sz w:val="22"/>
          <w:szCs w:val="22"/>
        </w:rPr>
        <w:t>wil</w:t>
      </w:r>
      <w:r w:rsidR="007D773B" w:rsidRPr="007D773B">
        <w:rPr>
          <w:sz w:val="22"/>
          <w:szCs w:val="22"/>
        </w:rPr>
        <w:t>l be determined by dividing the amo</w:t>
      </w:r>
      <w:r w:rsidR="00665F42">
        <w:rPr>
          <w:sz w:val="22"/>
          <w:szCs w:val="22"/>
        </w:rPr>
        <w:t xml:space="preserve">unt of support </w:t>
      </w:r>
      <w:r w:rsidR="007D773B" w:rsidRPr="007D773B">
        <w:rPr>
          <w:sz w:val="22"/>
          <w:szCs w:val="22"/>
        </w:rPr>
        <w:t xml:space="preserve">by a </w:t>
      </w:r>
      <w:r>
        <w:rPr>
          <w:sz w:val="22"/>
          <w:szCs w:val="22"/>
        </w:rPr>
        <w:t xml:space="preserve">cost per location figure calculated pursuant to </w:t>
      </w:r>
      <w:r w:rsidR="00D57DAE">
        <w:rPr>
          <w:sz w:val="22"/>
          <w:szCs w:val="22"/>
        </w:rPr>
        <w:t>S</w:t>
      </w:r>
      <w:r>
        <w:rPr>
          <w:sz w:val="22"/>
          <w:szCs w:val="22"/>
        </w:rPr>
        <w:t>ection 54.308(a)(2)(ii).</w:t>
      </w:r>
      <w:r w:rsidR="00D76C94">
        <w:rPr>
          <w:rStyle w:val="FootnoteReference"/>
          <w:sz w:val="22"/>
          <w:szCs w:val="22"/>
        </w:rPr>
        <w:footnoteReference w:id="29"/>
      </w:r>
    </w:p>
    <w:p w14:paraId="48F1CEB7" w14:textId="77777777" w:rsidR="00BA14E2" w:rsidRPr="00BA14E2" w:rsidRDefault="00BA14E2" w:rsidP="00BA14E2">
      <w:pPr>
        <w:pStyle w:val="ListParagraph"/>
        <w:rPr>
          <w:sz w:val="22"/>
          <w:szCs w:val="22"/>
        </w:rPr>
      </w:pPr>
    </w:p>
    <w:p w14:paraId="7F9418A5" w14:textId="4243997E" w:rsidR="00BA14E2" w:rsidRDefault="00BA14E2" w:rsidP="00BA14E2">
      <w:pPr>
        <w:pStyle w:val="ListParagraph"/>
        <w:numPr>
          <w:ilvl w:val="0"/>
          <w:numId w:val="10"/>
        </w:numPr>
        <w:rPr>
          <w:sz w:val="22"/>
          <w:szCs w:val="22"/>
        </w:rPr>
      </w:pPr>
      <w:r>
        <w:rPr>
          <w:i/>
          <w:sz w:val="22"/>
          <w:szCs w:val="22"/>
        </w:rPr>
        <w:t>Failure to Meet Buildout Obligations</w:t>
      </w:r>
      <w:r>
        <w:rPr>
          <w:sz w:val="22"/>
          <w:szCs w:val="22"/>
        </w:rPr>
        <w:t>:</w:t>
      </w:r>
      <w:r>
        <w:rPr>
          <w:i/>
          <w:sz w:val="22"/>
          <w:szCs w:val="22"/>
        </w:rPr>
        <w:t xml:space="preserve"> </w:t>
      </w:r>
      <w:r w:rsidR="00D57DAE">
        <w:rPr>
          <w:i/>
          <w:sz w:val="22"/>
          <w:szCs w:val="22"/>
        </w:rPr>
        <w:t xml:space="preserve"> </w:t>
      </w:r>
      <w:r>
        <w:rPr>
          <w:sz w:val="22"/>
          <w:szCs w:val="22"/>
        </w:rPr>
        <w:t xml:space="preserve">Legacy carriers that do not buildout to the required number of locations will be </w:t>
      </w:r>
      <w:r w:rsidRPr="00BA14E2">
        <w:rPr>
          <w:sz w:val="22"/>
          <w:szCs w:val="22"/>
        </w:rPr>
        <w:t xml:space="preserve">subject </w:t>
      </w:r>
      <w:r>
        <w:rPr>
          <w:sz w:val="22"/>
          <w:szCs w:val="22"/>
        </w:rPr>
        <w:t xml:space="preserve">to </w:t>
      </w:r>
      <w:r w:rsidRPr="00BA14E2">
        <w:rPr>
          <w:sz w:val="22"/>
          <w:szCs w:val="22"/>
        </w:rPr>
        <w:t>certain reporting requirements, support reductions, and even possible recovery of support.</w:t>
      </w:r>
      <w:r w:rsidRPr="00CE2218">
        <w:rPr>
          <w:rStyle w:val="FootnoteReference"/>
          <w:sz w:val="22"/>
          <w:szCs w:val="22"/>
        </w:rPr>
        <w:footnoteReference w:id="30"/>
      </w:r>
      <w:r w:rsidRPr="00BA14E2">
        <w:rPr>
          <w:sz w:val="22"/>
          <w:szCs w:val="22"/>
        </w:rPr>
        <w:t xml:space="preserve">  The non-compliance measures</w:t>
      </w:r>
      <w:r w:rsidR="00DE5EB5">
        <w:rPr>
          <w:sz w:val="22"/>
          <w:szCs w:val="22"/>
        </w:rPr>
        <w:t xml:space="preserve"> are detailed in section 54.320(d), and the measures</w:t>
      </w:r>
      <w:r w:rsidRPr="00BA14E2">
        <w:rPr>
          <w:sz w:val="22"/>
          <w:szCs w:val="22"/>
        </w:rPr>
        <w:t xml:space="preserve"> that apply will depend on the size of the compliance gap (i.e., the number of required locations that the ETC fails to build out to by the applicable deadline).</w:t>
      </w:r>
      <w:r w:rsidRPr="00CE2218">
        <w:rPr>
          <w:rStyle w:val="FootnoteReference"/>
          <w:sz w:val="22"/>
          <w:szCs w:val="22"/>
        </w:rPr>
        <w:footnoteReference w:id="31"/>
      </w:r>
      <w:r w:rsidRPr="00BA14E2">
        <w:rPr>
          <w:sz w:val="22"/>
          <w:szCs w:val="22"/>
        </w:rPr>
        <w:t xml:space="preserve"> </w:t>
      </w:r>
    </w:p>
    <w:p w14:paraId="6F826DCC" w14:textId="77777777" w:rsidR="004B7D54" w:rsidRPr="00BA14E2" w:rsidRDefault="004B7D54" w:rsidP="004B7D54">
      <w:pPr>
        <w:pStyle w:val="ListParagraph"/>
        <w:rPr>
          <w:sz w:val="22"/>
          <w:szCs w:val="22"/>
        </w:rPr>
      </w:pPr>
    </w:p>
    <w:p w14:paraId="79BB0EB0" w14:textId="77777777" w:rsidR="002B7FAC" w:rsidRDefault="002B7FAC" w:rsidP="004B7D54">
      <w:pPr>
        <w:pStyle w:val="ListParagraph"/>
        <w:numPr>
          <w:ilvl w:val="0"/>
          <w:numId w:val="19"/>
        </w:numPr>
        <w:spacing w:before="200" w:after="100"/>
        <w:outlineLvl w:val="1"/>
        <w:rPr>
          <w:b/>
          <w:sz w:val="22"/>
          <w:szCs w:val="22"/>
          <w:u w:val="single"/>
        </w:rPr>
      </w:pPr>
      <w:r w:rsidRPr="004B7D54">
        <w:rPr>
          <w:b/>
          <w:sz w:val="22"/>
          <w:szCs w:val="22"/>
          <w:u w:val="single"/>
        </w:rPr>
        <w:t>Restrictions on Deployment</w:t>
      </w:r>
    </w:p>
    <w:p w14:paraId="182F5F37" w14:textId="77777777" w:rsidR="004B7D54" w:rsidRPr="004B7D54" w:rsidRDefault="004B7D54" w:rsidP="004B7D54">
      <w:pPr>
        <w:pStyle w:val="ListParagraph"/>
        <w:spacing w:before="200" w:after="100"/>
        <w:outlineLvl w:val="1"/>
        <w:rPr>
          <w:b/>
          <w:sz w:val="22"/>
          <w:szCs w:val="22"/>
          <w:u w:val="single"/>
        </w:rPr>
      </w:pPr>
    </w:p>
    <w:p w14:paraId="6C647C65" w14:textId="77777777" w:rsidR="007E3BED" w:rsidRDefault="001E0496" w:rsidP="002B7FAC">
      <w:pPr>
        <w:pStyle w:val="ListParagraph"/>
        <w:numPr>
          <w:ilvl w:val="0"/>
          <w:numId w:val="14"/>
        </w:numPr>
        <w:spacing w:before="200" w:after="100"/>
        <w:outlineLvl w:val="1"/>
        <w:rPr>
          <w:sz w:val="22"/>
          <w:szCs w:val="22"/>
        </w:rPr>
      </w:pPr>
      <w:r w:rsidRPr="002B7FAC">
        <w:rPr>
          <w:sz w:val="22"/>
          <w:szCs w:val="22"/>
        </w:rPr>
        <w:t>M</w:t>
      </w:r>
      <w:r w:rsidR="007E3BED" w:rsidRPr="002B7FAC">
        <w:rPr>
          <w:sz w:val="22"/>
          <w:szCs w:val="22"/>
        </w:rPr>
        <w:t xml:space="preserve">odel-based carriers </w:t>
      </w:r>
      <w:r w:rsidRPr="002B7FAC">
        <w:rPr>
          <w:sz w:val="22"/>
          <w:szCs w:val="22"/>
        </w:rPr>
        <w:t>and</w:t>
      </w:r>
      <w:r w:rsidR="007E3BED" w:rsidRPr="002B7FAC">
        <w:rPr>
          <w:sz w:val="22"/>
          <w:szCs w:val="22"/>
        </w:rPr>
        <w:t xml:space="preserve"> legacy carriers </w:t>
      </w:r>
      <w:r w:rsidRPr="002B7FAC">
        <w:rPr>
          <w:sz w:val="22"/>
          <w:szCs w:val="22"/>
        </w:rPr>
        <w:t>may not</w:t>
      </w:r>
      <w:r w:rsidR="007E3BED" w:rsidRPr="002B7FAC">
        <w:rPr>
          <w:sz w:val="22"/>
          <w:szCs w:val="22"/>
        </w:rPr>
        <w:t xml:space="preserve"> deploy terrestrial wireline technology in any census block if doing so would result in total support per line in the study area to exceed </w:t>
      </w:r>
      <w:r w:rsidR="002B7FAC">
        <w:rPr>
          <w:sz w:val="22"/>
          <w:szCs w:val="22"/>
        </w:rPr>
        <w:t>$250 per-line per-month.</w:t>
      </w:r>
      <w:r w:rsidR="00946C4C">
        <w:rPr>
          <w:rStyle w:val="FootnoteReference"/>
          <w:sz w:val="22"/>
          <w:szCs w:val="22"/>
        </w:rPr>
        <w:footnoteReference w:id="32"/>
      </w:r>
    </w:p>
    <w:p w14:paraId="66053077" w14:textId="77777777" w:rsidR="002B7FAC" w:rsidRPr="002B7FAC" w:rsidRDefault="002B7FAC" w:rsidP="002B7FAC">
      <w:pPr>
        <w:pStyle w:val="ListParagraph"/>
        <w:spacing w:before="200" w:after="100"/>
        <w:outlineLvl w:val="1"/>
        <w:rPr>
          <w:sz w:val="22"/>
          <w:szCs w:val="22"/>
        </w:rPr>
      </w:pPr>
    </w:p>
    <w:p w14:paraId="70213625" w14:textId="070F9B2D" w:rsidR="007E3BED" w:rsidRPr="002B7FAC" w:rsidRDefault="001E0496" w:rsidP="002B7FAC">
      <w:pPr>
        <w:pStyle w:val="ListParagraph"/>
        <w:numPr>
          <w:ilvl w:val="0"/>
          <w:numId w:val="14"/>
        </w:numPr>
        <w:spacing w:before="200" w:after="100"/>
        <w:outlineLvl w:val="1"/>
        <w:rPr>
          <w:sz w:val="22"/>
          <w:szCs w:val="22"/>
        </w:rPr>
      </w:pPr>
      <w:r w:rsidRPr="002B7FAC">
        <w:rPr>
          <w:sz w:val="22"/>
          <w:szCs w:val="22"/>
        </w:rPr>
        <w:t xml:space="preserve">Model-based carriers and legacy carriers may not </w:t>
      </w:r>
      <w:r w:rsidR="007E3BED" w:rsidRPr="002B7FAC">
        <w:rPr>
          <w:sz w:val="22"/>
          <w:szCs w:val="22"/>
        </w:rPr>
        <w:t xml:space="preserve">deploy terrestrial wireline technology to unserved locations to meet </w:t>
      </w:r>
      <w:r w:rsidRPr="002B7FAC">
        <w:rPr>
          <w:sz w:val="22"/>
          <w:szCs w:val="22"/>
        </w:rPr>
        <w:t>its</w:t>
      </w:r>
      <w:r w:rsidR="007E3BED" w:rsidRPr="002B7FAC">
        <w:rPr>
          <w:sz w:val="22"/>
          <w:szCs w:val="22"/>
        </w:rPr>
        <w:t xml:space="preserve"> oblig</w:t>
      </w:r>
      <w:r w:rsidRPr="002B7FAC">
        <w:rPr>
          <w:sz w:val="22"/>
          <w:szCs w:val="22"/>
        </w:rPr>
        <w:t xml:space="preserve">ations if doing so would exceed the </w:t>
      </w:r>
      <w:r w:rsidR="007E3BED" w:rsidRPr="002B7FAC">
        <w:rPr>
          <w:sz w:val="22"/>
          <w:szCs w:val="22"/>
        </w:rPr>
        <w:t xml:space="preserve">per location/per project capital investment allowance set forth in </w:t>
      </w:r>
      <w:r w:rsidR="00D93BB5">
        <w:rPr>
          <w:sz w:val="22"/>
          <w:szCs w:val="22"/>
        </w:rPr>
        <w:t>Section</w:t>
      </w:r>
      <w:r w:rsidR="00A41870">
        <w:rPr>
          <w:sz w:val="22"/>
          <w:szCs w:val="22"/>
        </w:rPr>
        <w:t xml:space="preserve"> </w:t>
      </w:r>
      <w:r w:rsidR="007E3BED" w:rsidRPr="002B7FAC">
        <w:rPr>
          <w:sz w:val="22"/>
          <w:szCs w:val="22"/>
        </w:rPr>
        <w:t>54.303(f)(1).</w:t>
      </w:r>
      <w:r w:rsidR="00946C4C">
        <w:rPr>
          <w:rStyle w:val="FootnoteReference"/>
          <w:sz w:val="22"/>
          <w:szCs w:val="22"/>
        </w:rPr>
        <w:footnoteReference w:id="33"/>
      </w:r>
      <w:r w:rsidR="007E3BED" w:rsidRPr="002B7FAC">
        <w:rPr>
          <w:sz w:val="22"/>
          <w:szCs w:val="22"/>
        </w:rPr>
        <w:t xml:space="preserve">   </w:t>
      </w:r>
      <w:r w:rsidRPr="002B7FAC">
        <w:rPr>
          <w:sz w:val="22"/>
          <w:szCs w:val="22"/>
        </w:rPr>
        <w:t xml:space="preserve"> </w:t>
      </w:r>
    </w:p>
    <w:p w14:paraId="45271F61" w14:textId="77777777" w:rsidR="00E179B3" w:rsidRDefault="00E179B3" w:rsidP="001A1AA0">
      <w:pPr>
        <w:rPr>
          <w:b/>
          <w:sz w:val="22"/>
          <w:szCs w:val="22"/>
          <w:u w:val="single"/>
        </w:rPr>
      </w:pPr>
    </w:p>
    <w:p w14:paraId="08EBA27C" w14:textId="77777777" w:rsidR="00E179B3" w:rsidRPr="004B7D54" w:rsidRDefault="00E179B3" w:rsidP="004B7D54">
      <w:pPr>
        <w:pStyle w:val="ListParagraph"/>
        <w:numPr>
          <w:ilvl w:val="0"/>
          <w:numId w:val="19"/>
        </w:numPr>
        <w:rPr>
          <w:b/>
          <w:sz w:val="22"/>
          <w:szCs w:val="22"/>
          <w:u w:val="single"/>
        </w:rPr>
      </w:pPr>
      <w:r w:rsidRPr="004B7D54">
        <w:rPr>
          <w:b/>
          <w:sz w:val="22"/>
          <w:szCs w:val="22"/>
          <w:u w:val="single"/>
        </w:rPr>
        <w:t>Reporting</w:t>
      </w:r>
      <w:r w:rsidR="009621E9" w:rsidRPr="004B7D54">
        <w:rPr>
          <w:b/>
          <w:sz w:val="22"/>
          <w:szCs w:val="22"/>
          <w:u w:val="single"/>
        </w:rPr>
        <w:t>/Certification</w:t>
      </w:r>
      <w:r w:rsidR="004B7D54">
        <w:rPr>
          <w:b/>
          <w:sz w:val="22"/>
          <w:szCs w:val="22"/>
          <w:u w:val="single"/>
        </w:rPr>
        <w:t>/Recordkeeping</w:t>
      </w:r>
      <w:r w:rsidRPr="004B7D54">
        <w:rPr>
          <w:b/>
          <w:sz w:val="22"/>
          <w:szCs w:val="22"/>
          <w:u w:val="single"/>
        </w:rPr>
        <w:t xml:space="preserve"> Obligations</w:t>
      </w:r>
    </w:p>
    <w:p w14:paraId="52C52525" w14:textId="77777777" w:rsidR="00E179B3" w:rsidRDefault="00E179B3" w:rsidP="001A1AA0">
      <w:pPr>
        <w:rPr>
          <w:b/>
          <w:sz w:val="22"/>
          <w:szCs w:val="22"/>
        </w:rPr>
      </w:pPr>
    </w:p>
    <w:p w14:paraId="702EDBD3" w14:textId="77777777" w:rsidR="001A1AA0" w:rsidRPr="004B7D54" w:rsidRDefault="001A1AA0" w:rsidP="004B7D54">
      <w:pPr>
        <w:pStyle w:val="ListParagraph"/>
        <w:numPr>
          <w:ilvl w:val="0"/>
          <w:numId w:val="21"/>
        </w:numPr>
        <w:rPr>
          <w:b/>
          <w:sz w:val="22"/>
          <w:szCs w:val="22"/>
        </w:rPr>
      </w:pPr>
      <w:r w:rsidRPr="004B7D54">
        <w:rPr>
          <w:b/>
          <w:sz w:val="22"/>
          <w:szCs w:val="22"/>
        </w:rPr>
        <w:t xml:space="preserve">Each </w:t>
      </w:r>
      <w:r w:rsidR="00BA14E2" w:rsidRPr="004B7D54">
        <w:rPr>
          <w:b/>
          <w:sz w:val="22"/>
          <w:szCs w:val="22"/>
        </w:rPr>
        <w:t>model</w:t>
      </w:r>
      <w:r w:rsidRPr="004B7D54">
        <w:rPr>
          <w:b/>
          <w:sz w:val="22"/>
          <w:szCs w:val="22"/>
        </w:rPr>
        <w:t xml:space="preserve">-based </w:t>
      </w:r>
      <w:r w:rsidR="00BA14E2" w:rsidRPr="004B7D54">
        <w:rPr>
          <w:b/>
          <w:sz w:val="22"/>
          <w:szCs w:val="22"/>
        </w:rPr>
        <w:t xml:space="preserve">carrier </w:t>
      </w:r>
      <w:r w:rsidRPr="004B7D54">
        <w:rPr>
          <w:b/>
          <w:sz w:val="22"/>
          <w:szCs w:val="22"/>
        </w:rPr>
        <w:t>must report:</w:t>
      </w:r>
    </w:p>
    <w:p w14:paraId="50B41042" w14:textId="77777777" w:rsidR="009621E9" w:rsidRPr="009621E9" w:rsidRDefault="009621E9" w:rsidP="009621E9">
      <w:pPr>
        <w:widowControl w:val="0"/>
        <w:rPr>
          <w:color w:val="000000"/>
          <w:sz w:val="22"/>
          <w:szCs w:val="22"/>
          <w:shd w:val="clear" w:color="auto" w:fill="FFFFFF"/>
        </w:rPr>
      </w:pPr>
    </w:p>
    <w:p w14:paraId="26E08F51" w14:textId="5C064AE5" w:rsidR="006D41D3" w:rsidRDefault="007E5235" w:rsidP="00297EB5">
      <w:pPr>
        <w:pStyle w:val="ListParagraph"/>
        <w:widowControl w:val="0"/>
        <w:numPr>
          <w:ilvl w:val="0"/>
          <w:numId w:val="10"/>
        </w:numPr>
        <w:rPr>
          <w:color w:val="000000"/>
          <w:sz w:val="22"/>
          <w:szCs w:val="22"/>
          <w:shd w:val="clear" w:color="auto" w:fill="FFFFFF"/>
        </w:rPr>
      </w:pPr>
      <w:r>
        <w:rPr>
          <w:color w:val="000000"/>
          <w:sz w:val="22"/>
          <w:szCs w:val="22"/>
          <w:shd w:val="clear" w:color="auto" w:fill="FFFFFF"/>
        </w:rPr>
        <w:t xml:space="preserve">By March 1 </w:t>
      </w:r>
      <w:r w:rsidR="00D93BB5">
        <w:rPr>
          <w:color w:val="000000"/>
          <w:sz w:val="22"/>
          <w:szCs w:val="22"/>
          <w:shd w:val="clear" w:color="auto" w:fill="FFFFFF"/>
        </w:rPr>
        <w:t xml:space="preserve">of </w:t>
      </w:r>
      <w:r>
        <w:rPr>
          <w:color w:val="000000"/>
          <w:sz w:val="22"/>
          <w:szCs w:val="22"/>
          <w:shd w:val="clear" w:color="auto" w:fill="FFFFFF"/>
        </w:rPr>
        <w:t>each year</w:t>
      </w:r>
      <w:r w:rsidR="00D93BB5">
        <w:rPr>
          <w:color w:val="000000"/>
          <w:sz w:val="22"/>
          <w:szCs w:val="22"/>
          <w:shd w:val="clear" w:color="auto" w:fill="FFFFFF"/>
        </w:rPr>
        <w:t>,</w:t>
      </w:r>
      <w:r>
        <w:rPr>
          <w:color w:val="000000"/>
          <w:sz w:val="22"/>
          <w:szCs w:val="22"/>
          <w:shd w:val="clear" w:color="auto" w:fill="FFFFFF"/>
        </w:rPr>
        <w:t xml:space="preserve"> m</w:t>
      </w:r>
      <w:r w:rsidRPr="005D0E24">
        <w:rPr>
          <w:color w:val="000000"/>
          <w:sz w:val="22"/>
          <w:szCs w:val="22"/>
          <w:shd w:val="clear" w:color="auto" w:fill="FFFFFF"/>
        </w:rPr>
        <w:t xml:space="preserve">odel-based carriers </w:t>
      </w:r>
      <w:r>
        <w:rPr>
          <w:color w:val="000000"/>
          <w:sz w:val="22"/>
          <w:szCs w:val="22"/>
          <w:shd w:val="clear" w:color="auto" w:fill="FFFFFF"/>
        </w:rPr>
        <w:t>w</w:t>
      </w:r>
      <w:r w:rsidRPr="005D0E24">
        <w:rPr>
          <w:color w:val="000000"/>
          <w:sz w:val="22"/>
          <w:szCs w:val="22"/>
          <w:shd w:val="clear" w:color="auto" w:fill="FFFFFF"/>
        </w:rPr>
        <w:t xml:space="preserve">ith defined broadband deployment obligations must file with USAC information regarding the locations to which the carrier is offering </w:t>
      </w:r>
      <w:r w:rsidR="00297EB5">
        <w:rPr>
          <w:color w:val="000000"/>
          <w:sz w:val="22"/>
          <w:szCs w:val="22"/>
          <w:shd w:val="clear" w:color="auto" w:fill="FFFFFF"/>
        </w:rPr>
        <w:t>broadband service with</w:t>
      </w:r>
      <w:r w:rsidR="00297EB5" w:rsidRPr="00297EB5">
        <w:t xml:space="preserve"> </w:t>
      </w:r>
      <w:r w:rsidR="00297EB5" w:rsidRPr="00297EB5">
        <w:rPr>
          <w:color w:val="000000"/>
          <w:sz w:val="22"/>
          <w:szCs w:val="22"/>
          <w:shd w:val="clear" w:color="auto" w:fill="FFFFFF"/>
        </w:rPr>
        <w:t>latency suitable for real-time applications, including Voice over Internet Protocol, and usage capacity that is reasonably comparable to comparable offerings in urban areas, at rates that are reasonably comparable to rates for comparable offerings in urban areas.</w:t>
      </w:r>
      <w:r w:rsidR="000B7E86">
        <w:rPr>
          <w:rStyle w:val="FootnoteReference"/>
          <w:color w:val="000000"/>
          <w:sz w:val="22"/>
          <w:szCs w:val="22"/>
          <w:shd w:val="clear" w:color="auto" w:fill="FFFFFF"/>
        </w:rPr>
        <w:footnoteReference w:id="34"/>
      </w:r>
    </w:p>
    <w:p w14:paraId="0FE6DA04" w14:textId="77777777" w:rsidR="006D41D3" w:rsidRDefault="006D41D3" w:rsidP="006D41D3">
      <w:pPr>
        <w:pStyle w:val="ListParagraph"/>
        <w:widowControl w:val="0"/>
        <w:rPr>
          <w:color w:val="000000"/>
          <w:sz w:val="22"/>
          <w:szCs w:val="22"/>
          <w:shd w:val="clear" w:color="auto" w:fill="FFFFFF"/>
        </w:rPr>
      </w:pPr>
    </w:p>
    <w:p w14:paraId="264678C9" w14:textId="5B66E47E" w:rsidR="007E5235" w:rsidRPr="005D0E24" w:rsidRDefault="006D41D3" w:rsidP="006D41D3">
      <w:pPr>
        <w:pStyle w:val="ListParagraph"/>
        <w:widowControl w:val="0"/>
        <w:numPr>
          <w:ilvl w:val="1"/>
          <w:numId w:val="10"/>
        </w:numPr>
        <w:rPr>
          <w:color w:val="000000"/>
          <w:sz w:val="22"/>
          <w:szCs w:val="22"/>
          <w:shd w:val="clear" w:color="auto" w:fill="FFFFFF"/>
        </w:rPr>
      </w:pPr>
      <w:r>
        <w:rPr>
          <w:color w:val="000000"/>
          <w:sz w:val="22"/>
          <w:szCs w:val="22"/>
          <w:shd w:val="clear" w:color="auto" w:fill="FFFFFF"/>
        </w:rPr>
        <w:t xml:space="preserve">Regarding latency, specifically, </w:t>
      </w:r>
      <w:r>
        <w:rPr>
          <w:sz w:val="22"/>
          <w:szCs w:val="22"/>
        </w:rPr>
        <w:t xml:space="preserve">model-based carriers must </w:t>
      </w:r>
      <w:r w:rsidRPr="00162D02">
        <w:rPr>
          <w:sz w:val="22"/>
          <w:szCs w:val="22"/>
        </w:rPr>
        <w:t>certify that 95 percent or more of all peak period measurements of network round-trip latency are at or below 100 milliseconds</w:t>
      </w:r>
      <w:r>
        <w:rPr>
          <w:sz w:val="22"/>
          <w:szCs w:val="22"/>
        </w:rPr>
        <w:t>.</w:t>
      </w:r>
      <w:r w:rsidR="002747D8">
        <w:rPr>
          <w:rStyle w:val="FootnoteReference"/>
          <w:sz w:val="22"/>
          <w:szCs w:val="22"/>
        </w:rPr>
        <w:footnoteReference w:id="35"/>
      </w:r>
      <w:r>
        <w:rPr>
          <w:sz w:val="22"/>
          <w:szCs w:val="22"/>
        </w:rPr>
        <w:t xml:space="preserve"> </w:t>
      </w:r>
      <w:r w:rsidR="007E5235" w:rsidRPr="005D0E24">
        <w:rPr>
          <w:sz w:val="22"/>
          <w:szCs w:val="22"/>
        </w:rPr>
        <w:t xml:space="preserve"> </w:t>
      </w:r>
    </w:p>
    <w:p w14:paraId="78948CBC" w14:textId="77777777" w:rsidR="007E5235" w:rsidRDefault="007E5235" w:rsidP="007E5235">
      <w:pPr>
        <w:pStyle w:val="ListParagraph"/>
        <w:widowControl w:val="0"/>
        <w:rPr>
          <w:color w:val="000000"/>
          <w:sz w:val="22"/>
          <w:szCs w:val="22"/>
          <w:shd w:val="clear" w:color="auto" w:fill="FFFFFF"/>
        </w:rPr>
      </w:pPr>
    </w:p>
    <w:p w14:paraId="75E800B4" w14:textId="7CC0C8D6" w:rsidR="009621E9" w:rsidRPr="00032AF7" w:rsidRDefault="00297EB5" w:rsidP="00297EB5">
      <w:pPr>
        <w:pStyle w:val="ListParagraph"/>
        <w:widowControl w:val="0"/>
        <w:numPr>
          <w:ilvl w:val="0"/>
          <w:numId w:val="10"/>
        </w:numPr>
        <w:rPr>
          <w:color w:val="000000"/>
          <w:sz w:val="22"/>
          <w:szCs w:val="22"/>
          <w:shd w:val="clear" w:color="auto" w:fill="FFFFFF"/>
        </w:rPr>
      </w:pPr>
      <w:r>
        <w:rPr>
          <w:color w:val="000000"/>
          <w:sz w:val="22"/>
          <w:szCs w:val="22"/>
          <w:shd w:val="clear" w:color="auto" w:fill="FFFFFF"/>
        </w:rPr>
        <w:t>B</w:t>
      </w:r>
      <w:r w:rsidR="003E3D0B">
        <w:rPr>
          <w:color w:val="000000"/>
          <w:sz w:val="22"/>
          <w:szCs w:val="22"/>
          <w:shd w:val="clear" w:color="auto" w:fill="FFFFFF"/>
        </w:rPr>
        <w:t xml:space="preserve">y March 1 </w:t>
      </w:r>
      <w:r w:rsidR="00A41870">
        <w:rPr>
          <w:color w:val="000000"/>
          <w:sz w:val="22"/>
          <w:szCs w:val="22"/>
          <w:shd w:val="clear" w:color="auto" w:fill="FFFFFF"/>
        </w:rPr>
        <w:t xml:space="preserve">of </w:t>
      </w:r>
      <w:r w:rsidR="003E3D0B">
        <w:rPr>
          <w:color w:val="000000"/>
          <w:sz w:val="22"/>
          <w:szCs w:val="22"/>
          <w:shd w:val="clear" w:color="auto" w:fill="FFFFFF"/>
        </w:rPr>
        <w:t>each year</w:t>
      </w:r>
      <w:r w:rsidR="00144E8B">
        <w:rPr>
          <w:color w:val="000000"/>
          <w:sz w:val="22"/>
          <w:szCs w:val="22"/>
          <w:shd w:val="clear" w:color="auto" w:fill="FFFFFF"/>
        </w:rPr>
        <w:t>,</w:t>
      </w:r>
      <w:r w:rsidR="003E3D0B">
        <w:rPr>
          <w:color w:val="000000"/>
          <w:sz w:val="22"/>
          <w:szCs w:val="22"/>
          <w:shd w:val="clear" w:color="auto" w:fill="FFFFFF"/>
        </w:rPr>
        <w:t xml:space="preserve"> m</w:t>
      </w:r>
      <w:r w:rsidR="009621E9" w:rsidRPr="001D60C2">
        <w:rPr>
          <w:color w:val="000000"/>
          <w:sz w:val="22"/>
          <w:szCs w:val="22"/>
          <w:shd w:val="clear" w:color="auto" w:fill="FFFFFF"/>
        </w:rPr>
        <w:t>odel-based carriers must</w:t>
      </w:r>
      <w:r w:rsidR="00F020D5" w:rsidRPr="001D60C2">
        <w:rPr>
          <w:sz w:val="22"/>
          <w:szCs w:val="22"/>
        </w:rPr>
        <w:t xml:space="preserve"> report</w:t>
      </w:r>
      <w:r w:rsidR="006A261E">
        <w:rPr>
          <w:sz w:val="22"/>
          <w:szCs w:val="22"/>
        </w:rPr>
        <w:t xml:space="preserve"> </w:t>
      </w:r>
      <w:r w:rsidR="00F020D5" w:rsidRPr="001D60C2">
        <w:rPr>
          <w:sz w:val="22"/>
          <w:szCs w:val="22"/>
        </w:rPr>
        <w:t xml:space="preserve">the number of locations for each state and locational information, including geocodes, separately indicating whether they are offering service providing speeds of at least 4 Mbps downstream/1 Mbps upstream, 10 Mbps downstream/1 Mbps upstream, </w:t>
      </w:r>
      <w:r w:rsidR="0076067D">
        <w:rPr>
          <w:sz w:val="22"/>
          <w:szCs w:val="22"/>
        </w:rPr>
        <w:t xml:space="preserve">or </w:t>
      </w:r>
      <w:r w:rsidR="00F020D5" w:rsidRPr="001D60C2">
        <w:rPr>
          <w:sz w:val="22"/>
          <w:szCs w:val="22"/>
        </w:rPr>
        <w:t>25 Mbps downstream/3 Mbps upstream.</w:t>
      </w:r>
      <w:r w:rsidR="004E6CEF">
        <w:rPr>
          <w:rStyle w:val="FootnoteReference"/>
          <w:sz w:val="22"/>
          <w:szCs w:val="22"/>
        </w:rPr>
        <w:footnoteReference w:id="36"/>
      </w:r>
      <w:r w:rsidR="006A261E">
        <w:rPr>
          <w:sz w:val="22"/>
          <w:szCs w:val="22"/>
        </w:rPr>
        <w:t xml:space="preserve"> </w:t>
      </w:r>
    </w:p>
    <w:p w14:paraId="606FF5B2" w14:textId="77777777" w:rsidR="00032AF7" w:rsidRPr="00032AF7" w:rsidRDefault="00032AF7" w:rsidP="00032AF7">
      <w:pPr>
        <w:pStyle w:val="ListParagraph"/>
        <w:widowControl w:val="0"/>
        <w:ind w:left="1440"/>
        <w:rPr>
          <w:color w:val="000000"/>
          <w:sz w:val="22"/>
          <w:szCs w:val="22"/>
          <w:shd w:val="clear" w:color="auto" w:fill="FFFFFF"/>
        </w:rPr>
      </w:pPr>
    </w:p>
    <w:p w14:paraId="423194B1" w14:textId="77777777" w:rsidR="00CC4D44" w:rsidRPr="001D60C2" w:rsidRDefault="009621E9" w:rsidP="00CC4D44">
      <w:pPr>
        <w:pStyle w:val="ListParagraph"/>
        <w:widowControl w:val="0"/>
        <w:numPr>
          <w:ilvl w:val="0"/>
          <w:numId w:val="10"/>
        </w:numPr>
        <w:rPr>
          <w:color w:val="000000"/>
          <w:sz w:val="22"/>
          <w:szCs w:val="22"/>
          <w:shd w:val="clear" w:color="auto" w:fill="FFFFFF"/>
        </w:rPr>
      </w:pPr>
      <w:r w:rsidRPr="001D60C2">
        <w:rPr>
          <w:color w:val="000000"/>
          <w:sz w:val="22"/>
          <w:szCs w:val="22"/>
        </w:rPr>
        <w:t>Model-based carriers must provide</w:t>
      </w:r>
      <w:r w:rsidRPr="001D60C2">
        <w:rPr>
          <w:i/>
          <w:color w:val="000000"/>
          <w:sz w:val="22"/>
          <w:szCs w:val="22"/>
        </w:rPr>
        <w:t xml:space="preserve"> </w:t>
      </w:r>
      <w:r w:rsidRPr="001D60C2">
        <w:rPr>
          <w:sz w:val="22"/>
          <w:szCs w:val="22"/>
        </w:rPr>
        <w:t xml:space="preserve">no later than March 1, 2021, and every year thereafter ending no later than March 1, 2027, a certification that by the end of the prior calendar year, it was offering broadband meeting its service obligations to the required percentage of its </w:t>
      </w:r>
      <w:r w:rsidR="00CC4D44" w:rsidRPr="001D60C2">
        <w:rPr>
          <w:sz w:val="22"/>
          <w:szCs w:val="22"/>
        </w:rPr>
        <w:t>“</w:t>
      </w:r>
      <w:r w:rsidRPr="001D60C2">
        <w:rPr>
          <w:sz w:val="22"/>
          <w:szCs w:val="22"/>
        </w:rPr>
        <w:t>fully funded</w:t>
      </w:r>
      <w:r w:rsidR="00CC4D44" w:rsidRPr="001D60C2">
        <w:rPr>
          <w:sz w:val="22"/>
          <w:szCs w:val="22"/>
        </w:rPr>
        <w:t>”</w:t>
      </w:r>
      <w:r w:rsidRPr="001D60C2">
        <w:rPr>
          <w:sz w:val="22"/>
          <w:szCs w:val="22"/>
        </w:rPr>
        <w:t xml:space="preserve"> locations in the state, pursuant to the interim deployment mi</w:t>
      </w:r>
      <w:r w:rsidR="008C2F8B">
        <w:rPr>
          <w:sz w:val="22"/>
          <w:szCs w:val="22"/>
        </w:rPr>
        <w:t>lestones.</w:t>
      </w:r>
      <w:r w:rsidR="00AE14A3">
        <w:rPr>
          <w:rStyle w:val="FootnoteReference"/>
          <w:sz w:val="22"/>
          <w:szCs w:val="22"/>
        </w:rPr>
        <w:footnoteReference w:id="37"/>
      </w:r>
    </w:p>
    <w:p w14:paraId="03221AC7" w14:textId="77777777" w:rsidR="009621E9" w:rsidRPr="001D60C2" w:rsidRDefault="009621E9" w:rsidP="00CC4D44">
      <w:pPr>
        <w:widowControl w:val="0"/>
        <w:rPr>
          <w:color w:val="000000"/>
          <w:sz w:val="22"/>
          <w:szCs w:val="22"/>
          <w:shd w:val="clear" w:color="auto" w:fill="FFFFFF"/>
        </w:rPr>
      </w:pPr>
      <w:r w:rsidRPr="001D60C2">
        <w:rPr>
          <w:sz w:val="22"/>
          <w:szCs w:val="22"/>
        </w:rPr>
        <w:t xml:space="preserve"> </w:t>
      </w:r>
    </w:p>
    <w:p w14:paraId="4E69FAEA" w14:textId="77777777" w:rsidR="006A261E" w:rsidRDefault="006A261E" w:rsidP="006A261E">
      <w:pPr>
        <w:pStyle w:val="ListParagraph"/>
        <w:numPr>
          <w:ilvl w:val="0"/>
          <w:numId w:val="10"/>
        </w:numPr>
        <w:rPr>
          <w:sz w:val="22"/>
          <w:szCs w:val="22"/>
        </w:rPr>
      </w:pPr>
      <w:r>
        <w:rPr>
          <w:sz w:val="22"/>
          <w:szCs w:val="22"/>
        </w:rPr>
        <w:t>Model-based</w:t>
      </w:r>
      <w:r w:rsidRPr="009916C8">
        <w:rPr>
          <w:sz w:val="22"/>
          <w:szCs w:val="22"/>
        </w:rPr>
        <w:t xml:space="preserve"> carriers that file their reports after the March 1 deadline shall receive a reduction in support pursuant to the following schedule:</w:t>
      </w:r>
    </w:p>
    <w:p w14:paraId="52CBCCCF" w14:textId="77777777" w:rsidR="006A261E" w:rsidRPr="009916C8" w:rsidRDefault="006A261E" w:rsidP="006A261E">
      <w:pPr>
        <w:rPr>
          <w:sz w:val="22"/>
          <w:szCs w:val="22"/>
        </w:rPr>
      </w:pPr>
    </w:p>
    <w:p w14:paraId="6F7CFDF5" w14:textId="58A18E39" w:rsidR="006A261E" w:rsidRDefault="006A261E" w:rsidP="006A261E">
      <w:pPr>
        <w:pStyle w:val="ListParagraph"/>
        <w:numPr>
          <w:ilvl w:val="1"/>
          <w:numId w:val="10"/>
        </w:numPr>
        <w:rPr>
          <w:sz w:val="22"/>
          <w:szCs w:val="22"/>
        </w:rPr>
      </w:pPr>
      <w:r>
        <w:rPr>
          <w:sz w:val="22"/>
          <w:szCs w:val="22"/>
        </w:rPr>
        <w:t>A model-based carrier that files</w:t>
      </w:r>
      <w:r w:rsidRPr="009916C8">
        <w:rPr>
          <w:sz w:val="22"/>
          <w:szCs w:val="22"/>
        </w:rPr>
        <w:t xml:space="preserve"> after the March 1 deadline, but by March 8, will have its support reduced in an amount equivalent to seven days in support;</w:t>
      </w:r>
    </w:p>
    <w:p w14:paraId="29279B43" w14:textId="77777777" w:rsidR="006A261E" w:rsidRPr="009916C8" w:rsidRDefault="006A261E" w:rsidP="006A261E">
      <w:pPr>
        <w:pStyle w:val="ListParagraph"/>
        <w:rPr>
          <w:sz w:val="22"/>
          <w:szCs w:val="22"/>
        </w:rPr>
      </w:pPr>
    </w:p>
    <w:p w14:paraId="6F7C2B89" w14:textId="6F64A7E6" w:rsidR="006A261E" w:rsidRDefault="006A261E" w:rsidP="006A261E">
      <w:pPr>
        <w:pStyle w:val="ListParagraph"/>
        <w:numPr>
          <w:ilvl w:val="1"/>
          <w:numId w:val="10"/>
        </w:numPr>
        <w:rPr>
          <w:sz w:val="22"/>
          <w:szCs w:val="22"/>
        </w:rPr>
      </w:pPr>
      <w:r>
        <w:rPr>
          <w:sz w:val="22"/>
          <w:szCs w:val="22"/>
        </w:rPr>
        <w:t xml:space="preserve">A model-based carrier that files </w:t>
      </w:r>
      <w:r w:rsidRPr="009916C8">
        <w:rPr>
          <w:sz w:val="22"/>
          <w:szCs w:val="22"/>
        </w:rPr>
        <w:t>on or after March 9 will have its support reduced on a pro-rata daily basis equivalent to the period of non-compliance, plus the minimum seven-day reduction,</w:t>
      </w:r>
    </w:p>
    <w:p w14:paraId="099F0A94" w14:textId="77777777" w:rsidR="006A261E" w:rsidRPr="009916C8" w:rsidRDefault="006A261E" w:rsidP="006A261E">
      <w:pPr>
        <w:rPr>
          <w:sz w:val="22"/>
          <w:szCs w:val="22"/>
        </w:rPr>
      </w:pPr>
    </w:p>
    <w:p w14:paraId="35658125" w14:textId="06A70E56" w:rsidR="006A261E" w:rsidRPr="006A261E" w:rsidRDefault="006A261E" w:rsidP="006A261E">
      <w:pPr>
        <w:pStyle w:val="ListParagraph"/>
        <w:numPr>
          <w:ilvl w:val="1"/>
          <w:numId w:val="10"/>
        </w:numPr>
        <w:rPr>
          <w:sz w:val="22"/>
          <w:szCs w:val="22"/>
        </w:rPr>
      </w:pPr>
      <w:r w:rsidRPr="009916C8">
        <w:rPr>
          <w:i/>
          <w:sz w:val="22"/>
          <w:szCs w:val="22"/>
        </w:rPr>
        <w:t xml:space="preserve">A </w:t>
      </w:r>
      <w:r w:rsidR="00A31A23" w:rsidRPr="009916C8">
        <w:rPr>
          <w:i/>
          <w:sz w:val="22"/>
          <w:szCs w:val="22"/>
        </w:rPr>
        <w:t>one</w:t>
      </w:r>
      <w:r w:rsidR="00A31A23">
        <w:rPr>
          <w:i/>
          <w:sz w:val="22"/>
          <w:szCs w:val="22"/>
        </w:rPr>
        <w:t>-</w:t>
      </w:r>
      <w:r w:rsidR="00A31A23" w:rsidRPr="009916C8">
        <w:rPr>
          <w:i/>
          <w:sz w:val="22"/>
          <w:szCs w:val="22"/>
        </w:rPr>
        <w:t>time</w:t>
      </w:r>
      <w:r w:rsidRPr="009916C8">
        <w:rPr>
          <w:i/>
          <w:sz w:val="22"/>
          <w:szCs w:val="22"/>
        </w:rPr>
        <w:t xml:space="preserve"> grace period</w:t>
      </w:r>
      <w:r>
        <w:rPr>
          <w:sz w:val="22"/>
          <w:szCs w:val="22"/>
        </w:rPr>
        <w:t xml:space="preserve">:  A model-based carrier </w:t>
      </w:r>
      <w:r w:rsidRPr="009916C8">
        <w:rPr>
          <w:sz w:val="22"/>
          <w:szCs w:val="22"/>
        </w:rPr>
        <w:t xml:space="preserve">that submits the annual reporting information required by </w:t>
      </w:r>
      <w:r w:rsidR="004E51BB">
        <w:rPr>
          <w:sz w:val="22"/>
          <w:szCs w:val="22"/>
        </w:rPr>
        <w:t>Section 54.316</w:t>
      </w:r>
      <w:r w:rsidRPr="009916C8">
        <w:rPr>
          <w:sz w:val="22"/>
          <w:szCs w:val="22"/>
        </w:rPr>
        <w:t>after March 1</w:t>
      </w:r>
      <w:r w:rsidR="00144E8B">
        <w:rPr>
          <w:sz w:val="22"/>
          <w:szCs w:val="22"/>
        </w:rPr>
        <w:t>,</w:t>
      </w:r>
      <w:r w:rsidRPr="009916C8">
        <w:rPr>
          <w:sz w:val="22"/>
          <w:szCs w:val="22"/>
        </w:rPr>
        <w:t xml:space="preserve"> but before March 5 will not receive a reduction in support if </w:t>
      </w:r>
      <w:r>
        <w:rPr>
          <w:sz w:val="22"/>
          <w:szCs w:val="22"/>
        </w:rPr>
        <w:t xml:space="preserve">the </w:t>
      </w:r>
      <w:r w:rsidRPr="009916C8">
        <w:rPr>
          <w:sz w:val="22"/>
          <w:szCs w:val="22"/>
        </w:rPr>
        <w:t>carrier</w:t>
      </w:r>
      <w:r w:rsidR="000E667D">
        <w:rPr>
          <w:sz w:val="22"/>
          <w:szCs w:val="22"/>
        </w:rPr>
        <w:t xml:space="preserve"> (including its </w:t>
      </w:r>
      <w:r w:rsidR="000E667D" w:rsidRPr="009916C8">
        <w:rPr>
          <w:sz w:val="22"/>
          <w:szCs w:val="22"/>
        </w:rPr>
        <w:t xml:space="preserve">holding company, operating </w:t>
      </w:r>
      <w:r w:rsidR="000E667D">
        <w:rPr>
          <w:sz w:val="22"/>
          <w:szCs w:val="22"/>
        </w:rPr>
        <w:t>companies, and affiliates)</w:t>
      </w:r>
      <w:r w:rsidRPr="009916C8">
        <w:rPr>
          <w:sz w:val="22"/>
          <w:szCs w:val="22"/>
        </w:rPr>
        <w:t xml:space="preserve"> </w:t>
      </w:r>
      <w:r>
        <w:rPr>
          <w:sz w:val="22"/>
          <w:szCs w:val="22"/>
        </w:rPr>
        <w:t>has</w:t>
      </w:r>
      <w:r w:rsidR="000E667D">
        <w:rPr>
          <w:sz w:val="22"/>
          <w:szCs w:val="22"/>
        </w:rPr>
        <w:t xml:space="preserve"> not missed a deadline before</w:t>
      </w:r>
      <w:r>
        <w:rPr>
          <w:sz w:val="22"/>
          <w:szCs w:val="22"/>
        </w:rPr>
        <w:t>.</w:t>
      </w:r>
      <w:r w:rsidR="000B7E86">
        <w:rPr>
          <w:rStyle w:val="FootnoteReference"/>
          <w:sz w:val="22"/>
          <w:szCs w:val="22"/>
        </w:rPr>
        <w:footnoteReference w:id="38"/>
      </w:r>
    </w:p>
    <w:p w14:paraId="121836D2" w14:textId="77777777" w:rsidR="006A261E" w:rsidRPr="006A261E" w:rsidRDefault="006A261E" w:rsidP="006A261E">
      <w:pPr>
        <w:pStyle w:val="ListParagraph"/>
        <w:rPr>
          <w:color w:val="000000"/>
          <w:sz w:val="22"/>
          <w:szCs w:val="22"/>
        </w:rPr>
      </w:pPr>
    </w:p>
    <w:p w14:paraId="45FBC99D" w14:textId="51DDB389" w:rsidR="009621E9" w:rsidRDefault="00CC4D44" w:rsidP="00CC4D44">
      <w:pPr>
        <w:pStyle w:val="ListParagraph"/>
        <w:numPr>
          <w:ilvl w:val="0"/>
          <w:numId w:val="10"/>
        </w:numPr>
        <w:rPr>
          <w:sz w:val="22"/>
          <w:szCs w:val="22"/>
        </w:rPr>
      </w:pPr>
      <w:r w:rsidRPr="001D60C2">
        <w:rPr>
          <w:color w:val="000000"/>
          <w:sz w:val="22"/>
          <w:szCs w:val="22"/>
        </w:rPr>
        <w:t>Model-based carriers must provide</w:t>
      </w:r>
      <w:r w:rsidRPr="001D60C2">
        <w:rPr>
          <w:i/>
          <w:color w:val="000000"/>
          <w:sz w:val="22"/>
          <w:szCs w:val="22"/>
        </w:rPr>
        <w:t xml:space="preserve"> </w:t>
      </w:r>
      <w:r w:rsidRPr="001D60C2">
        <w:rPr>
          <w:color w:val="000000"/>
          <w:sz w:val="22"/>
          <w:szCs w:val="22"/>
        </w:rPr>
        <w:t>n</w:t>
      </w:r>
      <w:r w:rsidR="009621E9" w:rsidRPr="001D60C2">
        <w:rPr>
          <w:sz w:val="22"/>
          <w:szCs w:val="22"/>
        </w:rPr>
        <w:t xml:space="preserve">o later than March 1, 2027, a certification that as of December 31, 2026, it was offering broadband meeting </w:t>
      </w:r>
      <w:r w:rsidR="008C2F8B">
        <w:rPr>
          <w:sz w:val="22"/>
          <w:szCs w:val="22"/>
        </w:rPr>
        <w:t xml:space="preserve">speed, latency and data usage </w:t>
      </w:r>
      <w:r w:rsidR="009621E9" w:rsidRPr="001D60C2">
        <w:rPr>
          <w:sz w:val="22"/>
          <w:szCs w:val="22"/>
        </w:rPr>
        <w:t xml:space="preserve">obligations specified in </w:t>
      </w:r>
      <w:r w:rsidR="00144E8B">
        <w:rPr>
          <w:sz w:val="22"/>
          <w:szCs w:val="22"/>
        </w:rPr>
        <w:t xml:space="preserve">Section </w:t>
      </w:r>
      <w:r w:rsidR="009621E9" w:rsidRPr="001D60C2">
        <w:rPr>
          <w:sz w:val="22"/>
          <w:szCs w:val="22"/>
        </w:rPr>
        <w:t>54.308 to all of its fully funded locations in the state and to the required percentage of its capped locations in the state.</w:t>
      </w:r>
      <w:r w:rsidR="00AE14A3">
        <w:rPr>
          <w:rStyle w:val="FootnoteReference"/>
          <w:sz w:val="22"/>
          <w:szCs w:val="22"/>
        </w:rPr>
        <w:footnoteReference w:id="39"/>
      </w:r>
    </w:p>
    <w:p w14:paraId="67727622" w14:textId="77777777" w:rsidR="00F020D5" w:rsidRPr="00CE2218" w:rsidRDefault="00F020D5" w:rsidP="001E2970">
      <w:pPr>
        <w:rPr>
          <w:b/>
          <w:sz w:val="22"/>
          <w:szCs w:val="22"/>
        </w:rPr>
      </w:pPr>
    </w:p>
    <w:p w14:paraId="2D2AD7FC" w14:textId="77777777" w:rsidR="001A1AA0" w:rsidRPr="004B7D54" w:rsidRDefault="001A1AA0" w:rsidP="004B7D54">
      <w:pPr>
        <w:pStyle w:val="ListParagraph"/>
        <w:numPr>
          <w:ilvl w:val="0"/>
          <w:numId w:val="23"/>
        </w:numPr>
        <w:rPr>
          <w:b/>
          <w:sz w:val="22"/>
          <w:szCs w:val="22"/>
        </w:rPr>
      </w:pPr>
      <w:r w:rsidRPr="004B7D54">
        <w:rPr>
          <w:b/>
          <w:sz w:val="22"/>
          <w:szCs w:val="22"/>
        </w:rPr>
        <w:t xml:space="preserve">Each </w:t>
      </w:r>
      <w:r w:rsidR="00BA14E2" w:rsidRPr="004B7D54">
        <w:rPr>
          <w:b/>
          <w:sz w:val="22"/>
          <w:szCs w:val="22"/>
        </w:rPr>
        <w:t xml:space="preserve">legacy carrier </w:t>
      </w:r>
      <w:r w:rsidRPr="004B7D54">
        <w:rPr>
          <w:b/>
          <w:sz w:val="22"/>
          <w:szCs w:val="22"/>
        </w:rPr>
        <w:t>must report:</w:t>
      </w:r>
    </w:p>
    <w:p w14:paraId="5FACAC05" w14:textId="77777777" w:rsidR="001A1AA0" w:rsidRPr="00CE2218" w:rsidRDefault="001A1AA0" w:rsidP="001E2970">
      <w:pPr>
        <w:rPr>
          <w:b/>
          <w:sz w:val="22"/>
          <w:szCs w:val="22"/>
        </w:rPr>
      </w:pPr>
    </w:p>
    <w:p w14:paraId="7E5034F9" w14:textId="77777777" w:rsidR="007E5235" w:rsidRPr="005D0E24" w:rsidRDefault="007E5235" w:rsidP="00297EB5">
      <w:pPr>
        <w:pStyle w:val="ListParagraph"/>
        <w:widowControl w:val="0"/>
        <w:numPr>
          <w:ilvl w:val="0"/>
          <w:numId w:val="10"/>
        </w:numPr>
        <w:rPr>
          <w:color w:val="000000"/>
          <w:sz w:val="22"/>
          <w:szCs w:val="22"/>
          <w:shd w:val="clear" w:color="auto" w:fill="FFFFFF"/>
        </w:rPr>
      </w:pPr>
      <w:r>
        <w:rPr>
          <w:color w:val="000000"/>
          <w:sz w:val="22"/>
          <w:szCs w:val="22"/>
          <w:shd w:val="clear" w:color="auto" w:fill="FFFFFF"/>
        </w:rPr>
        <w:t>By March 1 each year</w:t>
      </w:r>
      <w:r w:rsidR="00EB6C3A">
        <w:rPr>
          <w:color w:val="000000"/>
          <w:sz w:val="22"/>
          <w:szCs w:val="22"/>
          <w:shd w:val="clear" w:color="auto" w:fill="FFFFFF"/>
        </w:rPr>
        <w:t>,</w:t>
      </w:r>
      <w:r>
        <w:rPr>
          <w:color w:val="000000"/>
          <w:sz w:val="22"/>
          <w:szCs w:val="22"/>
          <w:shd w:val="clear" w:color="auto" w:fill="FFFFFF"/>
        </w:rPr>
        <w:t xml:space="preserve"> l</w:t>
      </w:r>
      <w:r w:rsidRPr="005D0E24">
        <w:rPr>
          <w:color w:val="000000"/>
          <w:sz w:val="22"/>
          <w:szCs w:val="22"/>
          <w:shd w:val="clear" w:color="auto" w:fill="FFFFFF"/>
        </w:rPr>
        <w:t xml:space="preserve">egacy carriers with defined broadband deployment obligations must file with USAC information regarding the locations to which the carrier is offering broadband service </w:t>
      </w:r>
      <w:r w:rsidR="00297EB5">
        <w:rPr>
          <w:color w:val="000000"/>
          <w:sz w:val="22"/>
          <w:szCs w:val="22"/>
          <w:shd w:val="clear" w:color="auto" w:fill="FFFFFF"/>
        </w:rPr>
        <w:t xml:space="preserve">with </w:t>
      </w:r>
      <w:r w:rsidR="00297EB5" w:rsidRPr="00297EB5">
        <w:rPr>
          <w:color w:val="000000"/>
          <w:sz w:val="22"/>
          <w:szCs w:val="22"/>
          <w:shd w:val="clear" w:color="auto" w:fill="FFFFFF"/>
        </w:rPr>
        <w:t>latency suitable for real-time applications, including Voice over Internet Protocol, and usage capacity that is reasonably comparable to comparable offerings in urban areas, at rates that are reasonably comparable to rates for comparable offerings in urban areas.</w:t>
      </w:r>
      <w:r w:rsidR="00297EB5">
        <w:rPr>
          <w:rStyle w:val="FootnoteReference"/>
          <w:color w:val="000000"/>
          <w:sz w:val="22"/>
          <w:szCs w:val="22"/>
          <w:shd w:val="clear" w:color="auto" w:fill="FFFFFF"/>
        </w:rPr>
        <w:footnoteReference w:id="40"/>
      </w:r>
    </w:p>
    <w:p w14:paraId="660D29A5" w14:textId="77777777" w:rsidR="007E5235" w:rsidRPr="007E5235" w:rsidRDefault="007E5235" w:rsidP="007E5235">
      <w:pPr>
        <w:pStyle w:val="ListParagraph"/>
        <w:widowControl w:val="0"/>
        <w:rPr>
          <w:color w:val="000000"/>
          <w:sz w:val="22"/>
          <w:szCs w:val="22"/>
          <w:shd w:val="clear" w:color="auto" w:fill="FFFFFF"/>
        </w:rPr>
      </w:pPr>
    </w:p>
    <w:p w14:paraId="22037C14" w14:textId="296EA2AC" w:rsidR="009621E9" w:rsidRPr="00B85DC1" w:rsidRDefault="00297EB5" w:rsidP="00297EB5">
      <w:pPr>
        <w:pStyle w:val="ListParagraph"/>
        <w:widowControl w:val="0"/>
        <w:numPr>
          <w:ilvl w:val="0"/>
          <w:numId w:val="10"/>
        </w:numPr>
        <w:rPr>
          <w:color w:val="000000"/>
          <w:sz w:val="22"/>
          <w:szCs w:val="22"/>
          <w:shd w:val="clear" w:color="auto" w:fill="FFFFFF"/>
        </w:rPr>
      </w:pPr>
      <w:r>
        <w:rPr>
          <w:sz w:val="22"/>
          <w:szCs w:val="22"/>
        </w:rPr>
        <w:t>By M</w:t>
      </w:r>
      <w:r w:rsidR="003E3D0B">
        <w:rPr>
          <w:sz w:val="22"/>
          <w:szCs w:val="22"/>
        </w:rPr>
        <w:t>arch 1 each year</w:t>
      </w:r>
      <w:r w:rsidR="002307D8">
        <w:rPr>
          <w:sz w:val="22"/>
          <w:szCs w:val="22"/>
        </w:rPr>
        <w:t>,</w:t>
      </w:r>
      <w:r w:rsidR="003E3D0B">
        <w:rPr>
          <w:sz w:val="22"/>
          <w:szCs w:val="22"/>
        </w:rPr>
        <w:t xml:space="preserve"> l</w:t>
      </w:r>
      <w:r w:rsidR="009621E9" w:rsidRPr="00B85DC1">
        <w:rPr>
          <w:sz w:val="22"/>
          <w:szCs w:val="22"/>
        </w:rPr>
        <w:t xml:space="preserve">egacy carriers must report the number of newly served locations for each study area and locational information, including geocodes, separately indicating whether they are offering service providing speeds of at least 4 Mbps downstream/1 Mbps upstream, 10 Mbps downstream/1 Mbps upstream, </w:t>
      </w:r>
      <w:r w:rsidR="0076067D">
        <w:rPr>
          <w:sz w:val="22"/>
          <w:szCs w:val="22"/>
        </w:rPr>
        <w:t xml:space="preserve">or </w:t>
      </w:r>
      <w:r w:rsidR="009621E9" w:rsidRPr="00B85DC1">
        <w:rPr>
          <w:sz w:val="22"/>
          <w:szCs w:val="22"/>
        </w:rPr>
        <w:t>25 Mbps downstream/3 Mbps upstream.</w:t>
      </w:r>
      <w:r w:rsidR="00AE14A3">
        <w:rPr>
          <w:rStyle w:val="FootnoteReference"/>
          <w:sz w:val="22"/>
          <w:szCs w:val="22"/>
        </w:rPr>
        <w:footnoteReference w:id="41"/>
      </w:r>
    </w:p>
    <w:p w14:paraId="7ABBDCA2" w14:textId="77777777" w:rsidR="00CC4D44" w:rsidRPr="00B85DC1" w:rsidRDefault="00CC4D44" w:rsidP="00CC4D44">
      <w:pPr>
        <w:pStyle w:val="ListParagraph"/>
        <w:widowControl w:val="0"/>
        <w:rPr>
          <w:color w:val="000000"/>
          <w:sz w:val="22"/>
          <w:szCs w:val="22"/>
          <w:shd w:val="clear" w:color="auto" w:fill="FFFFFF"/>
        </w:rPr>
      </w:pPr>
    </w:p>
    <w:p w14:paraId="140C3D19" w14:textId="77777777" w:rsidR="00CC4D44" w:rsidRPr="00B85DC1" w:rsidRDefault="00CC4D44" w:rsidP="00B85DC1">
      <w:pPr>
        <w:pStyle w:val="ListParagraph"/>
        <w:widowControl w:val="0"/>
        <w:numPr>
          <w:ilvl w:val="0"/>
          <w:numId w:val="10"/>
        </w:numPr>
        <w:rPr>
          <w:sz w:val="22"/>
          <w:szCs w:val="22"/>
        </w:rPr>
      </w:pPr>
      <w:r w:rsidRPr="00B85DC1">
        <w:rPr>
          <w:sz w:val="22"/>
          <w:szCs w:val="22"/>
        </w:rPr>
        <w:t>Legacy carriers must provide no later than March 1, 2022, a</w:t>
      </w:r>
      <w:r w:rsidRPr="00B85DC1">
        <w:rPr>
          <w:color w:val="000000"/>
          <w:sz w:val="22"/>
          <w:szCs w:val="22"/>
        </w:rPr>
        <w:t xml:space="preserve"> certification that it fulfilled the deployment obligations meeting the requisite </w:t>
      </w:r>
      <w:r w:rsidR="008C2F8B">
        <w:rPr>
          <w:color w:val="000000"/>
          <w:sz w:val="22"/>
          <w:szCs w:val="22"/>
        </w:rPr>
        <w:t>speed, latency, and data usage requirements</w:t>
      </w:r>
      <w:r w:rsidR="00B85DC1" w:rsidRPr="00B85DC1">
        <w:rPr>
          <w:color w:val="000000"/>
          <w:sz w:val="22"/>
          <w:szCs w:val="22"/>
        </w:rPr>
        <w:t xml:space="preserve"> </w:t>
      </w:r>
      <w:r w:rsidRPr="00B85DC1">
        <w:rPr>
          <w:sz w:val="22"/>
          <w:szCs w:val="22"/>
        </w:rPr>
        <w:t>to the required number of locations as of December 31, 2021.</w:t>
      </w:r>
      <w:r w:rsidR="00AE14A3">
        <w:rPr>
          <w:rStyle w:val="FootnoteReference"/>
          <w:sz w:val="22"/>
          <w:szCs w:val="22"/>
        </w:rPr>
        <w:footnoteReference w:id="42"/>
      </w:r>
    </w:p>
    <w:p w14:paraId="3490A081" w14:textId="77777777" w:rsidR="00CC4D44" w:rsidRPr="00B85DC1" w:rsidRDefault="00CC4D44" w:rsidP="00CC4D44">
      <w:pPr>
        <w:widowControl w:val="0"/>
        <w:rPr>
          <w:sz w:val="22"/>
          <w:szCs w:val="22"/>
        </w:rPr>
      </w:pPr>
      <w:r w:rsidRPr="00B85DC1">
        <w:rPr>
          <w:sz w:val="22"/>
          <w:szCs w:val="22"/>
        </w:rPr>
        <w:t xml:space="preserve"> </w:t>
      </w:r>
    </w:p>
    <w:p w14:paraId="2B6A4616" w14:textId="413D74BF" w:rsidR="00CC4D44" w:rsidRDefault="00CC4D44" w:rsidP="00B85DC1">
      <w:pPr>
        <w:pStyle w:val="ListParagraph"/>
        <w:numPr>
          <w:ilvl w:val="0"/>
          <w:numId w:val="10"/>
        </w:numPr>
        <w:rPr>
          <w:sz w:val="22"/>
          <w:szCs w:val="22"/>
        </w:rPr>
      </w:pPr>
      <w:r w:rsidRPr="00B85DC1">
        <w:rPr>
          <w:sz w:val="22"/>
          <w:szCs w:val="22"/>
        </w:rPr>
        <w:t>Every subsequent five-year period thereafter, legacy carriers must provide a certification that it fulfilled the deployment obligation meeting the requisite public interest obligation</w:t>
      </w:r>
      <w:r w:rsidR="00B85DC1">
        <w:rPr>
          <w:sz w:val="22"/>
          <w:szCs w:val="22"/>
        </w:rPr>
        <w:t xml:space="preserve">s as specified in </w:t>
      </w:r>
      <w:r w:rsidR="004923D0">
        <w:rPr>
          <w:sz w:val="22"/>
          <w:szCs w:val="22"/>
        </w:rPr>
        <w:t xml:space="preserve"> Section </w:t>
      </w:r>
      <w:r w:rsidR="00B85DC1">
        <w:rPr>
          <w:sz w:val="22"/>
          <w:szCs w:val="22"/>
        </w:rPr>
        <w:t>54.308(a)(4).</w:t>
      </w:r>
      <w:r w:rsidR="00AE14A3">
        <w:rPr>
          <w:rStyle w:val="FootnoteReference"/>
          <w:sz w:val="22"/>
          <w:szCs w:val="22"/>
        </w:rPr>
        <w:footnoteReference w:id="43"/>
      </w:r>
    </w:p>
    <w:p w14:paraId="270F8FF0" w14:textId="77777777" w:rsidR="007E5235" w:rsidRPr="007E5235" w:rsidRDefault="007E5235" w:rsidP="007E5235">
      <w:pPr>
        <w:pStyle w:val="ListParagraph"/>
        <w:rPr>
          <w:sz w:val="22"/>
          <w:szCs w:val="22"/>
        </w:rPr>
      </w:pPr>
    </w:p>
    <w:p w14:paraId="1B11AAC7" w14:textId="77777777" w:rsidR="007E5235" w:rsidRDefault="007E5235" w:rsidP="007E5235">
      <w:pPr>
        <w:pStyle w:val="ListParagraph"/>
        <w:numPr>
          <w:ilvl w:val="0"/>
          <w:numId w:val="10"/>
        </w:numPr>
        <w:rPr>
          <w:sz w:val="22"/>
          <w:szCs w:val="22"/>
        </w:rPr>
      </w:pPr>
      <w:r>
        <w:rPr>
          <w:sz w:val="22"/>
          <w:szCs w:val="22"/>
        </w:rPr>
        <w:t>Legacy</w:t>
      </w:r>
      <w:r w:rsidRPr="009916C8">
        <w:rPr>
          <w:sz w:val="22"/>
          <w:szCs w:val="22"/>
        </w:rPr>
        <w:t xml:space="preserve"> carriers that file their reports after the March 1 deadline shall receive a reduction in support pursuant to the following schedule:</w:t>
      </w:r>
    </w:p>
    <w:p w14:paraId="0FD15DCD" w14:textId="77777777" w:rsidR="007E5235" w:rsidRPr="009916C8" w:rsidRDefault="007E5235" w:rsidP="007E5235">
      <w:pPr>
        <w:rPr>
          <w:sz w:val="22"/>
          <w:szCs w:val="22"/>
        </w:rPr>
      </w:pPr>
    </w:p>
    <w:p w14:paraId="6E083C37" w14:textId="77777777" w:rsidR="007E5235" w:rsidRDefault="007E5235" w:rsidP="007E5235">
      <w:pPr>
        <w:pStyle w:val="ListParagraph"/>
        <w:numPr>
          <w:ilvl w:val="1"/>
          <w:numId w:val="10"/>
        </w:numPr>
        <w:rPr>
          <w:sz w:val="22"/>
          <w:szCs w:val="22"/>
        </w:rPr>
      </w:pPr>
      <w:r>
        <w:rPr>
          <w:sz w:val="22"/>
          <w:szCs w:val="22"/>
        </w:rPr>
        <w:t>A legacy carrier that files</w:t>
      </w:r>
      <w:r w:rsidRPr="009916C8">
        <w:rPr>
          <w:sz w:val="22"/>
          <w:szCs w:val="22"/>
        </w:rPr>
        <w:t xml:space="preserve"> after the March 1 deadline, but by March 8, will have its support reduced in an amount equivalent to seven days in support;</w:t>
      </w:r>
    </w:p>
    <w:p w14:paraId="4CFAF367" w14:textId="77777777" w:rsidR="007E5235" w:rsidRPr="009916C8" w:rsidRDefault="007E5235" w:rsidP="007E5235">
      <w:pPr>
        <w:pStyle w:val="ListParagraph"/>
        <w:rPr>
          <w:sz w:val="22"/>
          <w:szCs w:val="22"/>
        </w:rPr>
      </w:pPr>
    </w:p>
    <w:p w14:paraId="5258A623" w14:textId="77777777" w:rsidR="007E5235" w:rsidRDefault="007E5235" w:rsidP="007E5235">
      <w:pPr>
        <w:pStyle w:val="ListParagraph"/>
        <w:numPr>
          <w:ilvl w:val="1"/>
          <w:numId w:val="10"/>
        </w:numPr>
        <w:rPr>
          <w:sz w:val="22"/>
          <w:szCs w:val="22"/>
        </w:rPr>
      </w:pPr>
      <w:r>
        <w:rPr>
          <w:sz w:val="22"/>
          <w:szCs w:val="22"/>
        </w:rPr>
        <w:t xml:space="preserve">A legacy carrier that files </w:t>
      </w:r>
      <w:r w:rsidRPr="009916C8">
        <w:rPr>
          <w:sz w:val="22"/>
          <w:szCs w:val="22"/>
        </w:rPr>
        <w:t>on or after March 9 will have its support reduced on a pro-rata daily basis equivalent to the period of non-compliance, plus the minimum seven-day reduction,</w:t>
      </w:r>
    </w:p>
    <w:p w14:paraId="2DEA5FE3" w14:textId="77777777" w:rsidR="007E5235" w:rsidRPr="009916C8" w:rsidRDefault="007E5235" w:rsidP="007E5235">
      <w:pPr>
        <w:rPr>
          <w:sz w:val="22"/>
          <w:szCs w:val="22"/>
        </w:rPr>
      </w:pPr>
    </w:p>
    <w:p w14:paraId="136D52C5" w14:textId="6DB4A564" w:rsidR="00EB6C3A" w:rsidRPr="007E4436" w:rsidRDefault="007E5235" w:rsidP="007E4436">
      <w:pPr>
        <w:pStyle w:val="ListParagraph"/>
        <w:numPr>
          <w:ilvl w:val="1"/>
          <w:numId w:val="10"/>
        </w:numPr>
        <w:rPr>
          <w:sz w:val="22"/>
          <w:szCs w:val="22"/>
        </w:rPr>
      </w:pPr>
      <w:r w:rsidRPr="009916C8">
        <w:rPr>
          <w:i/>
          <w:sz w:val="22"/>
          <w:szCs w:val="22"/>
        </w:rPr>
        <w:t>A onetime grace period</w:t>
      </w:r>
      <w:r>
        <w:rPr>
          <w:sz w:val="22"/>
          <w:szCs w:val="22"/>
        </w:rPr>
        <w:t xml:space="preserve">:  A legacy carrier </w:t>
      </w:r>
      <w:r w:rsidRPr="009916C8">
        <w:rPr>
          <w:sz w:val="22"/>
          <w:szCs w:val="22"/>
        </w:rPr>
        <w:t xml:space="preserve">that submits the annual reporting information required by this section after March 1 but before March 5 will not receive a reduction in support if </w:t>
      </w:r>
      <w:r>
        <w:rPr>
          <w:sz w:val="22"/>
          <w:szCs w:val="22"/>
        </w:rPr>
        <w:t xml:space="preserve">the </w:t>
      </w:r>
      <w:r w:rsidRPr="009916C8">
        <w:rPr>
          <w:sz w:val="22"/>
          <w:szCs w:val="22"/>
        </w:rPr>
        <w:t xml:space="preserve">carrier </w:t>
      </w:r>
      <w:r>
        <w:rPr>
          <w:sz w:val="22"/>
          <w:szCs w:val="22"/>
        </w:rPr>
        <w:t xml:space="preserve">has not missed a deadline before; this includes </w:t>
      </w:r>
      <w:r w:rsidRPr="009916C8">
        <w:rPr>
          <w:sz w:val="22"/>
          <w:szCs w:val="22"/>
        </w:rPr>
        <w:t xml:space="preserve">holding company, operating </w:t>
      </w:r>
      <w:r>
        <w:rPr>
          <w:sz w:val="22"/>
          <w:szCs w:val="22"/>
        </w:rPr>
        <w:t>companies, and affiliates.</w:t>
      </w:r>
      <w:r w:rsidR="006D5E48">
        <w:rPr>
          <w:rStyle w:val="FootnoteReference"/>
          <w:sz w:val="22"/>
          <w:szCs w:val="22"/>
        </w:rPr>
        <w:footnoteReference w:id="44"/>
      </w:r>
    </w:p>
    <w:p w14:paraId="640D1818" w14:textId="77777777" w:rsidR="004B7D54" w:rsidRPr="004B7D54" w:rsidRDefault="004B7D54" w:rsidP="004B7D54">
      <w:pPr>
        <w:pStyle w:val="ListParagraph"/>
        <w:rPr>
          <w:b/>
          <w:sz w:val="22"/>
          <w:szCs w:val="22"/>
        </w:rPr>
      </w:pPr>
    </w:p>
    <w:p w14:paraId="65624A53" w14:textId="77777777" w:rsidR="009621E9" w:rsidRPr="004B7D54" w:rsidRDefault="00B85DC1" w:rsidP="004B7D54">
      <w:pPr>
        <w:pStyle w:val="ListParagraph"/>
        <w:numPr>
          <w:ilvl w:val="0"/>
          <w:numId w:val="20"/>
        </w:numPr>
        <w:rPr>
          <w:sz w:val="22"/>
          <w:szCs w:val="22"/>
        </w:rPr>
      </w:pPr>
      <w:r w:rsidRPr="004B7D54">
        <w:rPr>
          <w:b/>
          <w:sz w:val="22"/>
          <w:szCs w:val="22"/>
        </w:rPr>
        <w:t>Each rate-of-return carrier receiving CAF BLS support must file with USAC:</w:t>
      </w:r>
    </w:p>
    <w:p w14:paraId="06CA4ACA" w14:textId="77777777" w:rsidR="004B7D54" w:rsidRPr="004B7D54" w:rsidRDefault="004B7D54" w:rsidP="004B7D54">
      <w:pPr>
        <w:pStyle w:val="ListParagraph"/>
        <w:widowControl w:val="0"/>
        <w:ind w:left="1080"/>
        <w:rPr>
          <w:color w:val="000000"/>
          <w:sz w:val="22"/>
          <w:szCs w:val="22"/>
          <w:highlight w:val="yellow"/>
          <w:shd w:val="clear" w:color="auto" w:fill="FFFFFF"/>
        </w:rPr>
      </w:pPr>
    </w:p>
    <w:p w14:paraId="19A3EBCC" w14:textId="77777777" w:rsidR="00B85DC1" w:rsidRPr="00973800" w:rsidRDefault="00B85DC1" w:rsidP="00B85DC1">
      <w:pPr>
        <w:pStyle w:val="ListParagraph"/>
        <w:numPr>
          <w:ilvl w:val="0"/>
          <w:numId w:val="13"/>
        </w:numPr>
        <w:shd w:val="clear" w:color="auto" w:fill="FFFFFF"/>
        <w:spacing w:before="100" w:beforeAutospacing="1" w:after="100" w:afterAutospacing="1"/>
        <w:rPr>
          <w:color w:val="000000"/>
          <w:sz w:val="22"/>
          <w:szCs w:val="22"/>
        </w:rPr>
      </w:pPr>
      <w:r w:rsidRPr="00973800">
        <w:rPr>
          <w:color w:val="000000"/>
          <w:sz w:val="22"/>
          <w:szCs w:val="22"/>
        </w:rPr>
        <w:t xml:space="preserve">To be eligible for </w:t>
      </w:r>
      <w:r w:rsidRPr="00973800">
        <w:rPr>
          <w:bCs/>
          <w:sz w:val="22"/>
          <w:szCs w:val="22"/>
        </w:rPr>
        <w:t>CAF BLS</w:t>
      </w:r>
      <w:r w:rsidRPr="00973800">
        <w:rPr>
          <w:color w:val="000000"/>
          <w:sz w:val="22"/>
          <w:szCs w:val="22"/>
        </w:rPr>
        <w:t xml:space="preserve">, each rate-of-return carrier </w:t>
      </w:r>
      <w:r w:rsidR="00500256" w:rsidRPr="00973800">
        <w:rPr>
          <w:color w:val="000000"/>
          <w:sz w:val="22"/>
          <w:szCs w:val="22"/>
        </w:rPr>
        <w:t xml:space="preserve">must file with USAC </w:t>
      </w:r>
      <w:r w:rsidRPr="00973800">
        <w:rPr>
          <w:color w:val="000000"/>
          <w:sz w:val="22"/>
          <w:szCs w:val="22"/>
        </w:rPr>
        <w:t xml:space="preserve">the </w:t>
      </w:r>
      <w:r w:rsidR="00500256" w:rsidRPr="00973800">
        <w:rPr>
          <w:color w:val="000000"/>
          <w:sz w:val="22"/>
          <w:szCs w:val="22"/>
        </w:rPr>
        <w:t>following</w:t>
      </w:r>
      <w:r w:rsidR="00973800" w:rsidRPr="00973800">
        <w:rPr>
          <w:color w:val="000000"/>
          <w:sz w:val="22"/>
          <w:szCs w:val="22"/>
        </w:rPr>
        <w:t xml:space="preserve"> information:</w:t>
      </w:r>
    </w:p>
    <w:p w14:paraId="40999E5E" w14:textId="77777777" w:rsidR="00B85DC1" w:rsidRPr="00CE2218" w:rsidRDefault="00B85DC1" w:rsidP="00B85DC1">
      <w:pPr>
        <w:pStyle w:val="ListParagraph"/>
        <w:shd w:val="clear" w:color="auto" w:fill="FFFFFF"/>
        <w:spacing w:before="100" w:beforeAutospacing="1" w:after="100" w:afterAutospacing="1"/>
        <w:rPr>
          <w:color w:val="000000"/>
          <w:sz w:val="22"/>
          <w:szCs w:val="22"/>
        </w:rPr>
      </w:pPr>
    </w:p>
    <w:p w14:paraId="605D4AE5" w14:textId="1178B2D8" w:rsidR="00B85DC1" w:rsidRPr="007E78DC" w:rsidRDefault="00B85DC1" w:rsidP="007E78DC">
      <w:pPr>
        <w:pStyle w:val="ListParagraph"/>
        <w:numPr>
          <w:ilvl w:val="1"/>
          <w:numId w:val="13"/>
        </w:numPr>
        <w:shd w:val="clear" w:color="auto" w:fill="FFFFFF"/>
        <w:spacing w:before="100" w:beforeAutospacing="1" w:after="100" w:afterAutospacing="1"/>
        <w:rPr>
          <w:color w:val="000000"/>
          <w:sz w:val="22"/>
          <w:szCs w:val="22"/>
        </w:rPr>
      </w:pPr>
      <w:r w:rsidRPr="005A27C4">
        <w:rPr>
          <w:color w:val="000000"/>
          <w:sz w:val="22"/>
          <w:szCs w:val="22"/>
        </w:rPr>
        <w:t xml:space="preserve">The number of lines it serves, within each </w:t>
      </w:r>
      <w:r w:rsidR="00973800" w:rsidRPr="005A27C4">
        <w:rPr>
          <w:color w:val="000000"/>
          <w:sz w:val="22"/>
          <w:szCs w:val="22"/>
        </w:rPr>
        <w:t xml:space="preserve">of its </w:t>
      </w:r>
      <w:r w:rsidRPr="005A27C4">
        <w:rPr>
          <w:color w:val="000000"/>
          <w:sz w:val="22"/>
          <w:szCs w:val="22"/>
        </w:rPr>
        <w:t>study area</w:t>
      </w:r>
      <w:r w:rsidR="00973800" w:rsidRPr="005A27C4">
        <w:rPr>
          <w:color w:val="000000"/>
          <w:sz w:val="22"/>
          <w:szCs w:val="22"/>
        </w:rPr>
        <w:t>s</w:t>
      </w:r>
      <w:r w:rsidRPr="005A27C4">
        <w:rPr>
          <w:color w:val="000000"/>
          <w:sz w:val="22"/>
          <w:szCs w:val="22"/>
        </w:rPr>
        <w:t xml:space="preserve"> showing residential and single-line business line counts, multi-line business line counts, and consumer broadband-only line counts separately.</w:t>
      </w:r>
      <w:r w:rsidR="002747D8">
        <w:rPr>
          <w:rStyle w:val="FootnoteReference"/>
          <w:color w:val="000000"/>
          <w:sz w:val="22"/>
          <w:szCs w:val="22"/>
        </w:rPr>
        <w:footnoteReference w:id="45"/>
      </w:r>
      <w:r w:rsidR="007E78DC">
        <w:rPr>
          <w:color w:val="000000"/>
          <w:sz w:val="22"/>
          <w:szCs w:val="22"/>
        </w:rPr>
        <w:t xml:space="preserve">  </w:t>
      </w:r>
      <w:r w:rsidRPr="007E78DC">
        <w:rPr>
          <w:color w:val="000000"/>
          <w:sz w:val="22"/>
          <w:szCs w:val="22"/>
        </w:rPr>
        <w:t xml:space="preserve">Each rate-of-return carrier </w:t>
      </w:r>
      <w:r w:rsidR="00297EB5">
        <w:rPr>
          <w:color w:val="000000"/>
          <w:sz w:val="22"/>
          <w:szCs w:val="22"/>
        </w:rPr>
        <w:t>must</w:t>
      </w:r>
      <w:r w:rsidRPr="007E78DC">
        <w:rPr>
          <w:color w:val="000000"/>
          <w:sz w:val="22"/>
          <w:szCs w:val="22"/>
        </w:rPr>
        <w:t xml:space="preserve"> submit </w:t>
      </w:r>
      <w:r w:rsidR="00973800" w:rsidRPr="007E78DC">
        <w:rPr>
          <w:color w:val="000000"/>
          <w:sz w:val="22"/>
          <w:szCs w:val="22"/>
        </w:rPr>
        <w:t>this</w:t>
      </w:r>
      <w:r w:rsidR="00D24543" w:rsidRPr="007E78DC">
        <w:rPr>
          <w:color w:val="000000"/>
          <w:sz w:val="22"/>
          <w:szCs w:val="22"/>
        </w:rPr>
        <w:t xml:space="preserve"> information </w:t>
      </w:r>
      <w:r w:rsidRPr="007E78DC">
        <w:rPr>
          <w:color w:val="000000"/>
          <w:sz w:val="22"/>
          <w:szCs w:val="22"/>
        </w:rPr>
        <w:t xml:space="preserve">to USAC </w:t>
      </w:r>
      <w:r w:rsidR="003F1EF5" w:rsidRPr="007E78DC">
        <w:rPr>
          <w:color w:val="000000"/>
          <w:sz w:val="22"/>
          <w:szCs w:val="22"/>
        </w:rPr>
        <w:t xml:space="preserve">by July 31, </w:t>
      </w:r>
      <w:r w:rsidR="00417F40">
        <w:rPr>
          <w:color w:val="000000"/>
          <w:sz w:val="22"/>
          <w:szCs w:val="22"/>
        </w:rPr>
        <w:t xml:space="preserve">and may provide updates on </w:t>
      </w:r>
      <w:r w:rsidR="003F1EF5" w:rsidRPr="007E78DC">
        <w:rPr>
          <w:color w:val="000000"/>
          <w:sz w:val="22"/>
          <w:szCs w:val="22"/>
        </w:rPr>
        <w:t>September 30, December 30, and March 30</w:t>
      </w:r>
      <w:r w:rsidR="00973800" w:rsidRPr="007E78DC">
        <w:rPr>
          <w:color w:val="000000"/>
          <w:sz w:val="22"/>
          <w:szCs w:val="22"/>
        </w:rPr>
        <w:t xml:space="preserve"> each year</w:t>
      </w:r>
      <w:r w:rsidR="003F1EF5" w:rsidRPr="007E78DC">
        <w:rPr>
          <w:color w:val="000000"/>
          <w:sz w:val="22"/>
          <w:szCs w:val="22"/>
        </w:rPr>
        <w:t>.</w:t>
      </w:r>
      <w:r w:rsidR="007E78DC">
        <w:rPr>
          <w:rStyle w:val="FootnoteReference"/>
          <w:color w:val="000000"/>
          <w:sz w:val="22"/>
          <w:szCs w:val="22"/>
        </w:rPr>
        <w:footnoteReference w:id="46"/>
      </w:r>
      <w:r w:rsidR="003F1EF5" w:rsidRPr="007E78DC">
        <w:rPr>
          <w:color w:val="000000"/>
          <w:sz w:val="22"/>
          <w:szCs w:val="22"/>
        </w:rPr>
        <w:t xml:space="preserve">  </w:t>
      </w:r>
      <w:r w:rsidRPr="007E78DC">
        <w:rPr>
          <w:color w:val="000000"/>
          <w:sz w:val="22"/>
          <w:szCs w:val="22"/>
        </w:rPr>
        <w:t xml:space="preserve">   </w:t>
      </w:r>
    </w:p>
    <w:p w14:paraId="760F2FB8" w14:textId="3AF0DC07" w:rsidR="00B85DC1" w:rsidRPr="005A27C4" w:rsidRDefault="00B85DC1" w:rsidP="00A41870">
      <w:pPr>
        <w:pStyle w:val="ListParagraph"/>
        <w:shd w:val="clear" w:color="auto" w:fill="FFFFFF"/>
        <w:spacing w:before="100" w:beforeAutospacing="1" w:after="100" w:afterAutospacing="1"/>
        <w:ind w:left="1440"/>
        <w:rPr>
          <w:color w:val="000000"/>
          <w:sz w:val="22"/>
          <w:szCs w:val="22"/>
        </w:rPr>
      </w:pPr>
    </w:p>
    <w:p w14:paraId="7696339B" w14:textId="77777777" w:rsidR="005A27C4" w:rsidRPr="00CE2218" w:rsidRDefault="005A27C4" w:rsidP="005A27C4">
      <w:pPr>
        <w:pStyle w:val="ListParagraph"/>
        <w:shd w:val="clear" w:color="auto" w:fill="FFFFFF"/>
        <w:spacing w:before="100" w:beforeAutospacing="1" w:after="100" w:afterAutospacing="1"/>
        <w:ind w:left="1440"/>
        <w:rPr>
          <w:color w:val="000000"/>
          <w:sz w:val="22"/>
          <w:szCs w:val="22"/>
        </w:rPr>
      </w:pPr>
    </w:p>
    <w:p w14:paraId="7B46AA81" w14:textId="614B3111" w:rsidR="005A27C4" w:rsidRPr="005A27C4" w:rsidRDefault="00B85DC1" w:rsidP="00B85DC1">
      <w:pPr>
        <w:pStyle w:val="ListParagraph"/>
        <w:numPr>
          <w:ilvl w:val="1"/>
          <w:numId w:val="13"/>
        </w:numPr>
        <w:shd w:val="clear" w:color="auto" w:fill="FFFFFF"/>
        <w:spacing w:before="100" w:beforeAutospacing="1" w:after="100" w:afterAutospacing="1"/>
        <w:rPr>
          <w:color w:val="000000"/>
          <w:sz w:val="22"/>
          <w:szCs w:val="22"/>
        </w:rPr>
      </w:pPr>
      <w:r w:rsidRPr="005A27C4">
        <w:rPr>
          <w:color w:val="000000"/>
          <w:sz w:val="22"/>
          <w:szCs w:val="22"/>
        </w:rPr>
        <w:t xml:space="preserve">Each rate-of-return carrier </w:t>
      </w:r>
      <w:r w:rsidR="00D24543" w:rsidRPr="005A27C4">
        <w:rPr>
          <w:color w:val="000000"/>
          <w:sz w:val="22"/>
          <w:szCs w:val="22"/>
        </w:rPr>
        <w:t xml:space="preserve">must submit to USAC </w:t>
      </w:r>
      <w:r w:rsidRPr="005A27C4">
        <w:rPr>
          <w:color w:val="000000"/>
          <w:sz w:val="22"/>
          <w:szCs w:val="22"/>
        </w:rPr>
        <w:t xml:space="preserve">annually by March 31 projected data necessary to calculate the carrier’s prospective </w:t>
      </w:r>
      <w:r w:rsidRPr="005A27C4">
        <w:rPr>
          <w:bCs/>
          <w:sz w:val="22"/>
          <w:szCs w:val="22"/>
        </w:rPr>
        <w:t>CAF BLS</w:t>
      </w:r>
      <w:r w:rsidRPr="005A27C4">
        <w:rPr>
          <w:color w:val="000000"/>
          <w:sz w:val="22"/>
          <w:szCs w:val="22"/>
        </w:rPr>
        <w:t>, including common line and consumer broadband-only loop cost and revenue data, for each of its study areas in the upcoming funding year.</w:t>
      </w:r>
      <w:r w:rsidR="002747D8">
        <w:rPr>
          <w:rStyle w:val="FootnoteReference"/>
          <w:color w:val="000000"/>
          <w:sz w:val="22"/>
          <w:szCs w:val="22"/>
        </w:rPr>
        <w:footnoteReference w:id="47"/>
      </w:r>
      <w:r w:rsidRPr="005A27C4">
        <w:rPr>
          <w:color w:val="000000"/>
          <w:sz w:val="22"/>
          <w:szCs w:val="22"/>
        </w:rPr>
        <w:t xml:space="preserve">  </w:t>
      </w:r>
    </w:p>
    <w:p w14:paraId="610817F7" w14:textId="77777777" w:rsidR="005A27C4" w:rsidRPr="005A27C4" w:rsidRDefault="005A27C4" w:rsidP="005A27C4">
      <w:pPr>
        <w:pStyle w:val="ListParagraph"/>
        <w:rPr>
          <w:color w:val="000000"/>
          <w:sz w:val="22"/>
          <w:szCs w:val="22"/>
        </w:rPr>
      </w:pPr>
    </w:p>
    <w:p w14:paraId="0E8C3760" w14:textId="77777777" w:rsidR="00B85DC1" w:rsidRPr="005A27C4" w:rsidRDefault="00B85DC1" w:rsidP="005A27C4">
      <w:pPr>
        <w:pStyle w:val="ListParagraph"/>
        <w:numPr>
          <w:ilvl w:val="2"/>
          <w:numId w:val="13"/>
        </w:numPr>
        <w:shd w:val="clear" w:color="auto" w:fill="FFFFFF"/>
        <w:spacing w:before="100" w:beforeAutospacing="1" w:after="100" w:afterAutospacing="1"/>
        <w:rPr>
          <w:color w:val="000000"/>
          <w:sz w:val="22"/>
          <w:szCs w:val="22"/>
        </w:rPr>
      </w:pPr>
      <w:r w:rsidRPr="005A27C4">
        <w:rPr>
          <w:color w:val="000000"/>
          <w:sz w:val="22"/>
          <w:szCs w:val="22"/>
        </w:rPr>
        <w:t>The data shall be accompanied by a certification that the cost data is compliant with the Commission’s cost allocation rules and does not reflect duplicative assignment of costs to the consumer broadband-only loop and special access categories.</w:t>
      </w:r>
      <w:r w:rsidR="007E78DC">
        <w:rPr>
          <w:rStyle w:val="FootnoteReference"/>
          <w:color w:val="000000"/>
          <w:sz w:val="22"/>
          <w:szCs w:val="22"/>
        </w:rPr>
        <w:footnoteReference w:id="48"/>
      </w:r>
    </w:p>
    <w:p w14:paraId="34350CC8" w14:textId="77777777" w:rsidR="005A27C4" w:rsidRPr="00CE2218" w:rsidRDefault="005A27C4" w:rsidP="005A27C4">
      <w:pPr>
        <w:pStyle w:val="ListParagraph"/>
        <w:shd w:val="clear" w:color="auto" w:fill="FFFFFF"/>
        <w:spacing w:before="100" w:beforeAutospacing="1" w:after="100" w:afterAutospacing="1"/>
        <w:ind w:left="2160"/>
        <w:rPr>
          <w:color w:val="000000"/>
          <w:sz w:val="22"/>
          <w:szCs w:val="22"/>
        </w:rPr>
      </w:pPr>
    </w:p>
    <w:p w14:paraId="72382341" w14:textId="05740579" w:rsidR="005A27C4" w:rsidRPr="005A27C4" w:rsidRDefault="00B85DC1" w:rsidP="00D24543">
      <w:pPr>
        <w:pStyle w:val="ListParagraph"/>
        <w:numPr>
          <w:ilvl w:val="1"/>
          <w:numId w:val="13"/>
        </w:numPr>
        <w:shd w:val="clear" w:color="auto" w:fill="FFFFFF"/>
        <w:spacing w:before="100" w:beforeAutospacing="1" w:after="100" w:afterAutospacing="1"/>
        <w:rPr>
          <w:color w:val="000000"/>
          <w:sz w:val="22"/>
          <w:szCs w:val="22"/>
        </w:rPr>
      </w:pPr>
      <w:r w:rsidRPr="005A27C4">
        <w:rPr>
          <w:color w:val="000000"/>
          <w:sz w:val="22"/>
          <w:szCs w:val="22"/>
        </w:rPr>
        <w:t xml:space="preserve">Each rate-of-return carrier shall submit to USAC on December 31 of each year the data necessary to calculate a carrier’s Connect America Fund </w:t>
      </w:r>
      <w:r w:rsidRPr="005A27C4">
        <w:rPr>
          <w:bCs/>
          <w:sz w:val="22"/>
          <w:szCs w:val="22"/>
        </w:rPr>
        <w:t>CAF BLS</w:t>
      </w:r>
      <w:r w:rsidRPr="005A27C4">
        <w:rPr>
          <w:color w:val="000000"/>
          <w:sz w:val="22"/>
          <w:szCs w:val="22"/>
        </w:rPr>
        <w:t>, including common line and consumer broadband-only loop cost and revenue data, for the prior calendar year.</w:t>
      </w:r>
      <w:r w:rsidR="002747D8">
        <w:rPr>
          <w:rStyle w:val="FootnoteReference"/>
          <w:color w:val="000000"/>
          <w:sz w:val="22"/>
          <w:szCs w:val="22"/>
        </w:rPr>
        <w:footnoteReference w:id="49"/>
      </w:r>
      <w:r w:rsidRPr="005A27C4">
        <w:rPr>
          <w:color w:val="000000"/>
          <w:sz w:val="22"/>
          <w:szCs w:val="22"/>
        </w:rPr>
        <w:t xml:space="preserve">  </w:t>
      </w:r>
    </w:p>
    <w:p w14:paraId="6EAD6334" w14:textId="77777777" w:rsidR="005A27C4" w:rsidRPr="005A27C4" w:rsidRDefault="005A27C4" w:rsidP="005A27C4">
      <w:pPr>
        <w:pStyle w:val="ListParagraph"/>
        <w:shd w:val="clear" w:color="auto" w:fill="FFFFFF"/>
        <w:spacing w:before="100" w:beforeAutospacing="1" w:after="100" w:afterAutospacing="1"/>
        <w:ind w:left="1440"/>
        <w:rPr>
          <w:color w:val="000000"/>
          <w:sz w:val="22"/>
          <w:szCs w:val="22"/>
        </w:rPr>
      </w:pPr>
    </w:p>
    <w:p w14:paraId="0CC3C5FE" w14:textId="77777777" w:rsidR="005D6C3F" w:rsidRDefault="00B85DC1" w:rsidP="00665F42">
      <w:pPr>
        <w:pStyle w:val="ListParagraph"/>
        <w:numPr>
          <w:ilvl w:val="2"/>
          <w:numId w:val="13"/>
        </w:numPr>
        <w:shd w:val="clear" w:color="auto" w:fill="FFFFFF"/>
        <w:spacing w:before="100" w:beforeAutospacing="1" w:after="100" w:afterAutospacing="1"/>
        <w:rPr>
          <w:color w:val="000000"/>
          <w:sz w:val="22"/>
          <w:szCs w:val="22"/>
        </w:rPr>
      </w:pPr>
      <w:r w:rsidRPr="005A27C4">
        <w:rPr>
          <w:color w:val="000000"/>
          <w:sz w:val="22"/>
          <w:szCs w:val="22"/>
        </w:rPr>
        <w:t>The data shall be accompanied by a certification that the cost data is compliant with the Commission’s cost allocation rules and does not reflect duplicative assignment of costs to the consumer broadband-only loop and special access categories.</w:t>
      </w:r>
      <w:r w:rsidR="007E78DC">
        <w:rPr>
          <w:rStyle w:val="FootnoteReference"/>
          <w:color w:val="000000"/>
          <w:sz w:val="22"/>
          <w:szCs w:val="22"/>
        </w:rPr>
        <w:footnoteReference w:id="50"/>
      </w:r>
    </w:p>
    <w:p w14:paraId="4D8F5DBD" w14:textId="77777777" w:rsidR="004B7D54" w:rsidRPr="00665F42" w:rsidRDefault="004B7D54" w:rsidP="004B7D54">
      <w:pPr>
        <w:pStyle w:val="ListParagraph"/>
        <w:shd w:val="clear" w:color="auto" w:fill="FFFFFF"/>
        <w:spacing w:before="100" w:beforeAutospacing="1" w:after="100" w:afterAutospacing="1"/>
        <w:ind w:left="2160"/>
        <w:rPr>
          <w:color w:val="000000"/>
          <w:sz w:val="22"/>
          <w:szCs w:val="22"/>
        </w:rPr>
      </w:pPr>
    </w:p>
    <w:p w14:paraId="100C0BE8" w14:textId="77777777" w:rsidR="00192FAE" w:rsidRPr="004B7D54" w:rsidRDefault="00665F42" w:rsidP="004B7D54">
      <w:pPr>
        <w:pStyle w:val="ListParagraph"/>
        <w:numPr>
          <w:ilvl w:val="0"/>
          <w:numId w:val="24"/>
        </w:numPr>
        <w:rPr>
          <w:b/>
          <w:sz w:val="22"/>
          <w:szCs w:val="22"/>
        </w:rPr>
      </w:pPr>
      <w:r w:rsidRPr="004B7D54">
        <w:rPr>
          <w:b/>
          <w:sz w:val="22"/>
          <w:szCs w:val="22"/>
        </w:rPr>
        <w:t xml:space="preserve">Model-based and legacy carriers are </w:t>
      </w:r>
      <w:r w:rsidR="00192FAE" w:rsidRPr="004B7D54">
        <w:rPr>
          <w:b/>
          <w:sz w:val="22"/>
          <w:szCs w:val="22"/>
        </w:rPr>
        <w:t xml:space="preserve">subject to </w:t>
      </w:r>
      <w:r w:rsidR="00663FF8" w:rsidRPr="004B7D54">
        <w:rPr>
          <w:b/>
          <w:sz w:val="22"/>
          <w:szCs w:val="22"/>
        </w:rPr>
        <w:t>audits and recordkeeping requirements</w:t>
      </w:r>
    </w:p>
    <w:p w14:paraId="39317A81" w14:textId="77777777" w:rsidR="00192FAE" w:rsidRPr="00CE2218" w:rsidRDefault="00192FAE">
      <w:pPr>
        <w:rPr>
          <w:b/>
          <w:sz w:val="22"/>
          <w:szCs w:val="22"/>
        </w:rPr>
      </w:pPr>
    </w:p>
    <w:p w14:paraId="3A357BAF" w14:textId="77777777" w:rsidR="00665F42" w:rsidRPr="002531BD" w:rsidRDefault="00665F42" w:rsidP="002531BD">
      <w:pPr>
        <w:pStyle w:val="ListParagraph"/>
        <w:numPr>
          <w:ilvl w:val="0"/>
          <w:numId w:val="13"/>
        </w:numPr>
        <w:rPr>
          <w:sz w:val="22"/>
          <w:szCs w:val="22"/>
        </w:rPr>
      </w:pPr>
      <w:r w:rsidRPr="00665F42">
        <w:rPr>
          <w:sz w:val="22"/>
          <w:szCs w:val="22"/>
        </w:rPr>
        <w:t>Model-based and legacy carriers</w:t>
      </w:r>
      <w:r w:rsidRPr="00665F42">
        <w:rPr>
          <w:b/>
          <w:sz w:val="22"/>
          <w:szCs w:val="22"/>
        </w:rPr>
        <w:t xml:space="preserve"> </w:t>
      </w:r>
      <w:r w:rsidRPr="00665F42">
        <w:rPr>
          <w:sz w:val="22"/>
          <w:szCs w:val="22"/>
        </w:rPr>
        <w:t xml:space="preserve">are </w:t>
      </w:r>
      <w:r w:rsidR="00663FF8" w:rsidRPr="00665F42">
        <w:rPr>
          <w:sz w:val="22"/>
          <w:szCs w:val="22"/>
        </w:rPr>
        <w:t>subject to random compliance audits and other investigations to ensure compliance with program rules and orders.</w:t>
      </w:r>
      <w:r w:rsidR="00663FF8" w:rsidRPr="00CE2218">
        <w:rPr>
          <w:rStyle w:val="FootnoteReference"/>
          <w:sz w:val="22"/>
          <w:szCs w:val="22"/>
        </w:rPr>
        <w:footnoteReference w:id="51"/>
      </w:r>
      <w:r w:rsidR="002531BD">
        <w:rPr>
          <w:sz w:val="22"/>
          <w:szCs w:val="22"/>
        </w:rPr>
        <w:t xml:space="preserve">  T</w:t>
      </w:r>
      <w:r w:rsidR="00663FF8" w:rsidRPr="002531BD">
        <w:rPr>
          <w:sz w:val="22"/>
          <w:szCs w:val="22"/>
        </w:rPr>
        <w:t xml:space="preserve">o assist in complying with these audits, all </w:t>
      </w:r>
      <w:r w:rsidRPr="002531BD">
        <w:rPr>
          <w:sz w:val="22"/>
          <w:szCs w:val="22"/>
        </w:rPr>
        <w:t>model-based and legacy carriers</w:t>
      </w:r>
      <w:r w:rsidR="00663FF8" w:rsidRPr="002531BD">
        <w:rPr>
          <w:sz w:val="22"/>
          <w:szCs w:val="22"/>
        </w:rPr>
        <w:t xml:space="preserve"> must retain all records required</w:t>
      </w:r>
      <w:r w:rsidR="002E0E17">
        <w:rPr>
          <w:sz w:val="22"/>
          <w:szCs w:val="22"/>
        </w:rPr>
        <w:t xml:space="preserve">, including records related to </w:t>
      </w:r>
      <w:r w:rsidR="002310A2">
        <w:rPr>
          <w:sz w:val="22"/>
          <w:szCs w:val="22"/>
        </w:rPr>
        <w:t xml:space="preserve">the </w:t>
      </w:r>
      <w:r w:rsidR="002E0E17">
        <w:rPr>
          <w:sz w:val="22"/>
          <w:szCs w:val="22"/>
        </w:rPr>
        <w:t>capital budget mechanism adopted in the March 30, 2016 order,</w:t>
      </w:r>
      <w:r w:rsidR="002E0E17">
        <w:rPr>
          <w:rStyle w:val="FootnoteReference"/>
          <w:sz w:val="22"/>
          <w:szCs w:val="22"/>
        </w:rPr>
        <w:footnoteReference w:id="52"/>
      </w:r>
      <w:r w:rsidR="002E0E17">
        <w:rPr>
          <w:sz w:val="22"/>
          <w:szCs w:val="22"/>
        </w:rPr>
        <w:t xml:space="preserve"> </w:t>
      </w:r>
      <w:r w:rsidR="00663FF8" w:rsidRPr="002531BD">
        <w:rPr>
          <w:sz w:val="22"/>
          <w:szCs w:val="22"/>
        </w:rPr>
        <w:t xml:space="preserve">to demonstrate to auditors that support received was consistent with universal service high-cost program rules.  </w:t>
      </w:r>
    </w:p>
    <w:p w14:paraId="30D6B3BB" w14:textId="77777777" w:rsidR="00665F42" w:rsidRPr="00665F42" w:rsidRDefault="00665F42" w:rsidP="00665F42">
      <w:pPr>
        <w:pStyle w:val="ListParagraph"/>
        <w:rPr>
          <w:sz w:val="22"/>
          <w:szCs w:val="22"/>
        </w:rPr>
      </w:pPr>
    </w:p>
    <w:p w14:paraId="37B9C787" w14:textId="77777777" w:rsidR="00192FAE" w:rsidRPr="00665F42" w:rsidRDefault="00663FF8" w:rsidP="00665F42">
      <w:pPr>
        <w:pStyle w:val="ListParagraph"/>
        <w:numPr>
          <w:ilvl w:val="1"/>
          <w:numId w:val="13"/>
        </w:numPr>
        <w:rPr>
          <w:sz w:val="22"/>
          <w:szCs w:val="22"/>
        </w:rPr>
      </w:pPr>
      <w:r w:rsidRPr="00665F42">
        <w:rPr>
          <w:sz w:val="22"/>
          <w:szCs w:val="22"/>
        </w:rPr>
        <w:t>The documentation must be maintained for at least 10 years from the receipt of funding and shall be made available upon request to the FCC, any of its Bureaus or Offices, USAC, and their respective auditors.</w:t>
      </w:r>
      <w:r w:rsidRPr="00CE2218">
        <w:rPr>
          <w:rStyle w:val="FootnoteReference"/>
          <w:sz w:val="22"/>
          <w:szCs w:val="22"/>
        </w:rPr>
        <w:footnoteReference w:id="53"/>
      </w:r>
    </w:p>
    <w:p w14:paraId="6D286187" w14:textId="77777777" w:rsidR="005A27C4" w:rsidRPr="004B7D54" w:rsidRDefault="005A27C4">
      <w:pPr>
        <w:rPr>
          <w:sz w:val="22"/>
          <w:szCs w:val="22"/>
          <w:u w:val="single"/>
        </w:rPr>
      </w:pPr>
    </w:p>
    <w:p w14:paraId="41326FEE" w14:textId="77777777" w:rsidR="00DC62C0" w:rsidRPr="00DC62C0" w:rsidRDefault="00DC62C0" w:rsidP="00DC62C0">
      <w:pPr>
        <w:pStyle w:val="ListParagraph"/>
        <w:numPr>
          <w:ilvl w:val="0"/>
          <w:numId w:val="4"/>
        </w:numPr>
        <w:rPr>
          <w:b/>
          <w:sz w:val="22"/>
          <w:szCs w:val="22"/>
        </w:rPr>
      </w:pPr>
      <w:r w:rsidRPr="00DC62C0">
        <w:rPr>
          <w:b/>
          <w:sz w:val="22"/>
          <w:szCs w:val="22"/>
        </w:rPr>
        <w:t>Interconnection</w:t>
      </w:r>
    </w:p>
    <w:p w14:paraId="46FCC8EA" w14:textId="77777777" w:rsidR="00DC62C0" w:rsidRDefault="00DC62C0" w:rsidP="00DC62C0">
      <w:pPr>
        <w:rPr>
          <w:b/>
          <w:sz w:val="22"/>
          <w:szCs w:val="22"/>
          <w:u w:val="single"/>
        </w:rPr>
      </w:pPr>
    </w:p>
    <w:p w14:paraId="6AB48F79" w14:textId="2B7F4309" w:rsidR="00DC62C0" w:rsidRPr="00DC62C0" w:rsidRDefault="00DC62C0" w:rsidP="00DC62C0">
      <w:pPr>
        <w:pStyle w:val="ListParagraph"/>
        <w:numPr>
          <w:ilvl w:val="0"/>
          <w:numId w:val="13"/>
        </w:numPr>
        <w:rPr>
          <w:sz w:val="22"/>
          <w:szCs w:val="22"/>
        </w:rPr>
      </w:pPr>
      <w:r w:rsidRPr="00DC62C0">
        <w:rPr>
          <w:sz w:val="22"/>
          <w:szCs w:val="22"/>
        </w:rPr>
        <w:t>For purposes of CAF ICC recovery, a rate-of-return carrier must impute an amount equal to the Access Recovery Charge for each Consumer Broadband-Only Loop line that receives support, with the imputation applied before CAF ICC recovery is determined.</w:t>
      </w:r>
      <w:r w:rsidR="002747D8">
        <w:rPr>
          <w:rStyle w:val="FootnoteReference"/>
          <w:sz w:val="22"/>
          <w:szCs w:val="22"/>
        </w:rPr>
        <w:footnoteReference w:id="54"/>
      </w:r>
      <w:r w:rsidRPr="00DC62C0">
        <w:rPr>
          <w:sz w:val="22"/>
          <w:szCs w:val="22"/>
        </w:rPr>
        <w:t xml:space="preserve">  The per line per month imputation amount shall be equal to the Access Recovery Charge amount prescribed by paragraph (e) of section 51.917 of the Commission rules, consistent with the residential or single-line business or multi-line business status of the retail customer.</w:t>
      </w:r>
      <w:r>
        <w:rPr>
          <w:rStyle w:val="FootnoteReference"/>
          <w:sz w:val="22"/>
          <w:szCs w:val="22"/>
        </w:rPr>
        <w:footnoteReference w:id="55"/>
      </w:r>
      <w:r w:rsidRPr="00DC62C0">
        <w:rPr>
          <w:sz w:val="22"/>
          <w:szCs w:val="22"/>
        </w:rPr>
        <w:t xml:space="preserve"> </w:t>
      </w:r>
    </w:p>
    <w:p w14:paraId="2BF10653" w14:textId="77777777" w:rsidR="00DC62C0" w:rsidRDefault="00DC62C0" w:rsidP="00DC62C0">
      <w:pPr>
        <w:pStyle w:val="ListParagraph"/>
        <w:ind w:left="1440"/>
        <w:rPr>
          <w:b/>
          <w:sz w:val="22"/>
          <w:szCs w:val="22"/>
          <w:u w:val="single"/>
        </w:rPr>
      </w:pPr>
    </w:p>
    <w:p w14:paraId="76A96C02" w14:textId="77777777" w:rsidR="006514B1" w:rsidRDefault="006514B1" w:rsidP="00DC62C0">
      <w:pPr>
        <w:pStyle w:val="ListParagraph"/>
        <w:ind w:left="1440"/>
        <w:rPr>
          <w:b/>
          <w:sz w:val="22"/>
          <w:szCs w:val="22"/>
          <w:u w:val="single"/>
        </w:rPr>
      </w:pPr>
    </w:p>
    <w:p w14:paraId="5CA17E96" w14:textId="77777777" w:rsidR="006514B1" w:rsidRDefault="006514B1" w:rsidP="00DC62C0">
      <w:pPr>
        <w:pStyle w:val="ListParagraph"/>
        <w:ind w:left="1440"/>
        <w:rPr>
          <w:b/>
          <w:sz w:val="22"/>
          <w:szCs w:val="22"/>
          <w:u w:val="single"/>
        </w:rPr>
      </w:pPr>
    </w:p>
    <w:p w14:paraId="3A82360E" w14:textId="77777777" w:rsidR="006514B1" w:rsidRDefault="006514B1" w:rsidP="00DC62C0">
      <w:pPr>
        <w:pStyle w:val="ListParagraph"/>
        <w:ind w:left="1440"/>
        <w:rPr>
          <w:b/>
          <w:sz w:val="22"/>
          <w:szCs w:val="22"/>
          <w:u w:val="single"/>
        </w:rPr>
      </w:pPr>
    </w:p>
    <w:p w14:paraId="588C712C" w14:textId="77777777" w:rsidR="005A27C4" w:rsidRPr="00DC62C0" w:rsidRDefault="005A27C4" w:rsidP="00DC62C0">
      <w:pPr>
        <w:pStyle w:val="ListParagraph"/>
        <w:numPr>
          <w:ilvl w:val="0"/>
          <w:numId w:val="4"/>
        </w:numPr>
        <w:rPr>
          <w:b/>
          <w:sz w:val="22"/>
          <w:szCs w:val="22"/>
        </w:rPr>
      </w:pPr>
      <w:r w:rsidRPr="00DC62C0">
        <w:rPr>
          <w:b/>
          <w:sz w:val="22"/>
          <w:szCs w:val="22"/>
        </w:rPr>
        <w:t>Pricing Considerations</w:t>
      </w:r>
    </w:p>
    <w:p w14:paraId="1EDE88B7" w14:textId="77777777" w:rsidR="00723F09" w:rsidRPr="00B15316" w:rsidRDefault="00723F09" w:rsidP="00B15316">
      <w:pPr>
        <w:rPr>
          <w:sz w:val="22"/>
          <w:szCs w:val="22"/>
        </w:rPr>
      </w:pPr>
    </w:p>
    <w:p w14:paraId="5A2FA540" w14:textId="77777777" w:rsidR="009E06C8" w:rsidRPr="009E06C8" w:rsidRDefault="009E06C8" w:rsidP="009E06C8">
      <w:pPr>
        <w:pStyle w:val="ListParagraph"/>
        <w:numPr>
          <w:ilvl w:val="0"/>
          <w:numId w:val="25"/>
        </w:numPr>
        <w:rPr>
          <w:b/>
          <w:sz w:val="22"/>
          <w:szCs w:val="22"/>
          <w:u w:val="single"/>
        </w:rPr>
      </w:pPr>
      <w:r w:rsidRPr="009E06C8">
        <w:rPr>
          <w:b/>
          <w:sz w:val="22"/>
          <w:szCs w:val="22"/>
          <w:u w:val="single"/>
        </w:rPr>
        <w:t>Charges and Rates</w:t>
      </w:r>
    </w:p>
    <w:p w14:paraId="70E3811B" w14:textId="77777777" w:rsidR="009E06C8" w:rsidRPr="009E06C8" w:rsidRDefault="009E06C8" w:rsidP="009E06C8">
      <w:pPr>
        <w:pStyle w:val="ListParagraph"/>
        <w:rPr>
          <w:sz w:val="22"/>
          <w:szCs w:val="22"/>
        </w:rPr>
      </w:pPr>
    </w:p>
    <w:p w14:paraId="62DCE87C" w14:textId="77777777" w:rsidR="00723F09" w:rsidRPr="00723F09" w:rsidRDefault="00723F09" w:rsidP="00723F09">
      <w:pPr>
        <w:pStyle w:val="ListParagraph"/>
        <w:numPr>
          <w:ilvl w:val="0"/>
          <w:numId w:val="13"/>
        </w:numPr>
        <w:rPr>
          <w:sz w:val="22"/>
          <w:szCs w:val="22"/>
        </w:rPr>
      </w:pPr>
      <w:r>
        <w:rPr>
          <w:sz w:val="22"/>
          <w:szCs w:val="22"/>
        </w:rPr>
        <w:t>The maximum charge that m</w:t>
      </w:r>
      <w:r w:rsidRPr="00723F09">
        <w:rPr>
          <w:sz w:val="22"/>
          <w:szCs w:val="22"/>
        </w:rPr>
        <w:t xml:space="preserve">odel-based </w:t>
      </w:r>
      <w:r>
        <w:rPr>
          <w:sz w:val="22"/>
          <w:szCs w:val="22"/>
        </w:rPr>
        <w:t xml:space="preserve">carriers </w:t>
      </w:r>
      <w:r w:rsidRPr="00723F09">
        <w:rPr>
          <w:sz w:val="22"/>
          <w:szCs w:val="22"/>
        </w:rPr>
        <w:t>may assess for each residential or single-line business local exchange service subscriber</w:t>
      </w:r>
      <w:r w:rsidR="001F5B32">
        <w:rPr>
          <w:sz w:val="22"/>
          <w:szCs w:val="22"/>
        </w:rPr>
        <w:t xml:space="preserve"> line, </w:t>
      </w:r>
      <w:r w:rsidR="001F5B32" w:rsidRPr="00723F09">
        <w:rPr>
          <w:sz w:val="22"/>
          <w:szCs w:val="22"/>
        </w:rPr>
        <w:t>multi-line business local exchange service subscriber line</w:t>
      </w:r>
      <w:r w:rsidR="00B15316">
        <w:rPr>
          <w:sz w:val="22"/>
          <w:szCs w:val="22"/>
        </w:rPr>
        <w:t>,</w:t>
      </w:r>
      <w:r w:rsidR="00F8480F">
        <w:rPr>
          <w:sz w:val="22"/>
          <w:szCs w:val="22"/>
        </w:rPr>
        <w:t xml:space="preserve"> </w:t>
      </w:r>
      <w:r w:rsidR="001F5B32">
        <w:rPr>
          <w:sz w:val="22"/>
          <w:szCs w:val="22"/>
        </w:rPr>
        <w:t xml:space="preserve">special access surcharge, and line port </w:t>
      </w:r>
      <w:r w:rsidRPr="00723F09">
        <w:rPr>
          <w:sz w:val="22"/>
          <w:szCs w:val="22"/>
        </w:rPr>
        <w:t>is the rate in effect on the last day of the month preceding the month for which model-based support is first provided.</w:t>
      </w:r>
      <w:r w:rsidR="00B15316">
        <w:rPr>
          <w:rStyle w:val="FootnoteReference"/>
          <w:sz w:val="22"/>
          <w:szCs w:val="22"/>
        </w:rPr>
        <w:footnoteReference w:id="56"/>
      </w:r>
      <w:r w:rsidRPr="00723F09">
        <w:rPr>
          <w:sz w:val="22"/>
          <w:szCs w:val="22"/>
        </w:rPr>
        <w:t xml:space="preserve">  </w:t>
      </w:r>
    </w:p>
    <w:p w14:paraId="4FCFCAAB" w14:textId="77777777" w:rsidR="001F5B32" w:rsidRPr="001F5B32" w:rsidRDefault="001F5B32" w:rsidP="001F5B32">
      <w:pPr>
        <w:pStyle w:val="ListParagraph"/>
        <w:rPr>
          <w:sz w:val="22"/>
          <w:szCs w:val="22"/>
        </w:rPr>
      </w:pPr>
    </w:p>
    <w:p w14:paraId="719ED1FE" w14:textId="0CF11CEA" w:rsidR="001F5B32" w:rsidRPr="001F5B32" w:rsidRDefault="009E06C8" w:rsidP="001F5B32">
      <w:pPr>
        <w:pStyle w:val="ListParagraph"/>
        <w:numPr>
          <w:ilvl w:val="0"/>
          <w:numId w:val="13"/>
        </w:numPr>
        <w:rPr>
          <w:sz w:val="22"/>
          <w:szCs w:val="22"/>
        </w:rPr>
      </w:pPr>
      <w:r>
        <w:rPr>
          <w:sz w:val="22"/>
          <w:szCs w:val="22"/>
        </w:rPr>
        <w:t>Model-based carriers and legacy c</w:t>
      </w:r>
      <w:r w:rsidR="00F8480F">
        <w:rPr>
          <w:sz w:val="22"/>
          <w:szCs w:val="22"/>
        </w:rPr>
        <w:t>arriers may charge</w:t>
      </w:r>
      <w:r w:rsidR="001F5B32" w:rsidRPr="001F5B32">
        <w:rPr>
          <w:sz w:val="22"/>
          <w:szCs w:val="22"/>
        </w:rPr>
        <w:t xml:space="preserve"> end users that subscribe to Consumer Broadband-Only Loop service.</w:t>
      </w:r>
      <w:r w:rsidR="00E5343A">
        <w:rPr>
          <w:rStyle w:val="FootnoteReference"/>
          <w:sz w:val="22"/>
          <w:szCs w:val="22"/>
        </w:rPr>
        <w:footnoteReference w:id="57"/>
      </w:r>
      <w:r w:rsidR="001F5B32" w:rsidRPr="001F5B32">
        <w:rPr>
          <w:sz w:val="22"/>
          <w:szCs w:val="22"/>
        </w:rPr>
        <w:t xml:space="preserve">  Such charge shall be assessed for each line without regulated local exchange voice service provided by a rate-of-return incumbent local exchange carrier to a customer, for use in connection with fixed Broadb</w:t>
      </w:r>
      <w:r w:rsidR="001F5B32">
        <w:rPr>
          <w:sz w:val="22"/>
          <w:szCs w:val="22"/>
        </w:rPr>
        <w:t>and Internet access service.</w:t>
      </w:r>
      <w:r w:rsidR="00117CCE">
        <w:rPr>
          <w:rStyle w:val="FootnoteReference"/>
          <w:sz w:val="22"/>
          <w:szCs w:val="22"/>
        </w:rPr>
        <w:footnoteReference w:id="58"/>
      </w:r>
    </w:p>
    <w:p w14:paraId="74EAEF3D" w14:textId="77777777" w:rsidR="001F5B32" w:rsidRPr="001F5B32" w:rsidRDefault="001F5B32" w:rsidP="001F5B32">
      <w:pPr>
        <w:pStyle w:val="ListParagraph"/>
        <w:rPr>
          <w:sz w:val="22"/>
          <w:szCs w:val="22"/>
        </w:rPr>
      </w:pPr>
    </w:p>
    <w:p w14:paraId="73E8DBA3" w14:textId="77777777" w:rsidR="001F5B32" w:rsidRPr="001F5B32" w:rsidRDefault="001F5B32" w:rsidP="001F5B32">
      <w:pPr>
        <w:pStyle w:val="ListParagraph"/>
        <w:numPr>
          <w:ilvl w:val="0"/>
          <w:numId w:val="13"/>
        </w:numPr>
        <w:rPr>
          <w:sz w:val="22"/>
          <w:szCs w:val="22"/>
        </w:rPr>
      </w:pPr>
      <w:r w:rsidRPr="001F5B32">
        <w:rPr>
          <w:sz w:val="22"/>
          <w:szCs w:val="22"/>
        </w:rPr>
        <w:t xml:space="preserve">For </w:t>
      </w:r>
      <w:r>
        <w:rPr>
          <w:sz w:val="22"/>
          <w:szCs w:val="22"/>
        </w:rPr>
        <w:t xml:space="preserve">legacy </w:t>
      </w:r>
      <w:r w:rsidRPr="001F5B32">
        <w:rPr>
          <w:sz w:val="22"/>
          <w:szCs w:val="22"/>
        </w:rPr>
        <w:t>c</w:t>
      </w:r>
      <w:r>
        <w:rPr>
          <w:sz w:val="22"/>
          <w:szCs w:val="22"/>
        </w:rPr>
        <w:t xml:space="preserve">arriers, </w:t>
      </w:r>
      <w:r w:rsidRPr="001F5B32">
        <w:rPr>
          <w:sz w:val="22"/>
          <w:szCs w:val="22"/>
        </w:rPr>
        <w:t xml:space="preserve">the single-line rate or charge </w:t>
      </w:r>
      <w:r w:rsidR="009E06C8">
        <w:rPr>
          <w:sz w:val="22"/>
          <w:szCs w:val="22"/>
        </w:rPr>
        <w:t xml:space="preserve">for the broadband-only loop </w:t>
      </w:r>
      <w:r w:rsidRPr="001F5B32">
        <w:rPr>
          <w:sz w:val="22"/>
          <w:szCs w:val="22"/>
        </w:rPr>
        <w:t>shall be computed by dividing one-twelfth of the projected annual revenue requirement for the Consumer Broadband-Only Loop category (net of the projected annual Connect America Fund Broadband Loop Support attributable to consumer broadband-only loops) by the projected average number of consumer broadband-only service lines in use during such annual period.</w:t>
      </w:r>
      <w:r w:rsidR="00B15316">
        <w:rPr>
          <w:rStyle w:val="FootnoteReference"/>
          <w:sz w:val="22"/>
          <w:szCs w:val="22"/>
        </w:rPr>
        <w:footnoteReference w:id="59"/>
      </w:r>
    </w:p>
    <w:p w14:paraId="473EEC62" w14:textId="77777777" w:rsidR="001F5B32" w:rsidRPr="001F5B32" w:rsidRDefault="001F5B32" w:rsidP="001F5B32">
      <w:pPr>
        <w:pStyle w:val="ListParagraph"/>
        <w:rPr>
          <w:sz w:val="22"/>
          <w:szCs w:val="22"/>
        </w:rPr>
      </w:pPr>
    </w:p>
    <w:p w14:paraId="53FF424B" w14:textId="77777777" w:rsidR="001F5B32" w:rsidRDefault="001F5B32" w:rsidP="001F5B32">
      <w:pPr>
        <w:pStyle w:val="ListParagraph"/>
        <w:numPr>
          <w:ilvl w:val="0"/>
          <w:numId w:val="13"/>
        </w:numPr>
        <w:rPr>
          <w:sz w:val="22"/>
          <w:szCs w:val="22"/>
        </w:rPr>
      </w:pPr>
      <w:r w:rsidRPr="001F5B32">
        <w:rPr>
          <w:sz w:val="22"/>
          <w:szCs w:val="22"/>
        </w:rPr>
        <w:t xml:space="preserve">The maximum monthly per line charge for each Consumer Broadband-Only Loop provided by </w:t>
      </w:r>
      <w:r>
        <w:rPr>
          <w:sz w:val="22"/>
          <w:szCs w:val="22"/>
        </w:rPr>
        <w:t>a model-based carrier</w:t>
      </w:r>
      <w:r w:rsidRPr="001F5B32">
        <w:rPr>
          <w:sz w:val="22"/>
          <w:szCs w:val="22"/>
        </w:rPr>
        <w:t xml:space="preserve"> shall be $42.</w:t>
      </w:r>
      <w:r w:rsidR="00B15316">
        <w:rPr>
          <w:rStyle w:val="FootnoteReference"/>
          <w:sz w:val="22"/>
          <w:szCs w:val="22"/>
        </w:rPr>
        <w:footnoteReference w:id="60"/>
      </w:r>
      <w:r w:rsidRPr="001F5B32">
        <w:rPr>
          <w:sz w:val="22"/>
          <w:szCs w:val="22"/>
        </w:rPr>
        <w:t xml:space="preserve">  </w:t>
      </w:r>
    </w:p>
    <w:p w14:paraId="029F1729" w14:textId="77777777" w:rsidR="001F5B32" w:rsidRPr="001F5B32" w:rsidRDefault="001F5B32" w:rsidP="001F5B32">
      <w:pPr>
        <w:pStyle w:val="ListParagraph"/>
        <w:rPr>
          <w:sz w:val="22"/>
          <w:szCs w:val="22"/>
        </w:rPr>
      </w:pPr>
    </w:p>
    <w:p w14:paraId="2C482031" w14:textId="77777777" w:rsidR="009E06C8" w:rsidRPr="009E06C8" w:rsidRDefault="009E06C8" w:rsidP="009E06C8">
      <w:pPr>
        <w:pStyle w:val="ListParagraph"/>
        <w:numPr>
          <w:ilvl w:val="0"/>
          <w:numId w:val="25"/>
        </w:numPr>
        <w:rPr>
          <w:b/>
          <w:sz w:val="22"/>
          <w:szCs w:val="22"/>
          <w:u w:val="single"/>
        </w:rPr>
      </w:pPr>
      <w:r w:rsidRPr="009E06C8">
        <w:rPr>
          <w:b/>
          <w:sz w:val="22"/>
          <w:szCs w:val="22"/>
          <w:u w:val="single"/>
        </w:rPr>
        <w:t>Removal of Investment and Expenses from Special Access</w:t>
      </w:r>
    </w:p>
    <w:p w14:paraId="6607B64B" w14:textId="77777777" w:rsidR="009E06C8" w:rsidRPr="009E06C8" w:rsidRDefault="009E06C8" w:rsidP="009E06C8">
      <w:pPr>
        <w:pStyle w:val="ListParagraph"/>
        <w:rPr>
          <w:sz w:val="22"/>
          <w:szCs w:val="22"/>
        </w:rPr>
      </w:pPr>
    </w:p>
    <w:p w14:paraId="50E93875" w14:textId="5E27F09E" w:rsidR="001F5B32" w:rsidRPr="005761A5" w:rsidRDefault="009E06C8" w:rsidP="005761A5">
      <w:pPr>
        <w:pStyle w:val="ListParagraph"/>
        <w:numPr>
          <w:ilvl w:val="0"/>
          <w:numId w:val="13"/>
        </w:numPr>
        <w:rPr>
          <w:sz w:val="22"/>
          <w:szCs w:val="22"/>
        </w:rPr>
      </w:pPr>
      <w:r>
        <w:rPr>
          <w:sz w:val="22"/>
          <w:szCs w:val="22"/>
        </w:rPr>
        <w:t>Model-based carriers and legacy</w:t>
      </w:r>
      <w:r w:rsidR="001F5B32" w:rsidRPr="001F5B32">
        <w:rPr>
          <w:sz w:val="22"/>
          <w:szCs w:val="22"/>
        </w:rPr>
        <w:t xml:space="preserve"> carrier</w:t>
      </w:r>
      <w:r w:rsidR="000A06EA">
        <w:rPr>
          <w:sz w:val="22"/>
          <w:szCs w:val="22"/>
        </w:rPr>
        <w:t>s</w:t>
      </w:r>
      <w:r w:rsidR="001F5B32" w:rsidRPr="001F5B32">
        <w:rPr>
          <w:sz w:val="22"/>
          <w:szCs w:val="22"/>
        </w:rPr>
        <w:t xml:space="preserve"> shall remove consumer broadband-only loop investment </w:t>
      </w:r>
      <w:r w:rsidR="005761A5">
        <w:rPr>
          <w:sz w:val="22"/>
          <w:szCs w:val="22"/>
        </w:rPr>
        <w:t xml:space="preserve">and expenses </w:t>
      </w:r>
      <w:r w:rsidR="001F5B32" w:rsidRPr="001F5B32">
        <w:rPr>
          <w:sz w:val="22"/>
          <w:szCs w:val="22"/>
        </w:rPr>
        <w:t xml:space="preserve">assigned to the special access category by </w:t>
      </w:r>
      <w:r w:rsidR="008F1C50">
        <w:rPr>
          <w:sz w:val="22"/>
          <w:szCs w:val="22"/>
        </w:rPr>
        <w:t xml:space="preserve"> Sections </w:t>
      </w:r>
      <w:r w:rsidR="001F5B32" w:rsidRPr="001F5B32">
        <w:rPr>
          <w:sz w:val="22"/>
          <w:szCs w:val="22"/>
        </w:rPr>
        <w:t>69.301</w:t>
      </w:r>
      <w:r w:rsidR="008F1C50">
        <w:rPr>
          <w:sz w:val="22"/>
          <w:szCs w:val="22"/>
        </w:rPr>
        <w:t>—</w:t>
      </w:r>
      <w:r w:rsidR="001F5B32" w:rsidRPr="001F5B32">
        <w:rPr>
          <w:sz w:val="22"/>
          <w:szCs w:val="22"/>
        </w:rPr>
        <w:t>310</w:t>
      </w:r>
      <w:r w:rsidR="008F1C50">
        <w:rPr>
          <w:sz w:val="22"/>
          <w:szCs w:val="22"/>
        </w:rPr>
        <w:t>,</w:t>
      </w:r>
      <w:r w:rsidR="001F5B32" w:rsidRPr="001F5B32">
        <w:rPr>
          <w:sz w:val="22"/>
          <w:szCs w:val="22"/>
        </w:rPr>
        <w:t xml:space="preserve"> </w:t>
      </w:r>
      <w:r w:rsidR="005761A5" w:rsidRPr="001F5B32">
        <w:rPr>
          <w:sz w:val="22"/>
          <w:szCs w:val="22"/>
        </w:rPr>
        <w:t>69.401</w:t>
      </w:r>
      <w:r w:rsidR="008F1C50">
        <w:rPr>
          <w:sz w:val="22"/>
          <w:szCs w:val="22"/>
        </w:rPr>
        <w:t>—</w:t>
      </w:r>
      <w:r w:rsidR="005761A5" w:rsidRPr="001F5B32">
        <w:rPr>
          <w:sz w:val="22"/>
          <w:szCs w:val="22"/>
        </w:rPr>
        <w:t>415</w:t>
      </w:r>
      <w:r w:rsidR="008F1C50">
        <w:rPr>
          <w:sz w:val="22"/>
          <w:szCs w:val="22"/>
        </w:rPr>
        <w:t>,</w:t>
      </w:r>
      <w:r w:rsidR="005761A5" w:rsidRPr="001F5B32">
        <w:rPr>
          <w:sz w:val="22"/>
          <w:szCs w:val="22"/>
        </w:rPr>
        <w:t xml:space="preserve"> </w:t>
      </w:r>
      <w:r w:rsidR="005761A5">
        <w:rPr>
          <w:sz w:val="22"/>
          <w:szCs w:val="22"/>
        </w:rPr>
        <w:t xml:space="preserve">respectively </w:t>
      </w:r>
      <w:r w:rsidR="001F5B32" w:rsidRPr="001F5B32">
        <w:rPr>
          <w:sz w:val="22"/>
          <w:szCs w:val="22"/>
        </w:rPr>
        <w:t>from the special access category and assign it to the Consumer Broadband-Only Loop category.</w:t>
      </w:r>
      <w:r w:rsidR="00B15316">
        <w:rPr>
          <w:rStyle w:val="FootnoteReference"/>
          <w:sz w:val="22"/>
          <w:szCs w:val="22"/>
        </w:rPr>
        <w:footnoteReference w:id="61"/>
      </w:r>
    </w:p>
    <w:p w14:paraId="1E27B8D9" w14:textId="77777777" w:rsidR="001F5B32" w:rsidRPr="00723F09" w:rsidRDefault="001F5B32" w:rsidP="001F5B32">
      <w:pPr>
        <w:pStyle w:val="ListParagraph"/>
        <w:rPr>
          <w:sz w:val="22"/>
          <w:szCs w:val="22"/>
        </w:rPr>
      </w:pPr>
    </w:p>
    <w:sectPr w:rsidR="001F5B32" w:rsidRPr="00723F09" w:rsidSect="00722D2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E039D" w14:textId="77777777" w:rsidR="00E149BB" w:rsidRDefault="00E149BB" w:rsidP="00342953">
      <w:r>
        <w:separator/>
      </w:r>
    </w:p>
  </w:endnote>
  <w:endnote w:type="continuationSeparator" w:id="0">
    <w:p w14:paraId="7524E262" w14:textId="77777777" w:rsidR="00E149BB" w:rsidRDefault="00E149BB" w:rsidP="00342953">
      <w:r>
        <w:continuationSeparator/>
      </w:r>
    </w:p>
  </w:endnote>
  <w:endnote w:type="continuationNotice" w:id="1">
    <w:p w14:paraId="640389FF" w14:textId="77777777" w:rsidR="00E149BB" w:rsidRDefault="00E14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F5EA" w14:textId="77777777" w:rsidR="00A95F69" w:rsidRDefault="00A95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67015"/>
      <w:docPartObj>
        <w:docPartGallery w:val="Page Numbers (Bottom of Page)"/>
        <w:docPartUnique/>
      </w:docPartObj>
    </w:sdtPr>
    <w:sdtEndPr>
      <w:rPr>
        <w:noProof/>
        <w:sz w:val="22"/>
      </w:rPr>
    </w:sdtEndPr>
    <w:sdtContent>
      <w:p w14:paraId="7E98CF34" w14:textId="77777777" w:rsidR="00342953" w:rsidRPr="004B7D54" w:rsidRDefault="00342953">
        <w:pPr>
          <w:pStyle w:val="Footer"/>
          <w:jc w:val="center"/>
          <w:rPr>
            <w:sz w:val="22"/>
          </w:rPr>
        </w:pPr>
        <w:r w:rsidRPr="004B7D54">
          <w:rPr>
            <w:sz w:val="22"/>
          </w:rPr>
          <w:fldChar w:fldCharType="begin"/>
        </w:r>
        <w:r w:rsidRPr="004B7D54">
          <w:rPr>
            <w:sz w:val="22"/>
          </w:rPr>
          <w:instrText xml:space="preserve"> PAGE   \* MERGEFORMAT </w:instrText>
        </w:r>
        <w:r w:rsidRPr="004B7D54">
          <w:rPr>
            <w:sz w:val="22"/>
          </w:rPr>
          <w:fldChar w:fldCharType="separate"/>
        </w:r>
        <w:r w:rsidR="00585264">
          <w:rPr>
            <w:noProof/>
            <w:sz w:val="22"/>
          </w:rPr>
          <w:t>2</w:t>
        </w:r>
        <w:r w:rsidRPr="004B7D54">
          <w:rPr>
            <w:noProof/>
            <w:sz w:val="22"/>
          </w:rPr>
          <w:fldChar w:fldCharType="end"/>
        </w:r>
      </w:p>
    </w:sdtContent>
  </w:sdt>
  <w:p w14:paraId="4751F51A" w14:textId="77777777" w:rsidR="00342953" w:rsidRDefault="00342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CA3DB" w14:textId="77777777" w:rsidR="00A95F69" w:rsidRDefault="00A95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62355" w14:textId="77777777" w:rsidR="00E149BB" w:rsidRDefault="00E149BB" w:rsidP="00342953">
      <w:r>
        <w:separator/>
      </w:r>
    </w:p>
  </w:footnote>
  <w:footnote w:type="continuationSeparator" w:id="0">
    <w:p w14:paraId="0A19227D" w14:textId="77777777" w:rsidR="00E149BB" w:rsidRDefault="00E149BB" w:rsidP="00342953">
      <w:r>
        <w:continuationSeparator/>
      </w:r>
    </w:p>
  </w:footnote>
  <w:footnote w:type="continuationNotice" w:id="1">
    <w:p w14:paraId="7CDCDA70" w14:textId="77777777" w:rsidR="00E149BB" w:rsidRDefault="00E149BB"/>
  </w:footnote>
  <w:footnote w:id="2">
    <w:p w14:paraId="30E40EB2" w14:textId="340279E3" w:rsidR="006D770E" w:rsidRPr="006D770E" w:rsidRDefault="006D770E" w:rsidP="00D1019F">
      <w:pPr>
        <w:pStyle w:val="FootnoteText"/>
        <w:spacing w:before="60" w:after="120"/>
      </w:pPr>
      <w:r>
        <w:rPr>
          <w:rStyle w:val="FootnoteReference"/>
        </w:rPr>
        <w:footnoteRef/>
      </w:r>
      <w:r>
        <w:t xml:space="preserve"> </w:t>
      </w:r>
      <w:r>
        <w:rPr>
          <w:i/>
        </w:rPr>
        <w:t>Connect America Fund et al.</w:t>
      </w:r>
      <w:r>
        <w:t>, WC Docket No</w:t>
      </w:r>
      <w:r w:rsidR="00F96145">
        <w:t>s</w:t>
      </w:r>
      <w:r>
        <w:t>.</w:t>
      </w:r>
      <w:r w:rsidR="00F96145">
        <w:t xml:space="preserve"> 10-9</w:t>
      </w:r>
      <w:r w:rsidR="00764445">
        <w:t>0</w:t>
      </w:r>
      <w:r w:rsidR="00F96145">
        <w:t>, 14-58</w:t>
      </w:r>
      <w:r w:rsidR="00764445">
        <w:t>, CC Docket No. 01-92</w:t>
      </w:r>
      <w:r>
        <w:t xml:space="preserve">, Report and Order, Order and Order on Reconsideration, and Further Notice of Proposed Rulemaking, 31 FCC Rcd 3087 (2016).  </w:t>
      </w:r>
    </w:p>
  </w:footnote>
  <w:footnote w:id="3">
    <w:p w14:paraId="381490D1" w14:textId="77777777" w:rsidR="006D770E" w:rsidRDefault="006D770E" w:rsidP="00D1019F">
      <w:pPr>
        <w:pStyle w:val="FootnoteText"/>
        <w:spacing w:before="60" w:after="120"/>
      </w:pPr>
      <w:r>
        <w:rPr>
          <w:rStyle w:val="FootnoteReference"/>
        </w:rPr>
        <w:footnoteRef/>
      </w:r>
      <w:r>
        <w:t xml:space="preserve"> 47 C.F.R. § 54.308(a)(1).  </w:t>
      </w:r>
    </w:p>
  </w:footnote>
  <w:footnote w:id="4">
    <w:p w14:paraId="080466B7" w14:textId="45B53F74" w:rsidR="006D770E" w:rsidRPr="006D770E" w:rsidRDefault="006D770E" w:rsidP="00D1019F">
      <w:pPr>
        <w:pStyle w:val="FootnoteText"/>
        <w:spacing w:before="60" w:after="120"/>
        <w:rPr>
          <w:i/>
        </w:rPr>
      </w:pPr>
      <w:r>
        <w:rPr>
          <w:rStyle w:val="FootnoteReference"/>
        </w:rPr>
        <w:footnoteRef/>
      </w:r>
      <w:r>
        <w:t xml:space="preserve"> </w:t>
      </w:r>
      <w:r w:rsidR="003974B3">
        <w:t>47 C.F.R. § 54.308(a).</w:t>
      </w:r>
    </w:p>
  </w:footnote>
  <w:footnote w:id="5">
    <w:p w14:paraId="2BE52438" w14:textId="55501144" w:rsidR="006D770E" w:rsidRPr="006D770E" w:rsidRDefault="006D770E" w:rsidP="00D1019F">
      <w:pPr>
        <w:pStyle w:val="FootnoteText"/>
        <w:spacing w:before="60" w:after="120"/>
        <w:rPr>
          <w:i/>
        </w:rPr>
      </w:pPr>
      <w:r>
        <w:rPr>
          <w:rStyle w:val="FootnoteReference"/>
        </w:rPr>
        <w:footnoteRef/>
      </w:r>
      <w:r>
        <w:t xml:space="preserve"> </w:t>
      </w:r>
      <w:r w:rsidR="003974B3" w:rsidRPr="00A41870">
        <w:t>47 C.F.R. § 54.308(a)(1).</w:t>
      </w:r>
    </w:p>
  </w:footnote>
  <w:footnote w:id="6">
    <w:p w14:paraId="4BA27AE3" w14:textId="7C22A667" w:rsidR="00F3184F" w:rsidRPr="00F3184F" w:rsidRDefault="00F3184F" w:rsidP="00D1019F">
      <w:pPr>
        <w:pStyle w:val="FootnoteText"/>
        <w:spacing w:after="120"/>
      </w:pPr>
      <w:r>
        <w:rPr>
          <w:rStyle w:val="FootnoteReference"/>
        </w:rPr>
        <w:footnoteRef/>
      </w:r>
      <w:r>
        <w:t xml:space="preserve"> </w:t>
      </w:r>
      <w:r>
        <w:rPr>
          <w:i/>
        </w:rPr>
        <w:t xml:space="preserve">See </w:t>
      </w:r>
      <w:r>
        <w:t>Federal Communications Commission, Measuring Broadband America,</w:t>
      </w:r>
      <w:r w:rsidR="00D1019F">
        <w:t xml:space="preserve"> </w:t>
      </w:r>
      <w:r w:rsidR="00D1019F" w:rsidRPr="00D1019F">
        <w:t>https://www.fcc.gov/general/measuring-broadband-america</w:t>
      </w:r>
      <w:r>
        <w:t xml:space="preserve"> </w:t>
      </w:r>
      <w:r w:rsidR="00D1019F">
        <w:t>(last visited Sept. 22</w:t>
      </w:r>
      <w:r>
        <w:t xml:space="preserve">, 2016).  </w:t>
      </w:r>
    </w:p>
  </w:footnote>
  <w:footnote w:id="7">
    <w:p w14:paraId="209700EC" w14:textId="748CE993" w:rsidR="00A95362" w:rsidRDefault="00A95362" w:rsidP="00D1019F">
      <w:pPr>
        <w:pStyle w:val="FootnoteText"/>
        <w:spacing w:after="120"/>
      </w:pPr>
      <w:r>
        <w:rPr>
          <w:rStyle w:val="FootnoteReference"/>
        </w:rPr>
        <w:footnoteRef/>
      </w:r>
      <w:r>
        <w:t xml:space="preserve"> 47 C.F.R. § 54.308(a)(1)(i)(A-C).</w:t>
      </w:r>
    </w:p>
  </w:footnote>
  <w:footnote w:id="8">
    <w:p w14:paraId="10AB327E" w14:textId="5F3C62B9" w:rsidR="006D770E" w:rsidRDefault="006D770E" w:rsidP="00D1019F">
      <w:pPr>
        <w:pStyle w:val="FootnoteText"/>
        <w:spacing w:before="60" w:after="120"/>
      </w:pPr>
      <w:r>
        <w:rPr>
          <w:rStyle w:val="FootnoteReference"/>
        </w:rPr>
        <w:footnoteRef/>
      </w:r>
      <w:r>
        <w:t xml:space="preserve"> 47 C.F.R. § 54.308(a)(1)(i).</w:t>
      </w:r>
    </w:p>
  </w:footnote>
  <w:footnote w:id="9">
    <w:p w14:paraId="12BCBD74" w14:textId="77777777" w:rsidR="006D770E" w:rsidRDefault="006D770E" w:rsidP="00D1019F">
      <w:pPr>
        <w:pStyle w:val="FootnoteText"/>
        <w:spacing w:before="60" w:after="120"/>
      </w:pPr>
      <w:r>
        <w:rPr>
          <w:rStyle w:val="FootnoteReference"/>
        </w:rPr>
        <w:footnoteRef/>
      </w:r>
      <w:r>
        <w:t xml:space="preserve"> 47 C.F.R. § 54.308(a)(1)(i)(A).</w:t>
      </w:r>
    </w:p>
  </w:footnote>
  <w:footnote w:id="10">
    <w:p w14:paraId="6DBCCF06" w14:textId="77777777" w:rsidR="006D770E" w:rsidRDefault="006D770E" w:rsidP="00D1019F">
      <w:pPr>
        <w:pStyle w:val="FootnoteText"/>
        <w:spacing w:before="60" w:after="120"/>
      </w:pPr>
      <w:r>
        <w:rPr>
          <w:rStyle w:val="FootnoteReference"/>
        </w:rPr>
        <w:footnoteRef/>
      </w:r>
      <w:r>
        <w:t xml:space="preserve"> 47 C.F.R. § 54.308(a)(1)(i)(B).</w:t>
      </w:r>
    </w:p>
  </w:footnote>
  <w:footnote w:id="11">
    <w:p w14:paraId="7F5F08BF" w14:textId="77777777" w:rsidR="006D770E" w:rsidRDefault="006D770E" w:rsidP="00D1019F">
      <w:pPr>
        <w:pStyle w:val="FootnoteText"/>
        <w:spacing w:before="60" w:after="120"/>
      </w:pPr>
      <w:r>
        <w:rPr>
          <w:rStyle w:val="FootnoteReference"/>
        </w:rPr>
        <w:footnoteRef/>
      </w:r>
      <w:r>
        <w:t xml:space="preserve"> 47 C.F.R. § 54.308(a)(1)(i)(C).</w:t>
      </w:r>
    </w:p>
  </w:footnote>
  <w:footnote w:id="12">
    <w:p w14:paraId="324DDE12" w14:textId="62BBD06A" w:rsidR="00C345E2" w:rsidRDefault="00C345E2" w:rsidP="00D1019F">
      <w:pPr>
        <w:pStyle w:val="FootnoteText"/>
        <w:spacing w:after="120"/>
      </w:pPr>
      <w:r>
        <w:rPr>
          <w:rStyle w:val="FootnoteReference"/>
        </w:rPr>
        <w:footnoteRef/>
      </w:r>
      <w:r>
        <w:t xml:space="preserve"> 47 C.F.R. § 54.308(a)(1)(ii)(A-C).</w:t>
      </w:r>
    </w:p>
  </w:footnote>
  <w:footnote w:id="13">
    <w:p w14:paraId="7BDF730E" w14:textId="5A375D21" w:rsidR="006D770E" w:rsidRDefault="006D770E" w:rsidP="00D1019F">
      <w:pPr>
        <w:pStyle w:val="FootnoteText"/>
        <w:spacing w:before="60" w:after="120"/>
      </w:pPr>
      <w:r>
        <w:rPr>
          <w:rStyle w:val="FootnoteReference"/>
        </w:rPr>
        <w:footnoteRef/>
      </w:r>
      <w:r>
        <w:t xml:space="preserve"> 47 C.F.R § 54.308(a)</w:t>
      </w:r>
      <w:r w:rsidR="00C345E2">
        <w:t>(1)</w:t>
      </w:r>
      <w:r>
        <w:t>(ii).</w:t>
      </w:r>
    </w:p>
  </w:footnote>
  <w:footnote w:id="14">
    <w:p w14:paraId="2FA0DB43" w14:textId="31A6EF89" w:rsidR="00C345E2" w:rsidRDefault="00C345E2" w:rsidP="00D1019F">
      <w:pPr>
        <w:pStyle w:val="FootnoteText"/>
        <w:spacing w:after="120"/>
      </w:pPr>
      <w:r>
        <w:rPr>
          <w:rStyle w:val="FootnoteReference"/>
        </w:rPr>
        <w:footnoteRef/>
      </w:r>
      <w:r>
        <w:t xml:space="preserve"> 47 C.F.R. § 54.308(a)(1)(ii)(A-C).</w:t>
      </w:r>
    </w:p>
  </w:footnote>
  <w:footnote w:id="15">
    <w:p w14:paraId="464DE10A" w14:textId="6C40367B" w:rsidR="006D770E" w:rsidRDefault="006D770E" w:rsidP="00D1019F">
      <w:pPr>
        <w:pStyle w:val="FootnoteText"/>
        <w:spacing w:before="60" w:after="120"/>
      </w:pPr>
      <w:r>
        <w:rPr>
          <w:rStyle w:val="FootnoteReference"/>
        </w:rPr>
        <w:footnoteRef/>
      </w:r>
      <w:r>
        <w:t xml:space="preserve"> 47 C.F.R. § 54.308(a)</w:t>
      </w:r>
      <w:r w:rsidR="00C345E2">
        <w:t>(1)</w:t>
      </w:r>
      <w:r>
        <w:t>(ii)(A).</w:t>
      </w:r>
    </w:p>
  </w:footnote>
  <w:footnote w:id="16">
    <w:p w14:paraId="34BF0756" w14:textId="7676F31C" w:rsidR="006D770E" w:rsidRDefault="006D770E" w:rsidP="00D1019F">
      <w:pPr>
        <w:pStyle w:val="FootnoteText"/>
        <w:spacing w:before="60" w:after="120"/>
      </w:pPr>
      <w:r>
        <w:rPr>
          <w:rStyle w:val="FootnoteReference"/>
        </w:rPr>
        <w:footnoteRef/>
      </w:r>
      <w:r>
        <w:t xml:space="preserve"> 47 C.F.R. § 54.308(a)</w:t>
      </w:r>
      <w:r w:rsidR="00C345E2">
        <w:t>(1)</w:t>
      </w:r>
      <w:r>
        <w:t>(ii)(B).</w:t>
      </w:r>
    </w:p>
  </w:footnote>
  <w:footnote w:id="17">
    <w:p w14:paraId="1F894BC1" w14:textId="4C595EB3" w:rsidR="006D770E" w:rsidRDefault="006D770E" w:rsidP="00D1019F">
      <w:pPr>
        <w:pStyle w:val="FootnoteText"/>
        <w:spacing w:before="60" w:after="120"/>
      </w:pPr>
      <w:r>
        <w:rPr>
          <w:rStyle w:val="FootnoteReference"/>
        </w:rPr>
        <w:footnoteRef/>
      </w:r>
      <w:r>
        <w:t xml:space="preserve"> 47 C.F.R. § 54.308(a)</w:t>
      </w:r>
      <w:r w:rsidR="00C345E2">
        <w:t>(1)</w:t>
      </w:r>
      <w:r>
        <w:t>(ii)(C).</w:t>
      </w:r>
    </w:p>
  </w:footnote>
  <w:footnote w:id="18">
    <w:p w14:paraId="4255553E" w14:textId="1D54397E" w:rsidR="00CC305E" w:rsidRPr="00CC305E" w:rsidRDefault="00CC305E" w:rsidP="00D1019F">
      <w:pPr>
        <w:pStyle w:val="FootnoteText"/>
        <w:spacing w:after="120"/>
      </w:pPr>
      <w:r>
        <w:rPr>
          <w:rStyle w:val="FootnoteReference"/>
        </w:rPr>
        <w:footnoteRef/>
      </w:r>
      <w:r>
        <w:t xml:space="preserve"> For more detail on what constitutes a reasonable request, </w:t>
      </w:r>
      <w:r>
        <w:rPr>
          <w:i/>
        </w:rPr>
        <w:t>see Connect America Fund</w:t>
      </w:r>
      <w:r>
        <w:t xml:space="preserve">, Report and Order, Declaratory Ruling, Order, Memorandum Opinion and Order, Seventh Order on Reconsideration, and Further Notice of Proposed Rulemaking, 29 FCC Rcd 7051, 7071-75, paras. 62-72 (2014), </w:t>
      </w:r>
      <w:r>
        <w:rPr>
          <w:i/>
        </w:rPr>
        <w:t xml:space="preserve">available at </w:t>
      </w:r>
      <w:r w:rsidR="00FF6053" w:rsidRPr="00FF6053">
        <w:t>https://apps.fcc.gov/edocs_public/attachmatch/FCC-14-54A1_Rcd.pdf</w:t>
      </w:r>
      <w:r w:rsidR="00FF6053">
        <w:t xml:space="preserve">. </w:t>
      </w:r>
    </w:p>
  </w:footnote>
  <w:footnote w:id="19">
    <w:p w14:paraId="712BF8F6" w14:textId="77777777" w:rsidR="006D770E" w:rsidRDefault="006D770E" w:rsidP="00D1019F">
      <w:pPr>
        <w:pStyle w:val="FootnoteText"/>
        <w:spacing w:before="60" w:after="120"/>
      </w:pPr>
      <w:r>
        <w:rPr>
          <w:rStyle w:val="FootnoteReference"/>
        </w:rPr>
        <w:footnoteRef/>
      </w:r>
      <w:r>
        <w:t xml:space="preserve"> 47 C.F.R. § 54.311(d).  </w:t>
      </w:r>
    </w:p>
  </w:footnote>
  <w:footnote w:id="20">
    <w:p w14:paraId="41940E17" w14:textId="77777777" w:rsidR="00B66A19" w:rsidRPr="00AA3ADE" w:rsidRDefault="00B66A19" w:rsidP="00D1019F">
      <w:pPr>
        <w:pStyle w:val="FootnoteText"/>
        <w:spacing w:after="120"/>
        <w:rPr>
          <w:i/>
        </w:rPr>
      </w:pPr>
      <w:r>
        <w:rPr>
          <w:rStyle w:val="FootnoteReference"/>
        </w:rPr>
        <w:footnoteRef/>
      </w:r>
      <w:r>
        <w:t xml:space="preserve"> </w:t>
      </w:r>
      <w:r>
        <w:rPr>
          <w:i/>
        </w:rPr>
        <w:t>Id.</w:t>
      </w:r>
    </w:p>
  </w:footnote>
  <w:footnote w:id="21">
    <w:p w14:paraId="395724E3" w14:textId="77777777" w:rsidR="00B66A19" w:rsidRPr="006D770E" w:rsidRDefault="00B66A19" w:rsidP="00D1019F">
      <w:pPr>
        <w:pStyle w:val="FootnoteText"/>
        <w:spacing w:before="60" w:after="120"/>
        <w:rPr>
          <w:i/>
        </w:rPr>
      </w:pPr>
      <w:r>
        <w:rPr>
          <w:rStyle w:val="FootnoteReference"/>
        </w:rPr>
        <w:footnoteRef/>
      </w:r>
      <w:r>
        <w:t xml:space="preserve"> </w:t>
      </w:r>
      <w:r>
        <w:rPr>
          <w:i/>
        </w:rPr>
        <w:t>Id.</w:t>
      </w:r>
    </w:p>
  </w:footnote>
  <w:footnote w:id="22">
    <w:p w14:paraId="3B166619" w14:textId="77777777" w:rsidR="006D770E" w:rsidRPr="006D770E" w:rsidRDefault="006D770E" w:rsidP="00D1019F">
      <w:pPr>
        <w:pStyle w:val="FootnoteText"/>
        <w:spacing w:before="60" w:after="120"/>
        <w:rPr>
          <w:i/>
        </w:rPr>
      </w:pPr>
      <w:r>
        <w:rPr>
          <w:rStyle w:val="FootnoteReference"/>
        </w:rPr>
        <w:footnoteRef/>
      </w:r>
      <w:r>
        <w:t xml:space="preserve"> </w:t>
      </w:r>
      <w:r>
        <w:rPr>
          <w:i/>
        </w:rPr>
        <w:t>Id.</w:t>
      </w:r>
    </w:p>
  </w:footnote>
  <w:footnote w:id="23">
    <w:p w14:paraId="66505A16" w14:textId="65503BD0" w:rsidR="00C345E2" w:rsidRDefault="00C345E2" w:rsidP="00D1019F">
      <w:pPr>
        <w:pStyle w:val="FootnoteText"/>
        <w:spacing w:after="120"/>
      </w:pPr>
      <w:r>
        <w:rPr>
          <w:rStyle w:val="FootnoteReference"/>
        </w:rPr>
        <w:footnoteRef/>
      </w:r>
      <w:r>
        <w:t xml:space="preserve"> 47 C.F.R. § 54.320.</w:t>
      </w:r>
    </w:p>
  </w:footnote>
  <w:footnote w:id="24">
    <w:p w14:paraId="655793AA" w14:textId="77777777" w:rsidR="00BA14E2" w:rsidRDefault="00BA14E2" w:rsidP="00D1019F">
      <w:pPr>
        <w:pStyle w:val="FootnoteText"/>
        <w:spacing w:before="60" w:after="120"/>
      </w:pPr>
      <w:r>
        <w:rPr>
          <w:rStyle w:val="FootnoteReference"/>
        </w:rPr>
        <w:footnoteRef/>
      </w:r>
      <w:r>
        <w:t xml:space="preserve"> </w:t>
      </w:r>
      <w:r w:rsidR="00C37C0F">
        <w:t>47 C.F.R. § 54.320(d).</w:t>
      </w:r>
      <w:r>
        <w:t xml:space="preserve"> </w:t>
      </w:r>
    </w:p>
  </w:footnote>
  <w:footnote w:id="25">
    <w:p w14:paraId="09292C32" w14:textId="3A6EE5F1" w:rsidR="00117CCE" w:rsidRDefault="00117CCE" w:rsidP="00D1019F">
      <w:pPr>
        <w:pStyle w:val="FootnoteText"/>
        <w:spacing w:after="120"/>
      </w:pPr>
      <w:r>
        <w:rPr>
          <w:rStyle w:val="FootnoteReference"/>
        </w:rPr>
        <w:footnoteRef/>
      </w:r>
      <w:r>
        <w:t xml:space="preserve"> 47 C.F.R. § 54.308(a)(2)(i).</w:t>
      </w:r>
    </w:p>
  </w:footnote>
  <w:footnote w:id="26">
    <w:p w14:paraId="6BC8BEA4" w14:textId="77777777" w:rsidR="00D76C94" w:rsidRDefault="00D76C94" w:rsidP="00D1019F">
      <w:pPr>
        <w:pStyle w:val="FootnoteText"/>
        <w:spacing w:before="60" w:after="120"/>
      </w:pPr>
      <w:r>
        <w:rPr>
          <w:rStyle w:val="FootnoteReference"/>
        </w:rPr>
        <w:footnoteRef/>
      </w:r>
      <w:r>
        <w:t xml:space="preserve"> 47 C.F.R. § 54.308(a)(2)(i)(A).  </w:t>
      </w:r>
    </w:p>
  </w:footnote>
  <w:footnote w:id="27">
    <w:p w14:paraId="0F468A46" w14:textId="77777777" w:rsidR="00D76C94" w:rsidRDefault="00D76C94" w:rsidP="00D1019F">
      <w:pPr>
        <w:pStyle w:val="FootnoteText"/>
        <w:spacing w:before="60" w:after="120"/>
      </w:pPr>
      <w:r>
        <w:rPr>
          <w:rStyle w:val="FootnoteReference"/>
        </w:rPr>
        <w:footnoteRef/>
      </w:r>
      <w:r>
        <w:t xml:space="preserve"> 47 C.F.R. § 54.308(a)(2)(i)(B).  </w:t>
      </w:r>
    </w:p>
  </w:footnote>
  <w:footnote w:id="28">
    <w:p w14:paraId="20335A1A" w14:textId="77777777" w:rsidR="00D76C94" w:rsidRDefault="00D76C94" w:rsidP="00D1019F">
      <w:pPr>
        <w:pStyle w:val="FootnoteText"/>
        <w:spacing w:before="60" w:after="120"/>
      </w:pPr>
      <w:r>
        <w:rPr>
          <w:rStyle w:val="FootnoteReference"/>
        </w:rPr>
        <w:footnoteRef/>
      </w:r>
      <w:r>
        <w:t xml:space="preserve"> 47 C.F.R. § 54.308(a)(2)(i)(C).  </w:t>
      </w:r>
    </w:p>
  </w:footnote>
  <w:footnote w:id="29">
    <w:p w14:paraId="6D145389" w14:textId="77777777" w:rsidR="00D76C94" w:rsidRDefault="00D76C94" w:rsidP="00D1019F">
      <w:pPr>
        <w:pStyle w:val="FootnoteText"/>
        <w:spacing w:before="60" w:after="120"/>
      </w:pPr>
      <w:r>
        <w:rPr>
          <w:rStyle w:val="FootnoteReference"/>
        </w:rPr>
        <w:footnoteRef/>
      </w:r>
      <w:r>
        <w:t xml:space="preserve"> 47 C.F.R. § 54.308(a)(2)(ii).  </w:t>
      </w:r>
    </w:p>
  </w:footnote>
  <w:footnote w:id="30">
    <w:p w14:paraId="3FD5A289" w14:textId="77777777" w:rsidR="00BA14E2" w:rsidRDefault="00BA14E2" w:rsidP="00D1019F">
      <w:pPr>
        <w:pStyle w:val="FootnoteText"/>
        <w:spacing w:before="60" w:after="120"/>
      </w:pPr>
      <w:r>
        <w:rPr>
          <w:rStyle w:val="FootnoteReference"/>
        </w:rPr>
        <w:footnoteRef/>
      </w:r>
      <w:r>
        <w:t xml:space="preserve"> 47 C.F.R. § 54.320(d).</w:t>
      </w:r>
    </w:p>
  </w:footnote>
  <w:footnote w:id="31">
    <w:p w14:paraId="01C92DAD" w14:textId="77777777" w:rsidR="00BA14E2" w:rsidRDefault="00BA14E2" w:rsidP="00D1019F">
      <w:pPr>
        <w:pStyle w:val="FootnoteText"/>
        <w:spacing w:before="60" w:after="120"/>
      </w:pPr>
      <w:r>
        <w:rPr>
          <w:rStyle w:val="FootnoteReference"/>
        </w:rPr>
        <w:footnoteRef/>
      </w:r>
      <w:r>
        <w:t xml:space="preserve"> </w:t>
      </w:r>
      <w:r w:rsidRPr="00822DAF">
        <w:rPr>
          <w:i/>
        </w:rPr>
        <w:t>Id.</w:t>
      </w:r>
      <w:r>
        <w:t xml:space="preserve"> </w:t>
      </w:r>
    </w:p>
  </w:footnote>
  <w:footnote w:id="32">
    <w:p w14:paraId="1DE9F967" w14:textId="24233D01" w:rsidR="00946C4C" w:rsidRDefault="00946C4C" w:rsidP="00D1019F">
      <w:pPr>
        <w:pStyle w:val="FootnoteText"/>
        <w:spacing w:before="60" w:after="120"/>
      </w:pPr>
      <w:r>
        <w:rPr>
          <w:rStyle w:val="FootnoteReference"/>
        </w:rPr>
        <w:footnoteRef/>
      </w:r>
      <w:r>
        <w:t xml:space="preserve"> 47 C.F.R.</w:t>
      </w:r>
      <w:r w:rsidR="00A31A23">
        <w:t xml:space="preserve"> </w:t>
      </w:r>
      <w:r>
        <w:t xml:space="preserve">§ 54.308(a)(2)(iii)(A).  </w:t>
      </w:r>
    </w:p>
  </w:footnote>
  <w:footnote w:id="33">
    <w:p w14:paraId="341196B3" w14:textId="77777777" w:rsidR="00946C4C" w:rsidRDefault="00946C4C" w:rsidP="00D1019F">
      <w:pPr>
        <w:pStyle w:val="FootnoteText"/>
        <w:spacing w:before="60" w:after="120"/>
      </w:pPr>
      <w:r>
        <w:rPr>
          <w:rStyle w:val="FootnoteReference"/>
        </w:rPr>
        <w:footnoteRef/>
      </w:r>
      <w:r>
        <w:t xml:space="preserve"> 47 C.F.R.§ 54.308(a)(2)(iii)(B).  </w:t>
      </w:r>
    </w:p>
  </w:footnote>
  <w:footnote w:id="34">
    <w:p w14:paraId="21CF16F0" w14:textId="77777777" w:rsidR="000B7E86" w:rsidRDefault="000B7E86" w:rsidP="00D1019F">
      <w:pPr>
        <w:pStyle w:val="FootnoteText"/>
        <w:spacing w:before="60" w:after="120"/>
      </w:pPr>
      <w:r>
        <w:rPr>
          <w:rStyle w:val="FootnoteReference"/>
        </w:rPr>
        <w:footnoteRef/>
      </w:r>
      <w:r>
        <w:t xml:space="preserve"> 47 C.F.R. §§ 54.316(a)(1), 54.316(c).  </w:t>
      </w:r>
    </w:p>
  </w:footnote>
  <w:footnote w:id="35">
    <w:p w14:paraId="15588AF8" w14:textId="5E0ADA7F" w:rsidR="002747D8" w:rsidRDefault="002747D8" w:rsidP="00D1019F">
      <w:pPr>
        <w:pStyle w:val="FootnoteText"/>
        <w:spacing w:after="120"/>
      </w:pPr>
      <w:r>
        <w:rPr>
          <w:rStyle w:val="FootnoteReference"/>
        </w:rPr>
        <w:footnoteRef/>
      </w:r>
      <w:r>
        <w:t xml:space="preserve"> </w:t>
      </w:r>
      <w:r w:rsidR="00EE7946">
        <w:rPr>
          <w:i/>
        </w:rPr>
        <w:t>Connect America Fund et al.</w:t>
      </w:r>
      <w:r w:rsidR="00EE7946">
        <w:t>, WC Docket No</w:t>
      </w:r>
      <w:r w:rsidR="00144E8B" w:rsidRPr="00144E8B">
        <w:t xml:space="preserve"> </w:t>
      </w:r>
      <w:r w:rsidR="00144E8B">
        <w:t>s. 10-90, 14-58, CC Docket No. 01-92</w:t>
      </w:r>
      <w:r w:rsidR="00EE7946">
        <w:t>, Report and Order, Order and Order on Reconsideration, and Further Notice of Proposed Rulemaking, 31 FCC Rcd 3087, 3099</w:t>
      </w:r>
      <w:r w:rsidR="00144E8B">
        <w:t>,</w:t>
      </w:r>
      <w:r w:rsidR="00EE7946">
        <w:t xml:space="preserve"> para. 28 (2016).</w:t>
      </w:r>
    </w:p>
  </w:footnote>
  <w:footnote w:id="36">
    <w:p w14:paraId="20AFBAB9" w14:textId="77777777" w:rsidR="004E6CEF" w:rsidRDefault="004E6CEF" w:rsidP="00D1019F">
      <w:pPr>
        <w:pStyle w:val="FootnoteText"/>
        <w:spacing w:before="60" w:after="120"/>
      </w:pPr>
      <w:r>
        <w:rPr>
          <w:rStyle w:val="FootnoteReference"/>
        </w:rPr>
        <w:footnoteRef/>
      </w:r>
      <w:r>
        <w:t xml:space="preserve"> 47 C.F.R. §§ 54.316(a)(2), 54.316(c).  </w:t>
      </w:r>
    </w:p>
  </w:footnote>
  <w:footnote w:id="37">
    <w:p w14:paraId="109B1444" w14:textId="77777777" w:rsidR="00AE14A3" w:rsidRDefault="00AE14A3" w:rsidP="00D1019F">
      <w:pPr>
        <w:pStyle w:val="FootnoteText"/>
        <w:spacing w:before="60" w:after="120"/>
      </w:pPr>
      <w:r>
        <w:rPr>
          <w:rStyle w:val="FootnoteReference"/>
        </w:rPr>
        <w:footnoteRef/>
      </w:r>
      <w:r>
        <w:t xml:space="preserve"> 47 C.F.R. § 54.316(b)(2)(i). </w:t>
      </w:r>
    </w:p>
  </w:footnote>
  <w:footnote w:id="38">
    <w:p w14:paraId="28652C01" w14:textId="77777777" w:rsidR="000B7E86" w:rsidRDefault="000B7E86" w:rsidP="00D1019F">
      <w:pPr>
        <w:pStyle w:val="FootnoteText"/>
        <w:spacing w:before="60" w:after="120"/>
      </w:pPr>
      <w:r>
        <w:rPr>
          <w:rStyle w:val="FootnoteReference"/>
        </w:rPr>
        <w:footnoteRef/>
      </w:r>
      <w:r>
        <w:t xml:space="preserve"> 47 C.F.R. § 54.316(c).</w:t>
      </w:r>
    </w:p>
  </w:footnote>
  <w:footnote w:id="39">
    <w:p w14:paraId="4C55D7C9" w14:textId="77777777" w:rsidR="00AE14A3" w:rsidRDefault="00AE14A3" w:rsidP="00D1019F">
      <w:pPr>
        <w:pStyle w:val="FootnoteText"/>
        <w:spacing w:before="60" w:after="120"/>
      </w:pPr>
      <w:r>
        <w:rPr>
          <w:rStyle w:val="FootnoteReference"/>
        </w:rPr>
        <w:footnoteRef/>
      </w:r>
      <w:r>
        <w:t xml:space="preserve"> 47 C.F.R. § 54.316(b)(2)(ii).  </w:t>
      </w:r>
    </w:p>
  </w:footnote>
  <w:footnote w:id="40">
    <w:p w14:paraId="1444276B" w14:textId="77777777" w:rsidR="00297EB5" w:rsidRDefault="00297EB5" w:rsidP="00D1019F">
      <w:pPr>
        <w:pStyle w:val="FootnoteText"/>
        <w:spacing w:after="120"/>
      </w:pPr>
      <w:r>
        <w:rPr>
          <w:rStyle w:val="FootnoteReference"/>
        </w:rPr>
        <w:footnoteRef/>
      </w:r>
      <w:r>
        <w:t xml:space="preserve"> 47 C.F.R. § 54.316(a).  </w:t>
      </w:r>
    </w:p>
  </w:footnote>
  <w:footnote w:id="41">
    <w:p w14:paraId="15A8EED8" w14:textId="77777777" w:rsidR="00AE14A3" w:rsidRDefault="00AE14A3" w:rsidP="00D1019F">
      <w:pPr>
        <w:pStyle w:val="FootnoteText"/>
        <w:spacing w:before="60" w:after="120"/>
      </w:pPr>
      <w:r>
        <w:rPr>
          <w:rStyle w:val="FootnoteReference"/>
        </w:rPr>
        <w:footnoteRef/>
      </w:r>
      <w:r>
        <w:t xml:space="preserve"> 47 C.F.R. § 54.316(a)(2).  </w:t>
      </w:r>
    </w:p>
  </w:footnote>
  <w:footnote w:id="42">
    <w:p w14:paraId="0CDF8613" w14:textId="77777777" w:rsidR="00AE14A3" w:rsidRDefault="00AE14A3" w:rsidP="00D1019F">
      <w:pPr>
        <w:pStyle w:val="FootnoteText"/>
        <w:spacing w:before="60" w:after="120"/>
      </w:pPr>
      <w:r>
        <w:rPr>
          <w:rStyle w:val="FootnoteReference"/>
        </w:rPr>
        <w:footnoteRef/>
      </w:r>
      <w:r>
        <w:t xml:space="preserve"> 47 C.F.R. § 54.316(b)(3)(i).</w:t>
      </w:r>
    </w:p>
  </w:footnote>
  <w:footnote w:id="43">
    <w:p w14:paraId="762743D1" w14:textId="77777777" w:rsidR="00AE14A3" w:rsidRDefault="00AE14A3" w:rsidP="00D1019F">
      <w:pPr>
        <w:pStyle w:val="FootnoteText"/>
        <w:spacing w:before="60" w:after="120"/>
      </w:pPr>
      <w:r>
        <w:rPr>
          <w:rStyle w:val="FootnoteReference"/>
        </w:rPr>
        <w:footnoteRef/>
      </w:r>
      <w:r>
        <w:t xml:space="preserve"> 47 C.F.R. § 54.316(b)(3)(ii).</w:t>
      </w:r>
    </w:p>
  </w:footnote>
  <w:footnote w:id="44">
    <w:p w14:paraId="5B619C9D" w14:textId="77777777" w:rsidR="006D5E48" w:rsidRDefault="006D5E48" w:rsidP="00D1019F">
      <w:pPr>
        <w:pStyle w:val="FootnoteText"/>
        <w:spacing w:before="60" w:after="120"/>
      </w:pPr>
      <w:r>
        <w:rPr>
          <w:rStyle w:val="FootnoteReference"/>
        </w:rPr>
        <w:footnoteRef/>
      </w:r>
      <w:r>
        <w:t xml:space="preserve"> 47 C.F.R. § 54.316(c). </w:t>
      </w:r>
    </w:p>
  </w:footnote>
  <w:footnote w:id="45">
    <w:p w14:paraId="67D5EAAA" w14:textId="31EEC09F" w:rsidR="002747D8" w:rsidRDefault="002747D8" w:rsidP="00D1019F">
      <w:pPr>
        <w:pStyle w:val="FootnoteText"/>
        <w:spacing w:after="120"/>
      </w:pPr>
      <w:r>
        <w:rPr>
          <w:rStyle w:val="FootnoteReference"/>
        </w:rPr>
        <w:footnoteRef/>
      </w:r>
      <w:r>
        <w:t xml:space="preserve"> 47 C.F.R. § 54.903(a)(1)</w:t>
      </w:r>
      <w:r w:rsidR="004923D0">
        <w:t>-(2)</w:t>
      </w:r>
      <w:r w:rsidR="00417F40">
        <w:t>.</w:t>
      </w:r>
    </w:p>
  </w:footnote>
  <w:footnote w:id="46">
    <w:p w14:paraId="4AC21E42" w14:textId="19D52DB6" w:rsidR="007E78DC" w:rsidRDefault="007E78DC" w:rsidP="00D1019F">
      <w:pPr>
        <w:pStyle w:val="FootnoteText"/>
        <w:spacing w:before="60" w:after="120"/>
      </w:pPr>
      <w:r>
        <w:rPr>
          <w:rStyle w:val="FootnoteReference"/>
        </w:rPr>
        <w:footnoteRef/>
      </w:r>
      <w:r>
        <w:t xml:space="preserve"> </w:t>
      </w:r>
      <w:r w:rsidR="002747D8">
        <w:rPr>
          <w:i/>
        </w:rPr>
        <w:t>Id.</w:t>
      </w:r>
    </w:p>
  </w:footnote>
  <w:footnote w:id="47">
    <w:p w14:paraId="1CA64A52" w14:textId="38D0736A" w:rsidR="002747D8" w:rsidRDefault="002747D8" w:rsidP="00D1019F">
      <w:pPr>
        <w:pStyle w:val="FootnoteText"/>
        <w:spacing w:after="120"/>
      </w:pPr>
      <w:r>
        <w:rPr>
          <w:rStyle w:val="FootnoteReference"/>
        </w:rPr>
        <w:footnoteRef/>
      </w:r>
      <w:r>
        <w:t xml:space="preserve"> 47 C.F.R. § 54.903(a)(3).</w:t>
      </w:r>
    </w:p>
  </w:footnote>
  <w:footnote w:id="48">
    <w:p w14:paraId="36A1FF62" w14:textId="24E7E684" w:rsidR="007E78DC" w:rsidRDefault="007E78DC" w:rsidP="00D1019F">
      <w:pPr>
        <w:pStyle w:val="FootnoteText"/>
        <w:spacing w:before="60" w:after="120"/>
      </w:pPr>
      <w:r>
        <w:rPr>
          <w:rStyle w:val="FootnoteReference"/>
        </w:rPr>
        <w:footnoteRef/>
      </w:r>
      <w:r>
        <w:t xml:space="preserve"> </w:t>
      </w:r>
      <w:r w:rsidR="002747D8">
        <w:rPr>
          <w:i/>
        </w:rPr>
        <w:t>Id.</w:t>
      </w:r>
    </w:p>
  </w:footnote>
  <w:footnote w:id="49">
    <w:p w14:paraId="4F02B438" w14:textId="6CE49581" w:rsidR="002747D8" w:rsidRDefault="002747D8" w:rsidP="00D1019F">
      <w:pPr>
        <w:pStyle w:val="FootnoteText"/>
        <w:spacing w:after="120"/>
      </w:pPr>
      <w:r>
        <w:rPr>
          <w:rStyle w:val="FootnoteReference"/>
        </w:rPr>
        <w:footnoteRef/>
      </w:r>
      <w:r>
        <w:t xml:space="preserve"> 47 C.F.R. § 54.903(a)(4).</w:t>
      </w:r>
    </w:p>
  </w:footnote>
  <w:footnote w:id="50">
    <w:p w14:paraId="7FCF2B03" w14:textId="6F830947" w:rsidR="007E78DC" w:rsidRDefault="007E78DC" w:rsidP="00D1019F">
      <w:pPr>
        <w:pStyle w:val="FootnoteText"/>
        <w:spacing w:before="60" w:after="120"/>
      </w:pPr>
      <w:r>
        <w:rPr>
          <w:rStyle w:val="FootnoteReference"/>
        </w:rPr>
        <w:footnoteRef/>
      </w:r>
      <w:r>
        <w:t xml:space="preserve"> </w:t>
      </w:r>
      <w:r w:rsidR="002747D8">
        <w:rPr>
          <w:i/>
        </w:rPr>
        <w:t>Id.</w:t>
      </w:r>
    </w:p>
  </w:footnote>
  <w:footnote w:id="51">
    <w:p w14:paraId="49B21F2E" w14:textId="77777777" w:rsidR="00663FF8" w:rsidRDefault="00663FF8" w:rsidP="00D1019F">
      <w:pPr>
        <w:pStyle w:val="FootnoteText"/>
        <w:spacing w:before="60" w:after="120"/>
      </w:pPr>
      <w:r>
        <w:rPr>
          <w:rStyle w:val="FootnoteReference"/>
        </w:rPr>
        <w:footnoteRef/>
      </w:r>
      <w:r>
        <w:t xml:space="preserve"> 47 C.F.R. § 54.320(a).</w:t>
      </w:r>
    </w:p>
  </w:footnote>
  <w:footnote w:id="52">
    <w:p w14:paraId="516302C0" w14:textId="77777777" w:rsidR="002E0E17" w:rsidRDefault="002E0E17" w:rsidP="00D1019F">
      <w:pPr>
        <w:pStyle w:val="FootnoteText"/>
        <w:spacing w:after="120"/>
      </w:pPr>
      <w:r>
        <w:rPr>
          <w:rStyle w:val="FootnoteReference"/>
        </w:rPr>
        <w:footnoteRef/>
      </w:r>
      <w:r>
        <w:t xml:space="preserve"> 47 C.F.R. § 54.303.  </w:t>
      </w:r>
    </w:p>
  </w:footnote>
  <w:footnote w:id="53">
    <w:p w14:paraId="5E6D4DD3" w14:textId="77777777" w:rsidR="00663FF8" w:rsidRDefault="00663FF8" w:rsidP="00D1019F">
      <w:pPr>
        <w:pStyle w:val="FootnoteText"/>
        <w:spacing w:before="60" w:after="120"/>
      </w:pPr>
      <w:r>
        <w:rPr>
          <w:rStyle w:val="FootnoteReference"/>
        </w:rPr>
        <w:footnoteRef/>
      </w:r>
      <w:r>
        <w:t xml:space="preserve"> 47 C.F.R. § 54.320(b).</w:t>
      </w:r>
    </w:p>
  </w:footnote>
  <w:footnote w:id="54">
    <w:p w14:paraId="4C3B785A" w14:textId="25A4A308" w:rsidR="002747D8" w:rsidRDefault="002747D8" w:rsidP="00D1019F">
      <w:pPr>
        <w:pStyle w:val="FootnoteText"/>
        <w:spacing w:after="120"/>
      </w:pPr>
      <w:r>
        <w:rPr>
          <w:rStyle w:val="FootnoteReference"/>
        </w:rPr>
        <w:footnoteRef/>
      </w:r>
      <w:r>
        <w:t xml:space="preserve"> </w:t>
      </w:r>
      <w:r w:rsidR="00E5343A">
        <w:t>47 C.F.R. § 51.917(f)(4).</w:t>
      </w:r>
    </w:p>
  </w:footnote>
  <w:footnote w:id="55">
    <w:p w14:paraId="224F7BD5" w14:textId="77777777" w:rsidR="00DC62C0" w:rsidRDefault="00DC62C0" w:rsidP="00D1019F">
      <w:pPr>
        <w:pStyle w:val="FootnoteText"/>
        <w:spacing w:before="60" w:after="120"/>
      </w:pPr>
      <w:r>
        <w:rPr>
          <w:rStyle w:val="FootnoteReference"/>
        </w:rPr>
        <w:footnoteRef/>
      </w:r>
      <w:r>
        <w:t xml:space="preserve"> 47 C.F.R. § 51.917</w:t>
      </w:r>
      <w:r w:rsidR="00B15316">
        <w:t>.</w:t>
      </w:r>
    </w:p>
  </w:footnote>
  <w:footnote w:id="56">
    <w:p w14:paraId="5E4E6E99" w14:textId="32E96D80" w:rsidR="00B15316" w:rsidRDefault="00B15316" w:rsidP="00D1019F">
      <w:pPr>
        <w:pStyle w:val="FootnoteText"/>
        <w:spacing w:after="120"/>
      </w:pPr>
      <w:r>
        <w:rPr>
          <w:rStyle w:val="FootnoteReference"/>
        </w:rPr>
        <w:footnoteRef/>
      </w:r>
      <w:r>
        <w:t xml:space="preserve"> 47 C.F.R. §§ 69.104(s)(1)</w:t>
      </w:r>
      <w:r w:rsidR="003A3C5B">
        <w:t>-</w:t>
      </w:r>
      <w:r>
        <w:t>(2)</w:t>
      </w:r>
      <w:r w:rsidR="003A3C5B">
        <w:t>,</w:t>
      </w:r>
      <w:r>
        <w:t xml:space="preserve"> 69.115(f)</w:t>
      </w:r>
      <w:r w:rsidR="003A3C5B">
        <w:t>,</w:t>
      </w:r>
      <w:r>
        <w:t xml:space="preserve"> 69.130.  </w:t>
      </w:r>
    </w:p>
  </w:footnote>
  <w:footnote w:id="57">
    <w:p w14:paraId="39B5A9F1" w14:textId="3CDD32C2" w:rsidR="00E5343A" w:rsidRDefault="00E5343A" w:rsidP="00D1019F">
      <w:pPr>
        <w:pStyle w:val="FootnoteText"/>
        <w:spacing w:after="120"/>
      </w:pPr>
      <w:r>
        <w:rPr>
          <w:rStyle w:val="FootnoteReference"/>
        </w:rPr>
        <w:footnoteRef/>
      </w:r>
      <w:r>
        <w:t xml:space="preserve"> 47 C.F.R. </w:t>
      </w:r>
      <w:r w:rsidR="00117CCE">
        <w:t>§ 69.132(b).</w:t>
      </w:r>
    </w:p>
  </w:footnote>
  <w:footnote w:id="58">
    <w:p w14:paraId="18EEE7B8" w14:textId="030C264D" w:rsidR="00117CCE" w:rsidRPr="00AA3ADE" w:rsidRDefault="00117CCE" w:rsidP="00D1019F">
      <w:pPr>
        <w:pStyle w:val="FootnoteText"/>
        <w:spacing w:after="120"/>
        <w:rPr>
          <w:i/>
        </w:rPr>
      </w:pPr>
      <w:r>
        <w:rPr>
          <w:rStyle w:val="FootnoteReference"/>
        </w:rPr>
        <w:footnoteRef/>
      </w:r>
      <w:r>
        <w:t xml:space="preserve"> </w:t>
      </w:r>
      <w:r>
        <w:rPr>
          <w:i/>
        </w:rPr>
        <w:t>Id.</w:t>
      </w:r>
    </w:p>
  </w:footnote>
  <w:footnote w:id="59">
    <w:p w14:paraId="01F5C3B8" w14:textId="77777777" w:rsidR="00B15316" w:rsidRDefault="00B15316" w:rsidP="00D1019F">
      <w:pPr>
        <w:pStyle w:val="FootnoteText"/>
        <w:spacing w:after="120"/>
      </w:pPr>
      <w:r>
        <w:rPr>
          <w:rStyle w:val="FootnoteReference"/>
        </w:rPr>
        <w:footnoteRef/>
      </w:r>
      <w:r>
        <w:t xml:space="preserve"> 47 C.F.R. § 69.132(c).  </w:t>
      </w:r>
    </w:p>
  </w:footnote>
  <w:footnote w:id="60">
    <w:p w14:paraId="4C621F0B" w14:textId="77777777" w:rsidR="00B15316" w:rsidRDefault="00B15316" w:rsidP="00D1019F">
      <w:pPr>
        <w:pStyle w:val="FootnoteText"/>
        <w:spacing w:after="120"/>
      </w:pPr>
      <w:r>
        <w:rPr>
          <w:rStyle w:val="FootnoteReference"/>
        </w:rPr>
        <w:footnoteRef/>
      </w:r>
      <w:r>
        <w:t xml:space="preserve"> 47 C.F.R. § 69.132(d).  </w:t>
      </w:r>
    </w:p>
  </w:footnote>
  <w:footnote w:id="61">
    <w:p w14:paraId="6B4DC17D" w14:textId="401A84F1" w:rsidR="00B15316" w:rsidRDefault="00B15316" w:rsidP="00D1019F">
      <w:pPr>
        <w:pStyle w:val="FootnoteText"/>
        <w:spacing w:after="120"/>
      </w:pPr>
      <w:r>
        <w:rPr>
          <w:rStyle w:val="FootnoteReference"/>
        </w:rPr>
        <w:footnoteRef/>
      </w:r>
      <w:r>
        <w:t xml:space="preserve"> 47 C.F.R. </w:t>
      </w:r>
      <w:r w:rsidR="005761A5">
        <w:t>§</w:t>
      </w:r>
      <w:r w:rsidR="008F1C50">
        <w:t>§</w:t>
      </w:r>
      <w:r w:rsidR="005761A5">
        <w:t xml:space="preserve"> 69.311(a)</w:t>
      </w:r>
      <w:r w:rsidR="008F1C50">
        <w:t xml:space="preserve">, </w:t>
      </w:r>
      <w:r w:rsidR="005761A5">
        <w:t>69.416(a).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F253" w14:textId="77777777" w:rsidR="00A95F69" w:rsidRDefault="00A95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2E0C" w14:textId="77777777" w:rsidR="00A95F69" w:rsidRDefault="00A95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602B6" w14:textId="77777777" w:rsidR="00ED71E3" w:rsidRDefault="00ED71E3" w:rsidP="00ED71E3">
    <w:pPr>
      <w:pStyle w:val="Header"/>
      <w:spacing w:before="360" w:line="228" w:lineRule="auto"/>
      <w:jc w:val="center"/>
    </w:pPr>
    <w:r>
      <w:rPr>
        <w:noProof/>
      </w:rPr>
      <w:drawing>
        <wp:anchor distT="0" distB="0" distL="114300" distR="114300" simplePos="0" relativeHeight="251659264" behindDoc="0" locked="0" layoutInCell="0" allowOverlap="1" wp14:anchorId="2AF266CC" wp14:editId="305E68B7">
          <wp:simplePos x="0" y="0"/>
          <wp:positionH relativeFrom="column">
            <wp:posOffset>-403860</wp:posOffset>
          </wp:positionH>
          <wp:positionV relativeFrom="paragraph">
            <wp:posOffset>0</wp:posOffset>
          </wp:positionV>
          <wp:extent cx="865505" cy="8229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14:paraId="3992C3A1" w14:textId="77777777" w:rsidR="00ED71E3" w:rsidRDefault="00ED71E3" w:rsidP="00ED71E3">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14:paraId="4E67C437" w14:textId="77777777" w:rsidR="00ED71E3" w:rsidRDefault="00ED71E3" w:rsidP="00ED71E3">
    <w:pPr>
      <w:pStyle w:val="Header"/>
      <w:jc w:val="center"/>
      <w:rPr>
        <w:sz w:val="22"/>
      </w:rPr>
    </w:pPr>
  </w:p>
  <w:p w14:paraId="7DDF4BD1" w14:textId="18CEC7E7" w:rsidR="00ED71E3" w:rsidRDefault="000805CB" w:rsidP="00ED71E3">
    <w:pPr>
      <w:pStyle w:val="Header"/>
      <w:jc w:val="center"/>
    </w:pPr>
    <w:r>
      <w:t xml:space="preserve">September 27, </w:t>
    </w:r>
    <w:r w:rsidR="00D00DFD">
      <w:t>2016</w:t>
    </w:r>
  </w:p>
  <w:p w14:paraId="7A6C88F5" w14:textId="77777777" w:rsidR="00ED71E3" w:rsidRDefault="00ED7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5FA"/>
    <w:multiLevelType w:val="hybridMultilevel"/>
    <w:tmpl w:val="F8241378"/>
    <w:lvl w:ilvl="0" w:tplc="E6667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056D"/>
    <w:multiLevelType w:val="hybridMultilevel"/>
    <w:tmpl w:val="2D28A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57105"/>
    <w:multiLevelType w:val="hybridMultilevel"/>
    <w:tmpl w:val="35AC8C4A"/>
    <w:lvl w:ilvl="0" w:tplc="DA8231A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FB285C"/>
    <w:multiLevelType w:val="hybridMultilevel"/>
    <w:tmpl w:val="8354C3A6"/>
    <w:lvl w:ilvl="0" w:tplc="B518C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417D4"/>
    <w:multiLevelType w:val="hybridMultilevel"/>
    <w:tmpl w:val="270A2638"/>
    <w:lvl w:ilvl="0" w:tplc="819EF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EC3752"/>
    <w:multiLevelType w:val="hybridMultilevel"/>
    <w:tmpl w:val="F7C4E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60D31"/>
    <w:multiLevelType w:val="hybridMultilevel"/>
    <w:tmpl w:val="AC6E72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84690"/>
    <w:multiLevelType w:val="hybridMultilevel"/>
    <w:tmpl w:val="C020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264AA"/>
    <w:multiLevelType w:val="hybridMultilevel"/>
    <w:tmpl w:val="3F983E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D4598"/>
    <w:multiLevelType w:val="hybridMultilevel"/>
    <w:tmpl w:val="9938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214E4"/>
    <w:multiLevelType w:val="hybridMultilevel"/>
    <w:tmpl w:val="8354C3A6"/>
    <w:lvl w:ilvl="0" w:tplc="B518C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053B5E"/>
    <w:multiLevelType w:val="hybridMultilevel"/>
    <w:tmpl w:val="A4BC28FA"/>
    <w:lvl w:ilvl="0" w:tplc="D3A2A1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9549E"/>
    <w:multiLevelType w:val="hybridMultilevel"/>
    <w:tmpl w:val="CDE2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928AB"/>
    <w:multiLevelType w:val="hybridMultilevel"/>
    <w:tmpl w:val="2B0CE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B339D"/>
    <w:multiLevelType w:val="hybridMultilevel"/>
    <w:tmpl w:val="47C01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590C9C"/>
    <w:multiLevelType w:val="multilevel"/>
    <w:tmpl w:val="BF76B34A"/>
    <w:lvl w:ilvl="0">
      <w:start w:val="9"/>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BC4B1B"/>
    <w:multiLevelType w:val="hybridMultilevel"/>
    <w:tmpl w:val="BCDE2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2656C"/>
    <w:multiLevelType w:val="hybridMultilevel"/>
    <w:tmpl w:val="044C4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92570E3"/>
    <w:multiLevelType w:val="hybridMultilevel"/>
    <w:tmpl w:val="0E96D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D67BD0"/>
    <w:multiLevelType w:val="multilevel"/>
    <w:tmpl w:val="BF76B34A"/>
    <w:lvl w:ilvl="0">
      <w:start w:val="9"/>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73A2B81"/>
    <w:multiLevelType w:val="hybridMultilevel"/>
    <w:tmpl w:val="52C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34E65"/>
    <w:multiLevelType w:val="hybridMultilevel"/>
    <w:tmpl w:val="7D64FE7C"/>
    <w:lvl w:ilvl="0" w:tplc="C7406EF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F1926"/>
    <w:multiLevelType w:val="hybridMultilevel"/>
    <w:tmpl w:val="F6DA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1"/>
  </w:num>
  <w:num w:numId="4">
    <w:abstractNumId w:val="8"/>
  </w:num>
  <w:num w:numId="5">
    <w:abstractNumId w:val="0"/>
  </w:num>
  <w:num w:numId="6">
    <w:abstractNumId w:val="1"/>
  </w:num>
  <w:num w:numId="7">
    <w:abstractNumId w:val="18"/>
  </w:num>
  <w:num w:numId="8">
    <w:abstractNumId w:val="18"/>
    <w:lvlOverride w:ilvl="0">
      <w:startOverride w:val="1"/>
    </w:lvlOverride>
  </w:num>
  <w:num w:numId="9">
    <w:abstractNumId w:val="5"/>
  </w:num>
  <w:num w:numId="10">
    <w:abstractNumId w:val="23"/>
  </w:num>
  <w:num w:numId="11">
    <w:abstractNumId w:val="10"/>
  </w:num>
  <w:num w:numId="12">
    <w:abstractNumId w:val="3"/>
  </w:num>
  <w:num w:numId="13">
    <w:abstractNumId w:val="9"/>
  </w:num>
  <w:num w:numId="14">
    <w:abstractNumId w:val="7"/>
  </w:num>
  <w:num w:numId="15">
    <w:abstractNumId w:val="14"/>
  </w:num>
  <w:num w:numId="16">
    <w:abstractNumId w:val="15"/>
  </w:num>
  <w:num w:numId="17">
    <w:abstractNumId w:val="20"/>
  </w:num>
  <w:num w:numId="18">
    <w:abstractNumId w:val="12"/>
  </w:num>
  <w:num w:numId="19">
    <w:abstractNumId w:val="16"/>
  </w:num>
  <w:num w:numId="20">
    <w:abstractNumId w:val="4"/>
  </w:num>
  <w:num w:numId="21">
    <w:abstractNumId w:val="11"/>
  </w:num>
  <w:num w:numId="22">
    <w:abstractNumId w:val="17"/>
  </w:num>
  <w:num w:numId="23">
    <w:abstractNumId w:val="22"/>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3A"/>
    <w:rsid w:val="000052FB"/>
    <w:rsid w:val="00011BC0"/>
    <w:rsid w:val="00015E67"/>
    <w:rsid w:val="0002026F"/>
    <w:rsid w:val="00025531"/>
    <w:rsid w:val="0003295A"/>
    <w:rsid w:val="00032AF7"/>
    <w:rsid w:val="00051E99"/>
    <w:rsid w:val="000652E6"/>
    <w:rsid w:val="00065CE5"/>
    <w:rsid w:val="0006615B"/>
    <w:rsid w:val="000661CD"/>
    <w:rsid w:val="000713E8"/>
    <w:rsid w:val="00072371"/>
    <w:rsid w:val="0007667F"/>
    <w:rsid w:val="00076B13"/>
    <w:rsid w:val="000805CB"/>
    <w:rsid w:val="00090312"/>
    <w:rsid w:val="0009623F"/>
    <w:rsid w:val="000A06EA"/>
    <w:rsid w:val="000A29CF"/>
    <w:rsid w:val="000A326A"/>
    <w:rsid w:val="000A7EBC"/>
    <w:rsid w:val="000B1CAA"/>
    <w:rsid w:val="000B361C"/>
    <w:rsid w:val="000B3B48"/>
    <w:rsid w:val="000B3D23"/>
    <w:rsid w:val="000B47B3"/>
    <w:rsid w:val="000B7E86"/>
    <w:rsid w:val="000C2242"/>
    <w:rsid w:val="000C5668"/>
    <w:rsid w:val="000D2DCC"/>
    <w:rsid w:val="000E65AA"/>
    <w:rsid w:val="000E667D"/>
    <w:rsid w:val="000F4CE5"/>
    <w:rsid w:val="000F4F0E"/>
    <w:rsid w:val="00101A74"/>
    <w:rsid w:val="0010756B"/>
    <w:rsid w:val="001104E0"/>
    <w:rsid w:val="00111A40"/>
    <w:rsid w:val="001154BC"/>
    <w:rsid w:val="001158E3"/>
    <w:rsid w:val="00117CCE"/>
    <w:rsid w:val="00121BB0"/>
    <w:rsid w:val="00126A40"/>
    <w:rsid w:val="00134D56"/>
    <w:rsid w:val="00136256"/>
    <w:rsid w:val="0014452C"/>
    <w:rsid w:val="00144E8B"/>
    <w:rsid w:val="00144F5F"/>
    <w:rsid w:val="00162D02"/>
    <w:rsid w:val="001674C1"/>
    <w:rsid w:val="00173886"/>
    <w:rsid w:val="001757CC"/>
    <w:rsid w:val="00191BA4"/>
    <w:rsid w:val="00192FAE"/>
    <w:rsid w:val="00195F6D"/>
    <w:rsid w:val="0019793C"/>
    <w:rsid w:val="001A1AA0"/>
    <w:rsid w:val="001A386A"/>
    <w:rsid w:val="001A72C8"/>
    <w:rsid w:val="001A7743"/>
    <w:rsid w:val="001C1DA3"/>
    <w:rsid w:val="001D09C4"/>
    <w:rsid w:val="001D542D"/>
    <w:rsid w:val="001D60C2"/>
    <w:rsid w:val="001D7C26"/>
    <w:rsid w:val="001E0496"/>
    <w:rsid w:val="001E2970"/>
    <w:rsid w:val="001E4396"/>
    <w:rsid w:val="001E51E1"/>
    <w:rsid w:val="001F02FC"/>
    <w:rsid w:val="001F5B32"/>
    <w:rsid w:val="0020108D"/>
    <w:rsid w:val="0020772F"/>
    <w:rsid w:val="002144F0"/>
    <w:rsid w:val="00217214"/>
    <w:rsid w:val="00222815"/>
    <w:rsid w:val="0022424B"/>
    <w:rsid w:val="00226DAD"/>
    <w:rsid w:val="00227B32"/>
    <w:rsid w:val="002307D8"/>
    <w:rsid w:val="002310A2"/>
    <w:rsid w:val="002435C1"/>
    <w:rsid w:val="002457CA"/>
    <w:rsid w:val="002517BD"/>
    <w:rsid w:val="002522CB"/>
    <w:rsid w:val="002531BD"/>
    <w:rsid w:val="00253803"/>
    <w:rsid w:val="00262DD6"/>
    <w:rsid w:val="002713F5"/>
    <w:rsid w:val="002721BE"/>
    <w:rsid w:val="002747D8"/>
    <w:rsid w:val="00282A2D"/>
    <w:rsid w:val="00293265"/>
    <w:rsid w:val="0029580F"/>
    <w:rsid w:val="00295DE4"/>
    <w:rsid w:val="00297EB5"/>
    <w:rsid w:val="002A637E"/>
    <w:rsid w:val="002B76E6"/>
    <w:rsid w:val="002B7FAC"/>
    <w:rsid w:val="002C346C"/>
    <w:rsid w:val="002C4FED"/>
    <w:rsid w:val="002C7F24"/>
    <w:rsid w:val="002D34D9"/>
    <w:rsid w:val="002D6913"/>
    <w:rsid w:val="002E0E17"/>
    <w:rsid w:val="002E1230"/>
    <w:rsid w:val="002F1BE5"/>
    <w:rsid w:val="002F5C83"/>
    <w:rsid w:val="002F66C4"/>
    <w:rsid w:val="00303F23"/>
    <w:rsid w:val="00304383"/>
    <w:rsid w:val="0031055E"/>
    <w:rsid w:val="0031647A"/>
    <w:rsid w:val="003178FA"/>
    <w:rsid w:val="00321CF7"/>
    <w:rsid w:val="00331F3A"/>
    <w:rsid w:val="0034098C"/>
    <w:rsid w:val="00342953"/>
    <w:rsid w:val="003436CB"/>
    <w:rsid w:val="003516AB"/>
    <w:rsid w:val="00354973"/>
    <w:rsid w:val="00360DA0"/>
    <w:rsid w:val="00362C59"/>
    <w:rsid w:val="003722BE"/>
    <w:rsid w:val="00377019"/>
    <w:rsid w:val="0038095B"/>
    <w:rsid w:val="00381B33"/>
    <w:rsid w:val="00383407"/>
    <w:rsid w:val="00384D2F"/>
    <w:rsid w:val="003943C0"/>
    <w:rsid w:val="003944B7"/>
    <w:rsid w:val="003974B3"/>
    <w:rsid w:val="003A1B9D"/>
    <w:rsid w:val="003A1C88"/>
    <w:rsid w:val="003A3C5B"/>
    <w:rsid w:val="003A59F6"/>
    <w:rsid w:val="003A755E"/>
    <w:rsid w:val="003A7674"/>
    <w:rsid w:val="003B177E"/>
    <w:rsid w:val="003B1B55"/>
    <w:rsid w:val="003B1B8F"/>
    <w:rsid w:val="003C30F2"/>
    <w:rsid w:val="003C4FB7"/>
    <w:rsid w:val="003C6044"/>
    <w:rsid w:val="003D052D"/>
    <w:rsid w:val="003D38DB"/>
    <w:rsid w:val="003E3D0B"/>
    <w:rsid w:val="003F1EF5"/>
    <w:rsid w:val="003F3E8A"/>
    <w:rsid w:val="003F41B7"/>
    <w:rsid w:val="0040091B"/>
    <w:rsid w:val="0040120D"/>
    <w:rsid w:val="00407CFB"/>
    <w:rsid w:val="00411683"/>
    <w:rsid w:val="00416FE7"/>
    <w:rsid w:val="00417F40"/>
    <w:rsid w:val="00420A93"/>
    <w:rsid w:val="00425897"/>
    <w:rsid w:val="00430102"/>
    <w:rsid w:val="00430522"/>
    <w:rsid w:val="004452F4"/>
    <w:rsid w:val="0044543D"/>
    <w:rsid w:val="00451BE2"/>
    <w:rsid w:val="004542AA"/>
    <w:rsid w:val="004546E5"/>
    <w:rsid w:val="0046257B"/>
    <w:rsid w:val="00465871"/>
    <w:rsid w:val="00486901"/>
    <w:rsid w:val="004923D0"/>
    <w:rsid w:val="004926FD"/>
    <w:rsid w:val="004956FD"/>
    <w:rsid w:val="004A32FA"/>
    <w:rsid w:val="004B3FCA"/>
    <w:rsid w:val="004B7D54"/>
    <w:rsid w:val="004C02BA"/>
    <w:rsid w:val="004C1455"/>
    <w:rsid w:val="004D5543"/>
    <w:rsid w:val="004D6DFA"/>
    <w:rsid w:val="004E0E6A"/>
    <w:rsid w:val="004E27C2"/>
    <w:rsid w:val="004E51BB"/>
    <w:rsid w:val="004E6CEF"/>
    <w:rsid w:val="004F6A94"/>
    <w:rsid w:val="00500256"/>
    <w:rsid w:val="0050058D"/>
    <w:rsid w:val="00500809"/>
    <w:rsid w:val="00510303"/>
    <w:rsid w:val="00510BEE"/>
    <w:rsid w:val="0051551B"/>
    <w:rsid w:val="00516BD8"/>
    <w:rsid w:val="00520FA7"/>
    <w:rsid w:val="0052250A"/>
    <w:rsid w:val="005241D5"/>
    <w:rsid w:val="005307CD"/>
    <w:rsid w:val="0053593C"/>
    <w:rsid w:val="005369B0"/>
    <w:rsid w:val="00555CB2"/>
    <w:rsid w:val="00556178"/>
    <w:rsid w:val="00560DA4"/>
    <w:rsid w:val="005618CA"/>
    <w:rsid w:val="00570824"/>
    <w:rsid w:val="00574079"/>
    <w:rsid w:val="00574A89"/>
    <w:rsid w:val="005757BC"/>
    <w:rsid w:val="0057595E"/>
    <w:rsid w:val="005761A5"/>
    <w:rsid w:val="00584A77"/>
    <w:rsid w:val="00585264"/>
    <w:rsid w:val="005A27C4"/>
    <w:rsid w:val="005B0E2E"/>
    <w:rsid w:val="005B3BAB"/>
    <w:rsid w:val="005B3D85"/>
    <w:rsid w:val="005B6055"/>
    <w:rsid w:val="005B73D0"/>
    <w:rsid w:val="005C5C97"/>
    <w:rsid w:val="005C5EEB"/>
    <w:rsid w:val="005C77C8"/>
    <w:rsid w:val="005D0E24"/>
    <w:rsid w:val="005D5568"/>
    <w:rsid w:val="005D6C3F"/>
    <w:rsid w:val="005E6D6E"/>
    <w:rsid w:val="005F40FC"/>
    <w:rsid w:val="005F585C"/>
    <w:rsid w:val="00600643"/>
    <w:rsid w:val="00606DDE"/>
    <w:rsid w:val="00607908"/>
    <w:rsid w:val="00615FBE"/>
    <w:rsid w:val="00621DDA"/>
    <w:rsid w:val="0063281A"/>
    <w:rsid w:val="00632CB5"/>
    <w:rsid w:val="00634E54"/>
    <w:rsid w:val="0064155B"/>
    <w:rsid w:val="00642BD1"/>
    <w:rsid w:val="006514B1"/>
    <w:rsid w:val="006519F9"/>
    <w:rsid w:val="0065555A"/>
    <w:rsid w:val="0066309C"/>
    <w:rsid w:val="00663CEB"/>
    <w:rsid w:val="00663FF8"/>
    <w:rsid w:val="00665F42"/>
    <w:rsid w:val="006752DD"/>
    <w:rsid w:val="00685BA9"/>
    <w:rsid w:val="00691DB4"/>
    <w:rsid w:val="00696843"/>
    <w:rsid w:val="006A0882"/>
    <w:rsid w:val="006A261E"/>
    <w:rsid w:val="006A35EE"/>
    <w:rsid w:val="006A3614"/>
    <w:rsid w:val="006A3DCB"/>
    <w:rsid w:val="006A4E39"/>
    <w:rsid w:val="006B6925"/>
    <w:rsid w:val="006C17A4"/>
    <w:rsid w:val="006C2892"/>
    <w:rsid w:val="006C345E"/>
    <w:rsid w:val="006C7CE0"/>
    <w:rsid w:val="006D41D3"/>
    <w:rsid w:val="006D5E48"/>
    <w:rsid w:val="006D770E"/>
    <w:rsid w:val="006D7E36"/>
    <w:rsid w:val="006E0D50"/>
    <w:rsid w:val="006E153A"/>
    <w:rsid w:val="006E655A"/>
    <w:rsid w:val="006F737C"/>
    <w:rsid w:val="00701168"/>
    <w:rsid w:val="007034C7"/>
    <w:rsid w:val="00706F4B"/>
    <w:rsid w:val="00710ACB"/>
    <w:rsid w:val="00711651"/>
    <w:rsid w:val="0071371B"/>
    <w:rsid w:val="00714818"/>
    <w:rsid w:val="00715907"/>
    <w:rsid w:val="007173B2"/>
    <w:rsid w:val="00722D28"/>
    <w:rsid w:val="00723F09"/>
    <w:rsid w:val="00727978"/>
    <w:rsid w:val="00732656"/>
    <w:rsid w:val="00740113"/>
    <w:rsid w:val="00740E65"/>
    <w:rsid w:val="00741D5C"/>
    <w:rsid w:val="00743EC9"/>
    <w:rsid w:val="0074409F"/>
    <w:rsid w:val="00744231"/>
    <w:rsid w:val="00755325"/>
    <w:rsid w:val="0075745C"/>
    <w:rsid w:val="00757A1C"/>
    <w:rsid w:val="0076067D"/>
    <w:rsid w:val="00764445"/>
    <w:rsid w:val="007650AF"/>
    <w:rsid w:val="007716D0"/>
    <w:rsid w:val="00783DD7"/>
    <w:rsid w:val="00793281"/>
    <w:rsid w:val="00795C60"/>
    <w:rsid w:val="007B044B"/>
    <w:rsid w:val="007B1790"/>
    <w:rsid w:val="007D4583"/>
    <w:rsid w:val="007D4CF4"/>
    <w:rsid w:val="007D59D2"/>
    <w:rsid w:val="007D773B"/>
    <w:rsid w:val="007E0986"/>
    <w:rsid w:val="007E1077"/>
    <w:rsid w:val="007E3BED"/>
    <w:rsid w:val="007E4436"/>
    <w:rsid w:val="007E5235"/>
    <w:rsid w:val="007E78DC"/>
    <w:rsid w:val="007F4FA4"/>
    <w:rsid w:val="007F7B49"/>
    <w:rsid w:val="008114D4"/>
    <w:rsid w:val="0081344C"/>
    <w:rsid w:val="00822DAF"/>
    <w:rsid w:val="00825219"/>
    <w:rsid w:val="00826181"/>
    <w:rsid w:val="00833296"/>
    <w:rsid w:val="00852425"/>
    <w:rsid w:val="0085457E"/>
    <w:rsid w:val="00876F9F"/>
    <w:rsid w:val="00885A4B"/>
    <w:rsid w:val="008867A0"/>
    <w:rsid w:val="00893073"/>
    <w:rsid w:val="00897E1B"/>
    <w:rsid w:val="008A2E0C"/>
    <w:rsid w:val="008A4A77"/>
    <w:rsid w:val="008B0C72"/>
    <w:rsid w:val="008C2F8B"/>
    <w:rsid w:val="008C5D15"/>
    <w:rsid w:val="008D3F9F"/>
    <w:rsid w:val="008E072F"/>
    <w:rsid w:val="008E0E42"/>
    <w:rsid w:val="008E786F"/>
    <w:rsid w:val="008F1C50"/>
    <w:rsid w:val="008F33E5"/>
    <w:rsid w:val="008F3787"/>
    <w:rsid w:val="008F4353"/>
    <w:rsid w:val="008F54B7"/>
    <w:rsid w:val="008F5E46"/>
    <w:rsid w:val="009073F1"/>
    <w:rsid w:val="009127B3"/>
    <w:rsid w:val="00920AE2"/>
    <w:rsid w:val="009239D1"/>
    <w:rsid w:val="00946C4C"/>
    <w:rsid w:val="0095125C"/>
    <w:rsid w:val="00955AD4"/>
    <w:rsid w:val="00955F03"/>
    <w:rsid w:val="009621E9"/>
    <w:rsid w:val="00973800"/>
    <w:rsid w:val="0097592C"/>
    <w:rsid w:val="00980609"/>
    <w:rsid w:val="00980FB4"/>
    <w:rsid w:val="00981A38"/>
    <w:rsid w:val="00990CF9"/>
    <w:rsid w:val="009916C8"/>
    <w:rsid w:val="0099179A"/>
    <w:rsid w:val="00992E7C"/>
    <w:rsid w:val="009B6F18"/>
    <w:rsid w:val="009C3D9E"/>
    <w:rsid w:val="009C3E07"/>
    <w:rsid w:val="009C4C9D"/>
    <w:rsid w:val="009C52CC"/>
    <w:rsid w:val="009D45E2"/>
    <w:rsid w:val="009D64AA"/>
    <w:rsid w:val="009E06C8"/>
    <w:rsid w:val="009E0D82"/>
    <w:rsid w:val="009E26FE"/>
    <w:rsid w:val="009F4855"/>
    <w:rsid w:val="009F711D"/>
    <w:rsid w:val="00A00B98"/>
    <w:rsid w:val="00A06030"/>
    <w:rsid w:val="00A06910"/>
    <w:rsid w:val="00A20E5A"/>
    <w:rsid w:val="00A247D6"/>
    <w:rsid w:val="00A26754"/>
    <w:rsid w:val="00A30885"/>
    <w:rsid w:val="00A31A23"/>
    <w:rsid w:val="00A33810"/>
    <w:rsid w:val="00A37348"/>
    <w:rsid w:val="00A37D8D"/>
    <w:rsid w:val="00A41870"/>
    <w:rsid w:val="00A70684"/>
    <w:rsid w:val="00A81E4E"/>
    <w:rsid w:val="00A95362"/>
    <w:rsid w:val="00A95C66"/>
    <w:rsid w:val="00A95F69"/>
    <w:rsid w:val="00AA3ADE"/>
    <w:rsid w:val="00AD1318"/>
    <w:rsid w:val="00AD18CF"/>
    <w:rsid w:val="00AE14A3"/>
    <w:rsid w:val="00AE18C7"/>
    <w:rsid w:val="00AE3FB2"/>
    <w:rsid w:val="00AE5E27"/>
    <w:rsid w:val="00B00ED5"/>
    <w:rsid w:val="00B05809"/>
    <w:rsid w:val="00B072E9"/>
    <w:rsid w:val="00B12C92"/>
    <w:rsid w:val="00B15316"/>
    <w:rsid w:val="00B16A2D"/>
    <w:rsid w:val="00B236A6"/>
    <w:rsid w:val="00B254F2"/>
    <w:rsid w:val="00B32809"/>
    <w:rsid w:val="00B3547D"/>
    <w:rsid w:val="00B41D77"/>
    <w:rsid w:val="00B43219"/>
    <w:rsid w:val="00B476E4"/>
    <w:rsid w:val="00B54A37"/>
    <w:rsid w:val="00B56747"/>
    <w:rsid w:val="00B61797"/>
    <w:rsid w:val="00B62468"/>
    <w:rsid w:val="00B648FB"/>
    <w:rsid w:val="00B6607D"/>
    <w:rsid w:val="00B66A19"/>
    <w:rsid w:val="00B71743"/>
    <w:rsid w:val="00B72310"/>
    <w:rsid w:val="00B85DC1"/>
    <w:rsid w:val="00BA14E2"/>
    <w:rsid w:val="00BA329B"/>
    <w:rsid w:val="00BA32B3"/>
    <w:rsid w:val="00BA53D8"/>
    <w:rsid w:val="00BA6013"/>
    <w:rsid w:val="00BC0C08"/>
    <w:rsid w:val="00BC144F"/>
    <w:rsid w:val="00BD51C5"/>
    <w:rsid w:val="00BE07AC"/>
    <w:rsid w:val="00BE279E"/>
    <w:rsid w:val="00BE45ED"/>
    <w:rsid w:val="00BF0B5F"/>
    <w:rsid w:val="00BF3189"/>
    <w:rsid w:val="00BF6D44"/>
    <w:rsid w:val="00C03F18"/>
    <w:rsid w:val="00C04586"/>
    <w:rsid w:val="00C04747"/>
    <w:rsid w:val="00C04A3B"/>
    <w:rsid w:val="00C077DB"/>
    <w:rsid w:val="00C107BD"/>
    <w:rsid w:val="00C142EC"/>
    <w:rsid w:val="00C22F1E"/>
    <w:rsid w:val="00C24F67"/>
    <w:rsid w:val="00C345E2"/>
    <w:rsid w:val="00C368FF"/>
    <w:rsid w:val="00C37C0F"/>
    <w:rsid w:val="00C5206D"/>
    <w:rsid w:val="00C677A7"/>
    <w:rsid w:val="00C7278D"/>
    <w:rsid w:val="00C74078"/>
    <w:rsid w:val="00C74F4D"/>
    <w:rsid w:val="00C803F9"/>
    <w:rsid w:val="00C82805"/>
    <w:rsid w:val="00C874DA"/>
    <w:rsid w:val="00CA0A77"/>
    <w:rsid w:val="00CA4340"/>
    <w:rsid w:val="00CA5AE5"/>
    <w:rsid w:val="00CB0764"/>
    <w:rsid w:val="00CB24A2"/>
    <w:rsid w:val="00CC2449"/>
    <w:rsid w:val="00CC305E"/>
    <w:rsid w:val="00CC4D44"/>
    <w:rsid w:val="00CC65F1"/>
    <w:rsid w:val="00CC6DD6"/>
    <w:rsid w:val="00CD4010"/>
    <w:rsid w:val="00CD6B87"/>
    <w:rsid w:val="00CE2218"/>
    <w:rsid w:val="00CF0548"/>
    <w:rsid w:val="00CF3F52"/>
    <w:rsid w:val="00D00DFD"/>
    <w:rsid w:val="00D01E7B"/>
    <w:rsid w:val="00D0454E"/>
    <w:rsid w:val="00D0586A"/>
    <w:rsid w:val="00D1019F"/>
    <w:rsid w:val="00D1140B"/>
    <w:rsid w:val="00D24543"/>
    <w:rsid w:val="00D3553A"/>
    <w:rsid w:val="00D45FFE"/>
    <w:rsid w:val="00D51AD4"/>
    <w:rsid w:val="00D57479"/>
    <w:rsid w:val="00D57DAE"/>
    <w:rsid w:val="00D62803"/>
    <w:rsid w:val="00D66094"/>
    <w:rsid w:val="00D76C94"/>
    <w:rsid w:val="00D84366"/>
    <w:rsid w:val="00D86FAC"/>
    <w:rsid w:val="00D87145"/>
    <w:rsid w:val="00D913B0"/>
    <w:rsid w:val="00D922D6"/>
    <w:rsid w:val="00D93BB5"/>
    <w:rsid w:val="00D944D9"/>
    <w:rsid w:val="00D958BA"/>
    <w:rsid w:val="00D96FC4"/>
    <w:rsid w:val="00DA08D1"/>
    <w:rsid w:val="00DA382E"/>
    <w:rsid w:val="00DB2B1F"/>
    <w:rsid w:val="00DB52F3"/>
    <w:rsid w:val="00DB738C"/>
    <w:rsid w:val="00DC1784"/>
    <w:rsid w:val="00DC1901"/>
    <w:rsid w:val="00DC62C0"/>
    <w:rsid w:val="00DC77E7"/>
    <w:rsid w:val="00DD14D1"/>
    <w:rsid w:val="00DD62C8"/>
    <w:rsid w:val="00DE13E2"/>
    <w:rsid w:val="00DE39C7"/>
    <w:rsid w:val="00DE5EB5"/>
    <w:rsid w:val="00DE64B8"/>
    <w:rsid w:val="00DF5328"/>
    <w:rsid w:val="00E04819"/>
    <w:rsid w:val="00E115CC"/>
    <w:rsid w:val="00E149BB"/>
    <w:rsid w:val="00E179B3"/>
    <w:rsid w:val="00E30BFA"/>
    <w:rsid w:val="00E4565C"/>
    <w:rsid w:val="00E5343A"/>
    <w:rsid w:val="00E56B0B"/>
    <w:rsid w:val="00E56DFF"/>
    <w:rsid w:val="00E56F55"/>
    <w:rsid w:val="00E5746D"/>
    <w:rsid w:val="00E6590D"/>
    <w:rsid w:val="00E703A8"/>
    <w:rsid w:val="00E73150"/>
    <w:rsid w:val="00E73CD0"/>
    <w:rsid w:val="00E809A1"/>
    <w:rsid w:val="00E81194"/>
    <w:rsid w:val="00E86F94"/>
    <w:rsid w:val="00E90C87"/>
    <w:rsid w:val="00E924FE"/>
    <w:rsid w:val="00E92FA3"/>
    <w:rsid w:val="00E9333D"/>
    <w:rsid w:val="00E93416"/>
    <w:rsid w:val="00EB441D"/>
    <w:rsid w:val="00EB4CB1"/>
    <w:rsid w:val="00EB6C3A"/>
    <w:rsid w:val="00EC0991"/>
    <w:rsid w:val="00EC1445"/>
    <w:rsid w:val="00ED19A9"/>
    <w:rsid w:val="00ED447C"/>
    <w:rsid w:val="00ED5402"/>
    <w:rsid w:val="00ED71E3"/>
    <w:rsid w:val="00EE23CD"/>
    <w:rsid w:val="00EE5B08"/>
    <w:rsid w:val="00EE734A"/>
    <w:rsid w:val="00EE7946"/>
    <w:rsid w:val="00EF2B0F"/>
    <w:rsid w:val="00F00540"/>
    <w:rsid w:val="00F011C2"/>
    <w:rsid w:val="00F020D5"/>
    <w:rsid w:val="00F11120"/>
    <w:rsid w:val="00F27D47"/>
    <w:rsid w:val="00F3184F"/>
    <w:rsid w:val="00F55D4E"/>
    <w:rsid w:val="00F67A3F"/>
    <w:rsid w:val="00F8248F"/>
    <w:rsid w:val="00F8480F"/>
    <w:rsid w:val="00F873DC"/>
    <w:rsid w:val="00F96145"/>
    <w:rsid w:val="00F961E3"/>
    <w:rsid w:val="00FA0A44"/>
    <w:rsid w:val="00FA424C"/>
    <w:rsid w:val="00FA560F"/>
    <w:rsid w:val="00FA5E6E"/>
    <w:rsid w:val="00FA6E38"/>
    <w:rsid w:val="00FA6F12"/>
    <w:rsid w:val="00FA718F"/>
    <w:rsid w:val="00FB435C"/>
    <w:rsid w:val="00FC4A18"/>
    <w:rsid w:val="00FC6054"/>
    <w:rsid w:val="00FC66CF"/>
    <w:rsid w:val="00FC69F2"/>
    <w:rsid w:val="00FD1569"/>
    <w:rsid w:val="00FD4143"/>
    <w:rsid w:val="00FE2E93"/>
    <w:rsid w:val="00FE46B2"/>
    <w:rsid w:val="00FF2F6F"/>
    <w:rsid w:val="00FF31E4"/>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453E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53"/>
    <w:pPr>
      <w:tabs>
        <w:tab w:val="center" w:pos="4680"/>
        <w:tab w:val="right" w:pos="9360"/>
      </w:tabs>
    </w:pPr>
  </w:style>
  <w:style w:type="character" w:customStyle="1" w:styleId="HeaderChar">
    <w:name w:val="Header Char"/>
    <w:basedOn w:val="DefaultParagraphFont"/>
    <w:link w:val="Header"/>
    <w:uiPriority w:val="99"/>
    <w:rsid w:val="00342953"/>
    <w:rPr>
      <w:sz w:val="24"/>
      <w:szCs w:val="24"/>
    </w:rPr>
  </w:style>
  <w:style w:type="paragraph" w:styleId="Footer">
    <w:name w:val="footer"/>
    <w:basedOn w:val="Normal"/>
    <w:link w:val="FooterChar"/>
    <w:uiPriority w:val="99"/>
    <w:unhideWhenUsed/>
    <w:rsid w:val="00342953"/>
    <w:pPr>
      <w:tabs>
        <w:tab w:val="center" w:pos="4680"/>
        <w:tab w:val="right" w:pos="9360"/>
      </w:tabs>
    </w:pPr>
  </w:style>
  <w:style w:type="character" w:customStyle="1" w:styleId="FooterChar">
    <w:name w:val="Footer Char"/>
    <w:basedOn w:val="DefaultParagraphFont"/>
    <w:link w:val="Footer"/>
    <w:uiPriority w:val="99"/>
    <w:rsid w:val="00342953"/>
    <w:rPr>
      <w:sz w:val="24"/>
      <w:szCs w:val="24"/>
    </w:rPr>
  </w:style>
  <w:style w:type="character" w:styleId="Hyperlink">
    <w:name w:val="Hyperlink"/>
    <w:basedOn w:val="DefaultParagraphFont"/>
    <w:uiPriority w:val="99"/>
    <w:unhideWhenUsed/>
    <w:rsid w:val="008867A0"/>
    <w:rPr>
      <w:color w:val="0000FF" w:themeColor="hyperlink"/>
      <w:u w:val="single"/>
    </w:rPr>
  </w:style>
  <w:style w:type="paragraph" w:styleId="ListParagraph">
    <w:name w:val="List Paragraph"/>
    <w:basedOn w:val="Normal"/>
    <w:uiPriority w:val="34"/>
    <w:qFormat/>
    <w:rsid w:val="00CF3F52"/>
    <w:pPr>
      <w:ind w:left="720"/>
      <w:contextualSpacing/>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basedOn w:val="Normal"/>
    <w:link w:val="FootnoteTextChar"/>
    <w:unhideWhenUsed/>
    <w:rsid w:val="006A0882"/>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6A0882"/>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nhideWhenUsed/>
    <w:rsid w:val="006A0882"/>
    <w:rPr>
      <w:vertAlign w:val="superscript"/>
    </w:rPr>
  </w:style>
  <w:style w:type="paragraph" w:styleId="BalloonText">
    <w:name w:val="Balloon Text"/>
    <w:basedOn w:val="Normal"/>
    <w:link w:val="BalloonTextChar"/>
    <w:uiPriority w:val="99"/>
    <w:semiHidden/>
    <w:unhideWhenUsed/>
    <w:rsid w:val="00FC4A18"/>
    <w:rPr>
      <w:rFonts w:ascii="Tahoma" w:hAnsi="Tahoma" w:cs="Tahoma"/>
      <w:sz w:val="16"/>
      <w:szCs w:val="16"/>
    </w:rPr>
  </w:style>
  <w:style w:type="character" w:customStyle="1" w:styleId="BalloonTextChar">
    <w:name w:val="Balloon Text Char"/>
    <w:basedOn w:val="DefaultParagraphFont"/>
    <w:link w:val="BalloonText"/>
    <w:uiPriority w:val="99"/>
    <w:semiHidden/>
    <w:rsid w:val="00FC4A18"/>
    <w:rPr>
      <w:rFonts w:ascii="Tahoma" w:hAnsi="Tahoma" w:cs="Tahoma"/>
      <w:sz w:val="16"/>
      <w:szCs w:val="16"/>
    </w:rPr>
  </w:style>
  <w:style w:type="paragraph" w:customStyle="1" w:styleId="Default">
    <w:name w:val="Default"/>
    <w:rsid w:val="009C52C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D6C3F"/>
    <w:rPr>
      <w:sz w:val="16"/>
      <w:szCs w:val="16"/>
    </w:rPr>
  </w:style>
  <w:style w:type="paragraph" w:styleId="CommentText">
    <w:name w:val="annotation text"/>
    <w:basedOn w:val="Normal"/>
    <w:link w:val="CommentTextChar"/>
    <w:uiPriority w:val="99"/>
    <w:semiHidden/>
    <w:unhideWhenUsed/>
    <w:rsid w:val="005D6C3F"/>
    <w:rPr>
      <w:sz w:val="20"/>
      <w:szCs w:val="20"/>
    </w:rPr>
  </w:style>
  <w:style w:type="character" w:customStyle="1" w:styleId="CommentTextChar">
    <w:name w:val="Comment Text Char"/>
    <w:basedOn w:val="DefaultParagraphFont"/>
    <w:link w:val="CommentText"/>
    <w:uiPriority w:val="99"/>
    <w:semiHidden/>
    <w:rsid w:val="005D6C3F"/>
  </w:style>
  <w:style w:type="paragraph" w:styleId="CommentSubject">
    <w:name w:val="annotation subject"/>
    <w:basedOn w:val="CommentText"/>
    <w:next w:val="CommentText"/>
    <w:link w:val="CommentSubjectChar"/>
    <w:uiPriority w:val="99"/>
    <w:semiHidden/>
    <w:unhideWhenUsed/>
    <w:rsid w:val="005D6C3F"/>
    <w:rPr>
      <w:b/>
      <w:bCs/>
    </w:rPr>
  </w:style>
  <w:style w:type="character" w:customStyle="1" w:styleId="CommentSubjectChar">
    <w:name w:val="Comment Subject Char"/>
    <w:basedOn w:val="CommentTextChar"/>
    <w:link w:val="CommentSubject"/>
    <w:uiPriority w:val="99"/>
    <w:semiHidden/>
    <w:rsid w:val="005D6C3F"/>
    <w:rPr>
      <w:b/>
      <w:bCs/>
    </w:rPr>
  </w:style>
  <w:style w:type="character" w:styleId="FollowedHyperlink">
    <w:name w:val="FollowedHyperlink"/>
    <w:basedOn w:val="DefaultParagraphFont"/>
    <w:uiPriority w:val="99"/>
    <w:semiHidden/>
    <w:unhideWhenUsed/>
    <w:rsid w:val="002E1230"/>
    <w:rPr>
      <w:color w:val="800080" w:themeColor="followedHyperlink"/>
      <w:u w:val="single"/>
    </w:rPr>
  </w:style>
  <w:style w:type="paragraph" w:customStyle="1" w:styleId="ParaNum">
    <w:name w:val="ParaNum"/>
    <w:basedOn w:val="Normal"/>
    <w:link w:val="ParaNumCharChar1"/>
    <w:rsid w:val="008B0C72"/>
    <w:pPr>
      <w:widowControl w:val="0"/>
      <w:numPr>
        <w:numId w:val="7"/>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8B0C72"/>
    <w:rPr>
      <w:snapToGrid w:val="0"/>
      <w:kern w:val="28"/>
      <w:sz w:val="22"/>
    </w:rPr>
  </w:style>
  <w:style w:type="paragraph" w:styleId="NormalWeb">
    <w:name w:val="Normal (Web)"/>
    <w:basedOn w:val="Normal"/>
    <w:uiPriority w:val="99"/>
    <w:rsid w:val="008F3787"/>
    <w:rPr>
      <w:snapToGrid w:val="0"/>
    </w:rPr>
  </w:style>
  <w:style w:type="paragraph" w:styleId="TOC1">
    <w:name w:val="toc 1"/>
    <w:basedOn w:val="Normal"/>
    <w:next w:val="Normal"/>
    <w:rsid w:val="00FF2F6F"/>
    <w:pPr>
      <w:widowControl w:val="0"/>
      <w:tabs>
        <w:tab w:val="left" w:pos="360"/>
        <w:tab w:val="right" w:leader="dot" w:pos="9360"/>
      </w:tabs>
      <w:suppressAutoHyphens/>
      <w:ind w:left="360" w:right="720" w:hanging="360"/>
    </w:pPr>
    <w:rPr>
      <w:caps/>
      <w:noProof/>
      <w:snapToGrid w:val="0"/>
      <w:kern w:val="28"/>
      <w:sz w:val="22"/>
      <w:szCs w:val="20"/>
    </w:rPr>
  </w:style>
  <w:style w:type="paragraph" w:styleId="PlainText">
    <w:name w:val="Plain Text"/>
    <w:basedOn w:val="Normal"/>
    <w:link w:val="PlainTextChar"/>
    <w:uiPriority w:val="99"/>
    <w:rsid w:val="00FF2F6F"/>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FF2F6F"/>
    <w:rPr>
      <w:rFonts w:ascii="Courier New" w:eastAsia="MS Mincho" w:hAnsi="Courier New" w:cs="Courier New"/>
      <w:lang w:eastAsia="ja-JP"/>
    </w:rPr>
  </w:style>
  <w:style w:type="paragraph" w:styleId="Revision">
    <w:name w:val="Revision"/>
    <w:hidden/>
    <w:uiPriority w:val="99"/>
    <w:semiHidden/>
    <w:rsid w:val="00B254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53"/>
    <w:pPr>
      <w:tabs>
        <w:tab w:val="center" w:pos="4680"/>
        <w:tab w:val="right" w:pos="9360"/>
      </w:tabs>
    </w:pPr>
  </w:style>
  <w:style w:type="character" w:customStyle="1" w:styleId="HeaderChar">
    <w:name w:val="Header Char"/>
    <w:basedOn w:val="DefaultParagraphFont"/>
    <w:link w:val="Header"/>
    <w:uiPriority w:val="99"/>
    <w:rsid w:val="00342953"/>
    <w:rPr>
      <w:sz w:val="24"/>
      <w:szCs w:val="24"/>
    </w:rPr>
  </w:style>
  <w:style w:type="paragraph" w:styleId="Footer">
    <w:name w:val="footer"/>
    <w:basedOn w:val="Normal"/>
    <w:link w:val="FooterChar"/>
    <w:uiPriority w:val="99"/>
    <w:unhideWhenUsed/>
    <w:rsid w:val="00342953"/>
    <w:pPr>
      <w:tabs>
        <w:tab w:val="center" w:pos="4680"/>
        <w:tab w:val="right" w:pos="9360"/>
      </w:tabs>
    </w:pPr>
  </w:style>
  <w:style w:type="character" w:customStyle="1" w:styleId="FooterChar">
    <w:name w:val="Footer Char"/>
    <w:basedOn w:val="DefaultParagraphFont"/>
    <w:link w:val="Footer"/>
    <w:uiPriority w:val="99"/>
    <w:rsid w:val="00342953"/>
    <w:rPr>
      <w:sz w:val="24"/>
      <w:szCs w:val="24"/>
    </w:rPr>
  </w:style>
  <w:style w:type="character" w:styleId="Hyperlink">
    <w:name w:val="Hyperlink"/>
    <w:basedOn w:val="DefaultParagraphFont"/>
    <w:uiPriority w:val="99"/>
    <w:unhideWhenUsed/>
    <w:rsid w:val="008867A0"/>
    <w:rPr>
      <w:color w:val="0000FF" w:themeColor="hyperlink"/>
      <w:u w:val="single"/>
    </w:rPr>
  </w:style>
  <w:style w:type="paragraph" w:styleId="ListParagraph">
    <w:name w:val="List Paragraph"/>
    <w:basedOn w:val="Normal"/>
    <w:uiPriority w:val="34"/>
    <w:qFormat/>
    <w:rsid w:val="00CF3F52"/>
    <w:pPr>
      <w:ind w:left="720"/>
      <w:contextualSpacing/>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basedOn w:val="Normal"/>
    <w:link w:val="FootnoteTextChar"/>
    <w:unhideWhenUsed/>
    <w:rsid w:val="006A0882"/>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6A0882"/>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nhideWhenUsed/>
    <w:rsid w:val="006A0882"/>
    <w:rPr>
      <w:vertAlign w:val="superscript"/>
    </w:rPr>
  </w:style>
  <w:style w:type="paragraph" w:styleId="BalloonText">
    <w:name w:val="Balloon Text"/>
    <w:basedOn w:val="Normal"/>
    <w:link w:val="BalloonTextChar"/>
    <w:uiPriority w:val="99"/>
    <w:semiHidden/>
    <w:unhideWhenUsed/>
    <w:rsid w:val="00FC4A18"/>
    <w:rPr>
      <w:rFonts w:ascii="Tahoma" w:hAnsi="Tahoma" w:cs="Tahoma"/>
      <w:sz w:val="16"/>
      <w:szCs w:val="16"/>
    </w:rPr>
  </w:style>
  <w:style w:type="character" w:customStyle="1" w:styleId="BalloonTextChar">
    <w:name w:val="Balloon Text Char"/>
    <w:basedOn w:val="DefaultParagraphFont"/>
    <w:link w:val="BalloonText"/>
    <w:uiPriority w:val="99"/>
    <w:semiHidden/>
    <w:rsid w:val="00FC4A18"/>
    <w:rPr>
      <w:rFonts w:ascii="Tahoma" w:hAnsi="Tahoma" w:cs="Tahoma"/>
      <w:sz w:val="16"/>
      <w:szCs w:val="16"/>
    </w:rPr>
  </w:style>
  <w:style w:type="paragraph" w:customStyle="1" w:styleId="Default">
    <w:name w:val="Default"/>
    <w:rsid w:val="009C52C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D6C3F"/>
    <w:rPr>
      <w:sz w:val="16"/>
      <w:szCs w:val="16"/>
    </w:rPr>
  </w:style>
  <w:style w:type="paragraph" w:styleId="CommentText">
    <w:name w:val="annotation text"/>
    <w:basedOn w:val="Normal"/>
    <w:link w:val="CommentTextChar"/>
    <w:uiPriority w:val="99"/>
    <w:semiHidden/>
    <w:unhideWhenUsed/>
    <w:rsid w:val="005D6C3F"/>
    <w:rPr>
      <w:sz w:val="20"/>
      <w:szCs w:val="20"/>
    </w:rPr>
  </w:style>
  <w:style w:type="character" w:customStyle="1" w:styleId="CommentTextChar">
    <w:name w:val="Comment Text Char"/>
    <w:basedOn w:val="DefaultParagraphFont"/>
    <w:link w:val="CommentText"/>
    <w:uiPriority w:val="99"/>
    <w:semiHidden/>
    <w:rsid w:val="005D6C3F"/>
  </w:style>
  <w:style w:type="paragraph" w:styleId="CommentSubject">
    <w:name w:val="annotation subject"/>
    <w:basedOn w:val="CommentText"/>
    <w:next w:val="CommentText"/>
    <w:link w:val="CommentSubjectChar"/>
    <w:uiPriority w:val="99"/>
    <w:semiHidden/>
    <w:unhideWhenUsed/>
    <w:rsid w:val="005D6C3F"/>
    <w:rPr>
      <w:b/>
      <w:bCs/>
    </w:rPr>
  </w:style>
  <w:style w:type="character" w:customStyle="1" w:styleId="CommentSubjectChar">
    <w:name w:val="Comment Subject Char"/>
    <w:basedOn w:val="CommentTextChar"/>
    <w:link w:val="CommentSubject"/>
    <w:uiPriority w:val="99"/>
    <w:semiHidden/>
    <w:rsid w:val="005D6C3F"/>
    <w:rPr>
      <w:b/>
      <w:bCs/>
    </w:rPr>
  </w:style>
  <w:style w:type="character" w:styleId="FollowedHyperlink">
    <w:name w:val="FollowedHyperlink"/>
    <w:basedOn w:val="DefaultParagraphFont"/>
    <w:uiPriority w:val="99"/>
    <w:semiHidden/>
    <w:unhideWhenUsed/>
    <w:rsid w:val="002E1230"/>
    <w:rPr>
      <w:color w:val="800080" w:themeColor="followedHyperlink"/>
      <w:u w:val="single"/>
    </w:rPr>
  </w:style>
  <w:style w:type="paragraph" w:customStyle="1" w:styleId="ParaNum">
    <w:name w:val="ParaNum"/>
    <w:basedOn w:val="Normal"/>
    <w:link w:val="ParaNumCharChar1"/>
    <w:rsid w:val="008B0C72"/>
    <w:pPr>
      <w:widowControl w:val="0"/>
      <w:numPr>
        <w:numId w:val="7"/>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8B0C72"/>
    <w:rPr>
      <w:snapToGrid w:val="0"/>
      <w:kern w:val="28"/>
      <w:sz w:val="22"/>
    </w:rPr>
  </w:style>
  <w:style w:type="paragraph" w:styleId="NormalWeb">
    <w:name w:val="Normal (Web)"/>
    <w:basedOn w:val="Normal"/>
    <w:uiPriority w:val="99"/>
    <w:rsid w:val="008F3787"/>
    <w:rPr>
      <w:snapToGrid w:val="0"/>
    </w:rPr>
  </w:style>
  <w:style w:type="paragraph" w:styleId="TOC1">
    <w:name w:val="toc 1"/>
    <w:basedOn w:val="Normal"/>
    <w:next w:val="Normal"/>
    <w:rsid w:val="00FF2F6F"/>
    <w:pPr>
      <w:widowControl w:val="0"/>
      <w:tabs>
        <w:tab w:val="left" w:pos="360"/>
        <w:tab w:val="right" w:leader="dot" w:pos="9360"/>
      </w:tabs>
      <w:suppressAutoHyphens/>
      <w:ind w:left="360" w:right="720" w:hanging="360"/>
    </w:pPr>
    <w:rPr>
      <w:caps/>
      <w:noProof/>
      <w:snapToGrid w:val="0"/>
      <w:kern w:val="28"/>
      <w:sz w:val="22"/>
      <w:szCs w:val="20"/>
    </w:rPr>
  </w:style>
  <w:style w:type="paragraph" w:styleId="PlainText">
    <w:name w:val="Plain Text"/>
    <w:basedOn w:val="Normal"/>
    <w:link w:val="PlainTextChar"/>
    <w:uiPriority w:val="99"/>
    <w:rsid w:val="00FF2F6F"/>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FF2F6F"/>
    <w:rPr>
      <w:rFonts w:ascii="Courier New" w:eastAsia="MS Mincho" w:hAnsi="Courier New" w:cs="Courier New"/>
      <w:lang w:eastAsia="ja-JP"/>
    </w:rPr>
  </w:style>
  <w:style w:type="paragraph" w:styleId="Revision">
    <w:name w:val="Revision"/>
    <w:hidden/>
    <w:uiPriority w:val="99"/>
    <w:semiHidden/>
    <w:rsid w:val="00B254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3465</Words>
  <Characters>19004</Characters>
  <Application>Microsoft Office Word</Application>
  <DocSecurity>0</DocSecurity>
  <Lines>417</Lines>
  <Paragraphs>101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22523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2016-09-27T15:46:00Z</dcterms:created>
  <dcterms:modified xsi:type="dcterms:W3CDTF">2016-09-27T15:46:00Z</dcterms:modified>
  <cp:category> </cp:category>
  <cp:contentStatus> </cp:contentStatus>
</cp:coreProperties>
</file>