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FE15" w14:textId="77777777" w:rsidR="00026E0C" w:rsidRPr="0058223B" w:rsidRDefault="00026E0C" w:rsidP="00026E0C">
      <w:pPr>
        <w:jc w:val="center"/>
        <w:rPr>
          <w:b/>
          <w:szCs w:val="22"/>
        </w:rPr>
      </w:pPr>
      <w:bookmarkStart w:id="0" w:name="_GoBack"/>
      <w:bookmarkEnd w:id="0"/>
      <w:r w:rsidRPr="0058223B">
        <w:rPr>
          <w:b/>
          <w:kern w:val="0"/>
          <w:szCs w:val="22"/>
        </w:rPr>
        <w:t>Before</w:t>
      </w:r>
      <w:r w:rsidRPr="0058223B">
        <w:rPr>
          <w:b/>
          <w:szCs w:val="22"/>
        </w:rPr>
        <w:t xml:space="preserve"> the</w:t>
      </w:r>
    </w:p>
    <w:p w14:paraId="518876FF" w14:textId="77777777" w:rsidR="00026E0C" w:rsidRPr="0058223B" w:rsidRDefault="00026E0C" w:rsidP="00026E0C">
      <w:pPr>
        <w:pStyle w:val="StyleBoldCentered"/>
        <w:rPr>
          <w:rFonts w:ascii="Times New Roman" w:hAnsi="Times New Roman"/>
        </w:rPr>
      </w:pPr>
      <w:r w:rsidRPr="0058223B">
        <w:rPr>
          <w:rFonts w:ascii="Times New Roman" w:hAnsi="Times New Roman"/>
        </w:rPr>
        <w:t>F</w:t>
      </w:r>
      <w:r w:rsidRPr="0058223B">
        <w:rPr>
          <w:rFonts w:ascii="Times New Roman" w:hAnsi="Times New Roman"/>
          <w:caps w:val="0"/>
        </w:rPr>
        <w:t>ederal Communications Commission</w:t>
      </w:r>
    </w:p>
    <w:p w14:paraId="7B49E8C7" w14:textId="77777777" w:rsidR="00026E0C" w:rsidRPr="0058223B" w:rsidRDefault="00026E0C" w:rsidP="00026E0C">
      <w:pPr>
        <w:pStyle w:val="StyleBoldCentered"/>
        <w:rPr>
          <w:rFonts w:ascii="Times New Roman" w:hAnsi="Times New Roman"/>
        </w:rPr>
      </w:pPr>
      <w:r w:rsidRPr="0058223B">
        <w:rPr>
          <w:rFonts w:ascii="Times New Roman" w:hAnsi="Times New Roman"/>
          <w:caps w:val="0"/>
        </w:rPr>
        <w:t>Washington, D.C. 20554</w:t>
      </w:r>
    </w:p>
    <w:p w14:paraId="5D7419D2" w14:textId="77777777" w:rsidR="00026E0C" w:rsidRPr="0058223B" w:rsidRDefault="00026E0C" w:rsidP="00026E0C">
      <w:pPr>
        <w:rPr>
          <w:szCs w:val="22"/>
        </w:rPr>
      </w:pPr>
    </w:p>
    <w:tbl>
      <w:tblPr>
        <w:tblW w:w="0" w:type="auto"/>
        <w:tblLayout w:type="fixed"/>
        <w:tblLook w:val="0000" w:firstRow="0" w:lastRow="0" w:firstColumn="0" w:lastColumn="0" w:noHBand="0" w:noVBand="0"/>
      </w:tblPr>
      <w:tblGrid>
        <w:gridCol w:w="4698"/>
        <w:gridCol w:w="630"/>
        <w:gridCol w:w="4248"/>
      </w:tblGrid>
      <w:tr w:rsidR="00026E0C" w:rsidRPr="0058223B" w14:paraId="438E5880" w14:textId="77777777">
        <w:tc>
          <w:tcPr>
            <w:tcW w:w="4698" w:type="dxa"/>
          </w:tcPr>
          <w:p w14:paraId="4A0F6D1F" w14:textId="77777777" w:rsidR="00026E0C" w:rsidRPr="0058223B" w:rsidRDefault="00026E0C" w:rsidP="00026E0C">
            <w:pPr>
              <w:tabs>
                <w:tab w:val="center" w:pos="4680"/>
              </w:tabs>
              <w:suppressAutoHyphens/>
              <w:rPr>
                <w:spacing w:val="-2"/>
                <w:szCs w:val="22"/>
              </w:rPr>
            </w:pPr>
            <w:r w:rsidRPr="0058223B">
              <w:rPr>
                <w:spacing w:val="-2"/>
                <w:szCs w:val="22"/>
              </w:rPr>
              <w:t>In the Matter of</w:t>
            </w:r>
          </w:p>
          <w:p w14:paraId="4CDA2450" w14:textId="77777777" w:rsidR="00026E0C" w:rsidRPr="0058223B" w:rsidRDefault="00026E0C" w:rsidP="00026E0C">
            <w:pPr>
              <w:tabs>
                <w:tab w:val="center" w:pos="4680"/>
              </w:tabs>
              <w:suppressAutoHyphens/>
              <w:rPr>
                <w:spacing w:val="-2"/>
                <w:szCs w:val="22"/>
              </w:rPr>
            </w:pPr>
          </w:p>
          <w:p w14:paraId="67AFFA09" w14:textId="77777777" w:rsidR="00026E0C" w:rsidRPr="0058223B" w:rsidRDefault="00AF6B0C" w:rsidP="00026E0C">
            <w:pPr>
              <w:tabs>
                <w:tab w:val="center" w:pos="4680"/>
              </w:tabs>
              <w:suppressAutoHyphens/>
              <w:rPr>
                <w:b/>
                <w:spacing w:val="-2"/>
                <w:szCs w:val="22"/>
              </w:rPr>
            </w:pPr>
            <w:r>
              <w:rPr>
                <w:b/>
                <w:spacing w:val="-2"/>
                <w:szCs w:val="22"/>
              </w:rPr>
              <w:t>Cesar Chavez Foundation</w:t>
            </w:r>
          </w:p>
          <w:p w14:paraId="65181777" w14:textId="77777777" w:rsidR="00026E0C" w:rsidRPr="0058223B" w:rsidRDefault="00026E0C" w:rsidP="00026E0C">
            <w:pPr>
              <w:tabs>
                <w:tab w:val="center" w:pos="4680"/>
              </w:tabs>
              <w:suppressAutoHyphens/>
              <w:rPr>
                <w:spacing w:val="-2"/>
                <w:szCs w:val="22"/>
              </w:rPr>
            </w:pPr>
          </w:p>
          <w:p w14:paraId="68491528" w14:textId="77777777" w:rsidR="00026E0C" w:rsidRPr="0058223B" w:rsidRDefault="00026E0C" w:rsidP="00AF6B0C">
            <w:pPr>
              <w:tabs>
                <w:tab w:val="center" w:pos="4680"/>
              </w:tabs>
              <w:suppressAutoHyphens/>
              <w:rPr>
                <w:spacing w:val="-2"/>
                <w:szCs w:val="22"/>
              </w:rPr>
            </w:pPr>
            <w:r w:rsidRPr="0058223B">
              <w:rPr>
                <w:szCs w:val="22"/>
              </w:rPr>
              <w:t xml:space="preserve">Licensee of Station </w:t>
            </w:r>
            <w:r w:rsidR="00AF6B0C">
              <w:rPr>
                <w:szCs w:val="22"/>
              </w:rPr>
              <w:t>KUFW(FM), Woodlake, California</w:t>
            </w:r>
          </w:p>
        </w:tc>
        <w:tc>
          <w:tcPr>
            <w:tcW w:w="630" w:type="dxa"/>
          </w:tcPr>
          <w:p w14:paraId="56BD9312" w14:textId="77777777" w:rsidR="00026E0C" w:rsidRPr="0058223B" w:rsidRDefault="00026E0C" w:rsidP="00026E0C">
            <w:pPr>
              <w:tabs>
                <w:tab w:val="center" w:pos="4680"/>
              </w:tabs>
              <w:suppressAutoHyphens/>
              <w:rPr>
                <w:b/>
                <w:spacing w:val="-2"/>
                <w:szCs w:val="22"/>
              </w:rPr>
            </w:pPr>
            <w:r w:rsidRPr="0058223B">
              <w:rPr>
                <w:b/>
                <w:spacing w:val="-2"/>
                <w:szCs w:val="22"/>
              </w:rPr>
              <w:t>)</w:t>
            </w:r>
          </w:p>
          <w:p w14:paraId="41BFF6D3" w14:textId="77777777" w:rsidR="00026E0C" w:rsidRPr="0058223B" w:rsidRDefault="00026E0C" w:rsidP="00026E0C">
            <w:pPr>
              <w:tabs>
                <w:tab w:val="center" w:pos="4680"/>
              </w:tabs>
              <w:suppressAutoHyphens/>
              <w:rPr>
                <w:b/>
                <w:spacing w:val="-2"/>
                <w:szCs w:val="22"/>
              </w:rPr>
            </w:pPr>
            <w:r w:rsidRPr="0058223B">
              <w:rPr>
                <w:b/>
                <w:spacing w:val="-2"/>
                <w:szCs w:val="22"/>
              </w:rPr>
              <w:t>)</w:t>
            </w:r>
          </w:p>
          <w:p w14:paraId="7C6CDBF5" w14:textId="77777777" w:rsidR="00026E0C" w:rsidRPr="0058223B" w:rsidRDefault="00026E0C" w:rsidP="00026E0C">
            <w:pPr>
              <w:tabs>
                <w:tab w:val="center" w:pos="4680"/>
              </w:tabs>
              <w:suppressAutoHyphens/>
              <w:rPr>
                <w:b/>
                <w:spacing w:val="-2"/>
                <w:szCs w:val="22"/>
              </w:rPr>
            </w:pPr>
            <w:r w:rsidRPr="0058223B">
              <w:rPr>
                <w:b/>
                <w:spacing w:val="-2"/>
                <w:szCs w:val="22"/>
              </w:rPr>
              <w:t>)</w:t>
            </w:r>
          </w:p>
          <w:p w14:paraId="773F4800" w14:textId="77777777" w:rsidR="00026E0C" w:rsidRPr="0058223B" w:rsidRDefault="00026E0C" w:rsidP="00026E0C">
            <w:pPr>
              <w:tabs>
                <w:tab w:val="center" w:pos="4680"/>
              </w:tabs>
              <w:suppressAutoHyphens/>
              <w:rPr>
                <w:b/>
                <w:spacing w:val="-2"/>
                <w:szCs w:val="22"/>
              </w:rPr>
            </w:pPr>
            <w:r w:rsidRPr="0058223B">
              <w:rPr>
                <w:b/>
                <w:spacing w:val="-2"/>
                <w:szCs w:val="22"/>
              </w:rPr>
              <w:t>)</w:t>
            </w:r>
          </w:p>
          <w:p w14:paraId="51BA2DE5" w14:textId="77777777" w:rsidR="00026E0C" w:rsidRPr="0058223B" w:rsidRDefault="00026E0C" w:rsidP="00026E0C">
            <w:pPr>
              <w:tabs>
                <w:tab w:val="center" w:pos="4680"/>
              </w:tabs>
              <w:suppressAutoHyphens/>
              <w:rPr>
                <w:b/>
                <w:spacing w:val="-2"/>
                <w:szCs w:val="22"/>
              </w:rPr>
            </w:pPr>
            <w:r w:rsidRPr="0058223B">
              <w:rPr>
                <w:b/>
                <w:spacing w:val="-2"/>
                <w:szCs w:val="22"/>
              </w:rPr>
              <w:t>)</w:t>
            </w:r>
          </w:p>
          <w:p w14:paraId="6E7F9ACE" w14:textId="77777777" w:rsidR="00026E0C" w:rsidRPr="00AF6B0C" w:rsidRDefault="00026E0C" w:rsidP="00026E0C">
            <w:pPr>
              <w:tabs>
                <w:tab w:val="center" w:pos="4680"/>
              </w:tabs>
              <w:suppressAutoHyphens/>
              <w:rPr>
                <w:b/>
                <w:spacing w:val="-2"/>
                <w:szCs w:val="22"/>
              </w:rPr>
            </w:pPr>
            <w:r w:rsidRPr="0058223B">
              <w:rPr>
                <w:b/>
                <w:spacing w:val="-2"/>
                <w:szCs w:val="22"/>
              </w:rPr>
              <w:t>)</w:t>
            </w:r>
          </w:p>
        </w:tc>
        <w:tc>
          <w:tcPr>
            <w:tcW w:w="4248" w:type="dxa"/>
          </w:tcPr>
          <w:p w14:paraId="3062D144" w14:textId="77777777" w:rsidR="00026E0C" w:rsidRPr="0058223B" w:rsidRDefault="00026E0C" w:rsidP="00026E0C">
            <w:pPr>
              <w:tabs>
                <w:tab w:val="center" w:pos="4680"/>
              </w:tabs>
              <w:suppressAutoHyphens/>
              <w:rPr>
                <w:spacing w:val="-2"/>
                <w:szCs w:val="22"/>
              </w:rPr>
            </w:pPr>
          </w:p>
          <w:p w14:paraId="5A02DE11" w14:textId="77777777" w:rsidR="00026E0C" w:rsidRPr="0058223B" w:rsidRDefault="00026E0C" w:rsidP="00026E0C">
            <w:pPr>
              <w:pStyle w:val="TOAHeading"/>
              <w:tabs>
                <w:tab w:val="clear" w:pos="9360"/>
                <w:tab w:val="center" w:pos="4680"/>
              </w:tabs>
              <w:rPr>
                <w:spacing w:val="-2"/>
                <w:szCs w:val="22"/>
              </w:rPr>
            </w:pPr>
          </w:p>
          <w:p w14:paraId="3B0E0D24" w14:textId="444E0F62" w:rsidR="0022167E" w:rsidRPr="00143F75" w:rsidRDefault="0022167E" w:rsidP="0022167E">
            <w:pPr>
              <w:pStyle w:val="Title"/>
              <w:jc w:val="left"/>
              <w:rPr>
                <w:b w:val="0"/>
                <w:szCs w:val="22"/>
                <w:lang w:val="en-US" w:eastAsia="en-US"/>
              </w:rPr>
            </w:pPr>
            <w:r>
              <w:rPr>
                <w:b w:val="0"/>
                <w:szCs w:val="22"/>
                <w:lang w:val="en-US"/>
              </w:rPr>
              <w:t>NAL/Account</w:t>
            </w:r>
            <w:r w:rsidRPr="00AF6B0C">
              <w:rPr>
                <w:b w:val="0"/>
                <w:szCs w:val="22"/>
              </w:rPr>
              <w:t xml:space="preserve"> No.:  </w:t>
            </w:r>
            <w:r w:rsidR="00143F75">
              <w:rPr>
                <w:b w:val="0"/>
                <w:szCs w:val="22"/>
                <w:lang w:val="en-US"/>
              </w:rPr>
              <w:t>MB-201641410015</w:t>
            </w:r>
          </w:p>
          <w:p w14:paraId="251AE530" w14:textId="7C729C7F" w:rsidR="0022167E" w:rsidRPr="0001199F" w:rsidRDefault="0022167E" w:rsidP="0022167E">
            <w:pPr>
              <w:pStyle w:val="Title"/>
              <w:jc w:val="left"/>
              <w:rPr>
                <w:b w:val="0"/>
                <w:szCs w:val="22"/>
                <w:lang w:val="en-US" w:eastAsia="en-US"/>
              </w:rPr>
            </w:pPr>
            <w:r w:rsidRPr="0001199F">
              <w:rPr>
                <w:b w:val="0"/>
                <w:szCs w:val="22"/>
                <w:lang w:val="en-US" w:eastAsia="en-US"/>
              </w:rPr>
              <w:t xml:space="preserve">FRN:  </w:t>
            </w:r>
            <w:r w:rsidR="00143F75">
              <w:rPr>
                <w:b w:val="0"/>
                <w:szCs w:val="22"/>
                <w:lang w:val="en-US" w:eastAsia="en-US"/>
              </w:rPr>
              <w:t>0006911408</w:t>
            </w:r>
          </w:p>
          <w:p w14:paraId="13D72461" w14:textId="77777777" w:rsidR="00026E0C" w:rsidRDefault="00026E0C" w:rsidP="00026E0C">
            <w:pPr>
              <w:pStyle w:val="Title"/>
              <w:jc w:val="left"/>
              <w:rPr>
                <w:b w:val="0"/>
                <w:szCs w:val="22"/>
                <w:lang w:val="en-US" w:eastAsia="en-US"/>
              </w:rPr>
            </w:pPr>
            <w:r w:rsidRPr="0001199F">
              <w:rPr>
                <w:b w:val="0"/>
                <w:szCs w:val="22"/>
                <w:lang w:val="en-US" w:eastAsia="en-US"/>
              </w:rPr>
              <w:t>File No</w:t>
            </w:r>
            <w:r w:rsidR="00AF6B0C">
              <w:rPr>
                <w:b w:val="0"/>
                <w:szCs w:val="22"/>
                <w:lang w:val="en-US" w:eastAsia="en-US"/>
              </w:rPr>
              <w:t>. BRED-20130723ABI</w:t>
            </w:r>
          </w:p>
          <w:p w14:paraId="3F9B4AB8" w14:textId="77777777" w:rsidR="00026E0C" w:rsidRPr="0022167E" w:rsidRDefault="00AF6B0C" w:rsidP="0022167E">
            <w:pPr>
              <w:pStyle w:val="Title"/>
              <w:jc w:val="left"/>
              <w:rPr>
                <w:b w:val="0"/>
                <w:szCs w:val="22"/>
                <w:lang w:val="en-US" w:eastAsia="en-US"/>
              </w:rPr>
            </w:pPr>
            <w:r w:rsidRPr="0001199F">
              <w:rPr>
                <w:b w:val="0"/>
                <w:szCs w:val="22"/>
                <w:lang w:val="en-US" w:eastAsia="en-US"/>
              </w:rPr>
              <w:t xml:space="preserve">Facility ID No.:  </w:t>
            </w:r>
            <w:r w:rsidR="0022167E">
              <w:rPr>
                <w:b w:val="0"/>
                <w:szCs w:val="22"/>
                <w:lang w:val="en-US" w:eastAsia="en-US"/>
              </w:rPr>
              <w:t>21210</w:t>
            </w:r>
          </w:p>
        </w:tc>
      </w:tr>
    </w:tbl>
    <w:p w14:paraId="46E5F04E" w14:textId="77777777" w:rsidR="00026E0C" w:rsidRPr="0058223B" w:rsidRDefault="00026E0C" w:rsidP="00026E0C">
      <w:pPr>
        <w:rPr>
          <w:szCs w:val="22"/>
        </w:rPr>
      </w:pPr>
    </w:p>
    <w:p w14:paraId="7E40B6F3" w14:textId="77777777" w:rsidR="00026E0C" w:rsidRPr="0058223B" w:rsidRDefault="00026E0C" w:rsidP="00026E0C">
      <w:pPr>
        <w:pStyle w:val="StyleBoldCentered"/>
        <w:rPr>
          <w:rFonts w:ascii="Times New Roman" w:hAnsi="Times New Roman"/>
        </w:rPr>
      </w:pPr>
      <w:r w:rsidRPr="0058223B">
        <w:rPr>
          <w:rFonts w:ascii="Times New Roman" w:hAnsi="Times New Roman"/>
        </w:rPr>
        <w:t>order</w:t>
      </w:r>
    </w:p>
    <w:p w14:paraId="13B78795" w14:textId="77777777" w:rsidR="00026E0C" w:rsidRPr="0058223B" w:rsidRDefault="00026E0C" w:rsidP="00026E0C">
      <w:pPr>
        <w:tabs>
          <w:tab w:val="left" w:pos="-720"/>
        </w:tabs>
        <w:suppressAutoHyphens/>
        <w:spacing w:line="227" w:lineRule="auto"/>
        <w:rPr>
          <w:spacing w:val="-2"/>
          <w:szCs w:val="22"/>
        </w:rPr>
      </w:pPr>
    </w:p>
    <w:p w14:paraId="02D929FD" w14:textId="1B24CC1A" w:rsidR="00026E0C" w:rsidRPr="0058223B" w:rsidRDefault="00026E0C" w:rsidP="00026E0C">
      <w:pPr>
        <w:tabs>
          <w:tab w:val="left" w:pos="720"/>
          <w:tab w:val="right" w:pos="9360"/>
        </w:tabs>
        <w:suppressAutoHyphens/>
        <w:spacing w:line="227" w:lineRule="auto"/>
        <w:rPr>
          <w:b/>
          <w:spacing w:val="-2"/>
          <w:szCs w:val="22"/>
        </w:rPr>
      </w:pPr>
      <w:r w:rsidRPr="0058223B">
        <w:rPr>
          <w:b/>
          <w:spacing w:val="-2"/>
          <w:szCs w:val="22"/>
        </w:rPr>
        <w:t xml:space="preserve">Adopted:  </w:t>
      </w:r>
      <w:r w:rsidR="00E81509">
        <w:rPr>
          <w:b/>
          <w:spacing w:val="-2"/>
          <w:szCs w:val="22"/>
        </w:rPr>
        <w:t>July</w:t>
      </w:r>
      <w:r w:rsidR="00E803A8">
        <w:rPr>
          <w:b/>
          <w:spacing w:val="-2"/>
          <w:szCs w:val="22"/>
        </w:rPr>
        <w:t xml:space="preserve"> 27</w:t>
      </w:r>
      <w:r w:rsidR="00601000">
        <w:rPr>
          <w:b/>
          <w:spacing w:val="-2"/>
          <w:szCs w:val="22"/>
        </w:rPr>
        <w:t>, 2016</w:t>
      </w:r>
      <w:r w:rsidRPr="0058223B">
        <w:rPr>
          <w:b/>
          <w:spacing w:val="-2"/>
          <w:szCs w:val="22"/>
        </w:rPr>
        <w:tab/>
        <w:t xml:space="preserve">Released:  </w:t>
      </w:r>
      <w:r w:rsidR="00E81509">
        <w:rPr>
          <w:b/>
          <w:spacing w:val="-2"/>
          <w:szCs w:val="22"/>
        </w:rPr>
        <w:t>July</w:t>
      </w:r>
      <w:r w:rsidR="002E45C3" w:rsidRPr="0058223B">
        <w:rPr>
          <w:b/>
          <w:spacing w:val="-2"/>
          <w:szCs w:val="22"/>
        </w:rPr>
        <w:t xml:space="preserve"> </w:t>
      </w:r>
      <w:r w:rsidR="00E803A8">
        <w:rPr>
          <w:b/>
          <w:spacing w:val="-2"/>
          <w:szCs w:val="22"/>
        </w:rPr>
        <w:t>28</w:t>
      </w:r>
      <w:r w:rsidRPr="0058223B">
        <w:rPr>
          <w:b/>
          <w:spacing w:val="-2"/>
          <w:szCs w:val="22"/>
        </w:rPr>
        <w:t>, 201</w:t>
      </w:r>
      <w:r w:rsidR="00601000">
        <w:rPr>
          <w:b/>
          <w:spacing w:val="-2"/>
          <w:szCs w:val="22"/>
        </w:rPr>
        <w:t>6</w:t>
      </w:r>
    </w:p>
    <w:p w14:paraId="602C6DA1" w14:textId="77777777" w:rsidR="00026E0C" w:rsidRPr="0058223B" w:rsidRDefault="00026E0C" w:rsidP="00026E0C">
      <w:pPr>
        <w:rPr>
          <w:szCs w:val="22"/>
        </w:rPr>
      </w:pPr>
    </w:p>
    <w:p w14:paraId="2376A577" w14:textId="77777777" w:rsidR="00026E0C" w:rsidRPr="00A3584B" w:rsidRDefault="00026E0C" w:rsidP="00795A4A">
      <w:pPr>
        <w:pStyle w:val="MediumGrid21"/>
        <w:rPr>
          <w:szCs w:val="22"/>
        </w:rPr>
      </w:pPr>
      <w:r w:rsidRPr="0058223B">
        <w:rPr>
          <w:szCs w:val="22"/>
        </w:rPr>
        <w:t>By the</w:t>
      </w:r>
      <w:r w:rsidRPr="00A3584B">
        <w:rPr>
          <w:sz w:val="22"/>
          <w:szCs w:val="22"/>
        </w:rPr>
        <w:t xml:space="preserve"> </w:t>
      </w:r>
      <w:r w:rsidRPr="0058223B">
        <w:rPr>
          <w:sz w:val="22"/>
          <w:szCs w:val="22"/>
        </w:rPr>
        <w:t xml:space="preserve">Chief, </w:t>
      </w:r>
      <w:r w:rsidR="00AF6B0C">
        <w:rPr>
          <w:spacing w:val="-2"/>
          <w:sz w:val="22"/>
          <w:szCs w:val="22"/>
        </w:rPr>
        <w:t>Media Bureau</w:t>
      </w:r>
      <w:r w:rsidRPr="00E47BD9">
        <w:rPr>
          <w:spacing w:val="-2"/>
          <w:sz w:val="22"/>
          <w:szCs w:val="22"/>
        </w:rPr>
        <w:t>:</w:t>
      </w:r>
    </w:p>
    <w:p w14:paraId="19B686E5" w14:textId="77777777" w:rsidR="00026E0C" w:rsidRPr="0058223B" w:rsidRDefault="00026E0C" w:rsidP="00026E0C">
      <w:pPr>
        <w:rPr>
          <w:szCs w:val="22"/>
        </w:rPr>
      </w:pPr>
    </w:p>
    <w:p w14:paraId="0A61CFAB" w14:textId="746517B0" w:rsidR="00021B7F" w:rsidRDefault="00021B7F" w:rsidP="00BB1E82">
      <w:pPr>
        <w:pStyle w:val="ParaNum"/>
        <w:widowControl/>
        <w:numPr>
          <w:ilvl w:val="0"/>
          <w:numId w:val="7"/>
        </w:numPr>
        <w:tabs>
          <w:tab w:val="clear" w:pos="1080"/>
        </w:tabs>
        <w:snapToGrid w:val="0"/>
        <w:rPr>
          <w:szCs w:val="22"/>
        </w:rPr>
      </w:pPr>
      <w:r>
        <w:rPr>
          <w:szCs w:val="22"/>
        </w:rPr>
        <w:t>We have before us an application</w:t>
      </w:r>
      <w:r w:rsidR="0021350C">
        <w:rPr>
          <w:szCs w:val="22"/>
        </w:rPr>
        <w:t xml:space="preserve"> (Renewal Application</w:t>
      </w:r>
      <w:r w:rsidR="00475C79">
        <w:rPr>
          <w:szCs w:val="22"/>
        </w:rPr>
        <w:t>)</w:t>
      </w:r>
      <w:r>
        <w:rPr>
          <w:szCs w:val="22"/>
        </w:rPr>
        <w:t xml:space="preserve"> fil</w:t>
      </w:r>
      <w:r w:rsidR="0021350C">
        <w:rPr>
          <w:szCs w:val="22"/>
        </w:rPr>
        <w:t>ed by Cesar Chavez Foundation (CCF</w:t>
      </w:r>
      <w:r>
        <w:rPr>
          <w:szCs w:val="22"/>
        </w:rPr>
        <w:t xml:space="preserve">) to renew the license of its noncommercial </w:t>
      </w:r>
      <w:r w:rsidR="000B4238">
        <w:rPr>
          <w:szCs w:val="22"/>
        </w:rPr>
        <w:t xml:space="preserve">educational </w:t>
      </w:r>
      <w:r w:rsidR="00D16952">
        <w:rPr>
          <w:szCs w:val="22"/>
        </w:rPr>
        <w:t xml:space="preserve">radio </w:t>
      </w:r>
      <w:r>
        <w:rPr>
          <w:szCs w:val="22"/>
        </w:rPr>
        <w:t>station, K</w:t>
      </w:r>
      <w:r w:rsidR="0021350C">
        <w:rPr>
          <w:szCs w:val="22"/>
        </w:rPr>
        <w:t>UFW(FM), Woodlake, California (Station</w:t>
      </w:r>
      <w:r>
        <w:rPr>
          <w:szCs w:val="22"/>
        </w:rPr>
        <w:t>).  Also before us is a Petition to Deny</w:t>
      </w:r>
      <w:r w:rsidR="0021350C">
        <w:rPr>
          <w:szCs w:val="22"/>
        </w:rPr>
        <w:t xml:space="preserve"> (Petition</w:t>
      </w:r>
      <w:r w:rsidR="00D16952">
        <w:rPr>
          <w:szCs w:val="22"/>
        </w:rPr>
        <w:t>)</w:t>
      </w:r>
      <w:r>
        <w:rPr>
          <w:szCs w:val="22"/>
        </w:rPr>
        <w:t xml:space="preserve"> </w:t>
      </w:r>
      <w:r w:rsidR="0021350C">
        <w:rPr>
          <w:szCs w:val="22"/>
        </w:rPr>
        <w:t>filed by Gerawan Farming Inc. (Gerawan</w:t>
      </w:r>
      <w:r>
        <w:rPr>
          <w:szCs w:val="22"/>
        </w:rPr>
        <w:t xml:space="preserve">) on </w:t>
      </w:r>
      <w:r w:rsidR="00526224">
        <w:rPr>
          <w:szCs w:val="22"/>
        </w:rPr>
        <w:t>October 31, 2013</w:t>
      </w:r>
      <w:r>
        <w:rPr>
          <w:szCs w:val="22"/>
        </w:rPr>
        <w:t>.</w:t>
      </w:r>
      <w:r>
        <w:rPr>
          <w:rStyle w:val="FootnoteReference"/>
          <w:szCs w:val="22"/>
        </w:rPr>
        <w:footnoteReference w:id="2"/>
      </w:r>
      <w:r>
        <w:rPr>
          <w:szCs w:val="22"/>
        </w:rPr>
        <w:t xml:space="preserve">  G</w:t>
      </w:r>
      <w:r w:rsidR="00526224">
        <w:rPr>
          <w:szCs w:val="22"/>
        </w:rPr>
        <w:t>e</w:t>
      </w:r>
      <w:r>
        <w:rPr>
          <w:szCs w:val="22"/>
        </w:rPr>
        <w:t xml:space="preserve">rawan alleges that CCF has violated Section 399B of the Communications Act of 1934, as amended, and Section 73.503(d) of the Commission’s rules </w:t>
      </w:r>
      <w:r w:rsidR="008F7785">
        <w:rPr>
          <w:szCs w:val="22"/>
        </w:rPr>
        <w:t xml:space="preserve"> (Rules) </w:t>
      </w:r>
      <w:r>
        <w:rPr>
          <w:szCs w:val="22"/>
        </w:rPr>
        <w:t>by airing commercial announcements on the Station.</w:t>
      </w:r>
      <w:r w:rsidR="00D16952">
        <w:rPr>
          <w:rStyle w:val="FootnoteReference"/>
          <w:szCs w:val="22"/>
        </w:rPr>
        <w:footnoteReference w:id="3"/>
      </w:r>
      <w:r>
        <w:rPr>
          <w:szCs w:val="22"/>
        </w:rPr>
        <w:t xml:space="preserve">  </w:t>
      </w:r>
    </w:p>
    <w:p w14:paraId="656889BE" w14:textId="7EC12769" w:rsidR="0022167E" w:rsidRDefault="00021B7F" w:rsidP="00BB1E82">
      <w:pPr>
        <w:pStyle w:val="ParaNum"/>
        <w:widowControl/>
        <w:numPr>
          <w:ilvl w:val="0"/>
          <w:numId w:val="7"/>
        </w:numPr>
        <w:tabs>
          <w:tab w:val="clear" w:pos="1080"/>
        </w:tabs>
        <w:snapToGrid w:val="0"/>
        <w:rPr>
          <w:szCs w:val="22"/>
        </w:rPr>
      </w:pPr>
      <w:r>
        <w:rPr>
          <w:szCs w:val="22"/>
        </w:rPr>
        <w:t xml:space="preserve">  </w:t>
      </w:r>
      <w:r w:rsidR="00BB1E82">
        <w:rPr>
          <w:szCs w:val="22"/>
        </w:rPr>
        <w:t>In this Order, we adopt the attached Consent Decree</w:t>
      </w:r>
      <w:r w:rsidR="0022167E">
        <w:rPr>
          <w:szCs w:val="22"/>
        </w:rPr>
        <w:t xml:space="preserve"> </w:t>
      </w:r>
      <w:r w:rsidR="00BB1E82">
        <w:rPr>
          <w:szCs w:val="22"/>
        </w:rPr>
        <w:t>entered into by the M</w:t>
      </w:r>
      <w:r w:rsidR="00AF6B0C">
        <w:rPr>
          <w:szCs w:val="22"/>
        </w:rPr>
        <w:t>edia</w:t>
      </w:r>
      <w:r w:rsidR="008B02DD">
        <w:rPr>
          <w:szCs w:val="22"/>
        </w:rPr>
        <w:t xml:space="preserve"> Bureau (Bureau)</w:t>
      </w:r>
      <w:r w:rsidR="00BB1E82">
        <w:rPr>
          <w:szCs w:val="22"/>
        </w:rPr>
        <w:t xml:space="preserve"> and CCF.  The Consent Decree </w:t>
      </w:r>
      <w:r w:rsidR="00D16952">
        <w:rPr>
          <w:szCs w:val="22"/>
        </w:rPr>
        <w:t>resolve</w:t>
      </w:r>
      <w:r w:rsidR="0021350C">
        <w:rPr>
          <w:szCs w:val="22"/>
        </w:rPr>
        <w:t>s</w:t>
      </w:r>
      <w:r w:rsidR="00BB1E82">
        <w:rPr>
          <w:szCs w:val="22"/>
        </w:rPr>
        <w:t xml:space="preserve"> issues</w:t>
      </w:r>
      <w:r w:rsidR="00D16952">
        <w:rPr>
          <w:szCs w:val="22"/>
        </w:rPr>
        <w:t xml:space="preserve"> related to CCF’s violation of the law and rules governing underwriting announcements</w:t>
      </w:r>
      <w:r w:rsidR="0022167E">
        <w:rPr>
          <w:szCs w:val="22"/>
        </w:rPr>
        <w:t>.</w:t>
      </w:r>
      <w:r w:rsidR="00D16952">
        <w:rPr>
          <w:szCs w:val="22"/>
        </w:rPr>
        <w:t xml:space="preserve">  </w:t>
      </w:r>
      <w:r w:rsidR="00475C79">
        <w:rPr>
          <w:szCs w:val="22"/>
        </w:rPr>
        <w:t>The Consent Decree requires that CCF pay a civil penalty.</w:t>
      </w:r>
      <w:r w:rsidR="0021350C">
        <w:rPr>
          <w:rStyle w:val="FootnoteReference"/>
          <w:szCs w:val="22"/>
        </w:rPr>
        <w:footnoteReference w:id="4"/>
      </w:r>
      <w:r w:rsidR="00475C79">
        <w:rPr>
          <w:szCs w:val="22"/>
        </w:rPr>
        <w:t xml:space="preserve">  The Consent Decree stipulates that CCF violated Section 399</w:t>
      </w:r>
      <w:r w:rsidR="006B2099">
        <w:rPr>
          <w:szCs w:val="22"/>
        </w:rPr>
        <w:t>B</w:t>
      </w:r>
      <w:r w:rsidR="00475C79">
        <w:rPr>
          <w:szCs w:val="22"/>
        </w:rPr>
        <w:t xml:space="preserve"> of the Act and Section 73.503(d) of the Rules by airing commercials.  For these violations, CCF will pay a civil penalty to the United States Treasury of </w:t>
      </w:r>
      <w:r w:rsidR="0021350C">
        <w:rPr>
          <w:szCs w:val="22"/>
        </w:rPr>
        <w:t>twelve</w:t>
      </w:r>
      <w:r w:rsidR="00475C79">
        <w:rPr>
          <w:szCs w:val="22"/>
        </w:rPr>
        <w:t xml:space="preserve"> thousand </w:t>
      </w:r>
      <w:r w:rsidR="0021350C">
        <w:rPr>
          <w:szCs w:val="22"/>
        </w:rPr>
        <w:t>five hundred dollars ($12,5</w:t>
      </w:r>
      <w:r w:rsidR="00475C79">
        <w:rPr>
          <w:szCs w:val="22"/>
        </w:rPr>
        <w:t xml:space="preserve">00).  </w:t>
      </w:r>
    </w:p>
    <w:p w14:paraId="767927D2" w14:textId="44660BFA" w:rsidR="00D16952" w:rsidRPr="00475C79" w:rsidRDefault="00F369F2" w:rsidP="001259D9">
      <w:pPr>
        <w:pStyle w:val="ParaNum"/>
        <w:numPr>
          <w:ilvl w:val="0"/>
          <w:numId w:val="7"/>
        </w:numPr>
        <w:tabs>
          <w:tab w:val="clear" w:pos="1080"/>
          <w:tab w:val="num" w:pos="1440"/>
        </w:tabs>
        <w:rPr>
          <w:szCs w:val="22"/>
        </w:rPr>
      </w:pPr>
      <w:r>
        <w:rPr>
          <w:szCs w:val="22"/>
        </w:rPr>
        <w:lastRenderedPageBreak/>
        <w:t xml:space="preserve">We </w:t>
      </w:r>
      <w:r w:rsidR="0021350C">
        <w:rPr>
          <w:szCs w:val="22"/>
        </w:rPr>
        <w:t>conclude that nothing in the</w:t>
      </w:r>
      <w:r w:rsidR="00D16952" w:rsidRPr="00475C79">
        <w:rPr>
          <w:szCs w:val="22"/>
        </w:rPr>
        <w:t xml:space="preserve"> record </w:t>
      </w:r>
      <w:r w:rsidR="0021350C">
        <w:rPr>
          <w:szCs w:val="22"/>
        </w:rPr>
        <w:t xml:space="preserve">before us </w:t>
      </w:r>
      <w:r w:rsidR="00D16952" w:rsidRPr="00475C79">
        <w:rPr>
          <w:szCs w:val="22"/>
        </w:rPr>
        <w:t>creates a substantial or material question of fact whether CCF possesses the basic qualifications to be a Commission licensee.  A</w:t>
      </w:r>
      <w:r w:rsidR="00651968" w:rsidRPr="00475C79">
        <w:rPr>
          <w:szCs w:val="22"/>
        </w:rPr>
        <w:t xml:space="preserve">fter reviewing the terms of the Consent Decree, we find that the public interest would be served by </w:t>
      </w:r>
      <w:r w:rsidR="00D16952" w:rsidRPr="00475C79">
        <w:rPr>
          <w:szCs w:val="22"/>
        </w:rPr>
        <w:t>its approval</w:t>
      </w:r>
      <w:r w:rsidR="00651968" w:rsidRPr="00475C79">
        <w:rPr>
          <w:szCs w:val="22"/>
        </w:rPr>
        <w:t xml:space="preserve"> and </w:t>
      </w:r>
      <w:r w:rsidR="00D16952" w:rsidRPr="00475C79">
        <w:rPr>
          <w:szCs w:val="22"/>
        </w:rPr>
        <w:t>by terminating</w:t>
      </w:r>
      <w:r w:rsidR="00651968" w:rsidRPr="00475C79">
        <w:rPr>
          <w:szCs w:val="22"/>
        </w:rPr>
        <w:t xml:space="preserve"> the </w:t>
      </w:r>
      <w:r w:rsidR="00D16952" w:rsidRPr="00475C79">
        <w:rPr>
          <w:szCs w:val="22"/>
        </w:rPr>
        <w:t>Bureau’s</w:t>
      </w:r>
      <w:r w:rsidR="00651968" w:rsidRPr="00475C79">
        <w:rPr>
          <w:szCs w:val="22"/>
        </w:rPr>
        <w:t xml:space="preserve"> investigation </w:t>
      </w:r>
      <w:r w:rsidR="00D16952" w:rsidRPr="00475C79">
        <w:rPr>
          <w:szCs w:val="22"/>
        </w:rPr>
        <w:t xml:space="preserve">of </w:t>
      </w:r>
      <w:r w:rsidR="00475C79" w:rsidRPr="00475C79">
        <w:rPr>
          <w:szCs w:val="22"/>
        </w:rPr>
        <w:t>CCF’s violations</w:t>
      </w:r>
      <w:r w:rsidR="00D16952" w:rsidRPr="00475C79">
        <w:rPr>
          <w:szCs w:val="22"/>
        </w:rPr>
        <w:t xml:space="preserve"> of the </w:t>
      </w:r>
      <w:r w:rsidR="00475C79" w:rsidRPr="00475C79">
        <w:rPr>
          <w:szCs w:val="22"/>
        </w:rPr>
        <w:t>Act and Rules</w:t>
      </w:r>
      <w:r w:rsidR="00D16952" w:rsidRPr="00475C79">
        <w:rPr>
          <w:szCs w:val="22"/>
        </w:rPr>
        <w:t xml:space="preserve"> in connection with the Renewal Application and granting the Renewal Application, subject to the terms of the Consent Decree.  </w:t>
      </w:r>
      <w:r w:rsidR="00475C79">
        <w:rPr>
          <w:szCs w:val="22"/>
        </w:rPr>
        <w:t>We note that, g</w:t>
      </w:r>
      <w:r w:rsidR="00475C79" w:rsidRPr="00475C79">
        <w:rPr>
          <w:szCs w:val="22"/>
        </w:rPr>
        <w:t>iven CCF’s acknowledgment that it did – as Gerawan alleges – violate the law and rules governing underwriting announcements, we grant the Petition in part.  As provided in the Consent Decree,</w:t>
      </w:r>
      <w:r w:rsidR="00475C79">
        <w:rPr>
          <w:rStyle w:val="FootnoteReference"/>
          <w:szCs w:val="22"/>
        </w:rPr>
        <w:footnoteReference w:id="5"/>
      </w:r>
      <w:r w:rsidR="00475C79" w:rsidRPr="00475C79">
        <w:rPr>
          <w:szCs w:val="22"/>
        </w:rPr>
        <w:t xml:space="preserve"> </w:t>
      </w:r>
      <w:r w:rsidR="000E04A5">
        <w:rPr>
          <w:szCs w:val="22"/>
        </w:rPr>
        <w:t xml:space="preserve">however, </w:t>
      </w:r>
      <w:r w:rsidR="00475C79" w:rsidRPr="00475C79">
        <w:rPr>
          <w:szCs w:val="22"/>
        </w:rPr>
        <w:t xml:space="preserve">we otherwise deny the Petition.  </w:t>
      </w:r>
    </w:p>
    <w:p w14:paraId="20F98F6A" w14:textId="43F2D6D5" w:rsidR="00D16952" w:rsidRDefault="00026E0C" w:rsidP="00026E0C">
      <w:pPr>
        <w:pStyle w:val="ParaNum"/>
        <w:widowControl/>
        <w:numPr>
          <w:ilvl w:val="0"/>
          <w:numId w:val="7"/>
        </w:numPr>
        <w:tabs>
          <w:tab w:val="clear" w:pos="1080"/>
          <w:tab w:val="num" w:pos="1440"/>
        </w:tabs>
        <w:rPr>
          <w:szCs w:val="22"/>
        </w:rPr>
      </w:pPr>
      <w:r w:rsidRPr="0058223B">
        <w:rPr>
          <w:szCs w:val="22"/>
        </w:rPr>
        <w:t xml:space="preserve">Accordingly, </w:t>
      </w:r>
      <w:r w:rsidRPr="005B1540">
        <w:rPr>
          <w:szCs w:val="22"/>
        </w:rPr>
        <w:t>IT IS ORDERED</w:t>
      </w:r>
      <w:r w:rsidR="00D16952" w:rsidRPr="005B1540">
        <w:rPr>
          <w:szCs w:val="22"/>
        </w:rPr>
        <w:t xml:space="preserve"> that the Petition to Deny filed by Gerawan Farming Inc. </w:t>
      </w:r>
      <w:r w:rsidR="005B1540">
        <w:rPr>
          <w:szCs w:val="22"/>
        </w:rPr>
        <w:t>o</w:t>
      </w:r>
      <w:r w:rsidR="00D16952" w:rsidRPr="005B1540">
        <w:rPr>
          <w:szCs w:val="22"/>
        </w:rPr>
        <w:t xml:space="preserve">n </w:t>
      </w:r>
      <w:r w:rsidR="00475C79" w:rsidRPr="005B1540">
        <w:rPr>
          <w:szCs w:val="22"/>
        </w:rPr>
        <w:t>October 31, 2013</w:t>
      </w:r>
      <w:r w:rsidR="000B2B13">
        <w:rPr>
          <w:szCs w:val="22"/>
        </w:rPr>
        <w:t>,</w:t>
      </w:r>
      <w:r w:rsidR="00D16952" w:rsidRPr="005B1540">
        <w:rPr>
          <w:szCs w:val="22"/>
        </w:rPr>
        <w:t xml:space="preserve"> </w:t>
      </w:r>
      <w:r w:rsidR="00D16952">
        <w:rPr>
          <w:szCs w:val="22"/>
        </w:rPr>
        <w:t xml:space="preserve">IS </w:t>
      </w:r>
      <w:r w:rsidR="00475C79">
        <w:rPr>
          <w:szCs w:val="22"/>
        </w:rPr>
        <w:t xml:space="preserve">GRANTED IN PART and otherwise </w:t>
      </w:r>
      <w:r w:rsidR="00D16952">
        <w:rPr>
          <w:szCs w:val="22"/>
        </w:rPr>
        <w:t>DENIED.</w:t>
      </w:r>
    </w:p>
    <w:p w14:paraId="20FF8D2F" w14:textId="4C6180AB" w:rsidR="00026E0C" w:rsidRPr="005B1540" w:rsidRDefault="00D16952" w:rsidP="00026E0C">
      <w:pPr>
        <w:pStyle w:val="ParaNum"/>
        <w:widowControl/>
        <w:numPr>
          <w:ilvl w:val="0"/>
          <w:numId w:val="7"/>
        </w:numPr>
        <w:tabs>
          <w:tab w:val="clear" w:pos="1080"/>
          <w:tab w:val="num" w:pos="1440"/>
        </w:tabs>
        <w:rPr>
          <w:szCs w:val="22"/>
        </w:rPr>
      </w:pPr>
      <w:r w:rsidRPr="005B1540">
        <w:rPr>
          <w:szCs w:val="22"/>
        </w:rPr>
        <w:t xml:space="preserve">IT IS FURTHER ORDERED that, </w:t>
      </w:r>
      <w:r w:rsidR="00026E0C" w:rsidRPr="005B1540">
        <w:rPr>
          <w:szCs w:val="22"/>
        </w:rPr>
        <w:t>pursuant to Section 4(i)</w:t>
      </w:r>
      <w:r w:rsidR="00810831" w:rsidRPr="005B1540">
        <w:rPr>
          <w:szCs w:val="22"/>
        </w:rPr>
        <w:t xml:space="preserve"> </w:t>
      </w:r>
      <w:r w:rsidR="00026E0C" w:rsidRPr="005B1540">
        <w:rPr>
          <w:szCs w:val="22"/>
        </w:rPr>
        <w:t xml:space="preserve">of the </w:t>
      </w:r>
      <w:r w:rsidR="00FF5C2D" w:rsidRPr="005B1540">
        <w:rPr>
          <w:szCs w:val="22"/>
        </w:rPr>
        <w:t>Communications</w:t>
      </w:r>
      <w:r w:rsidR="009343D1" w:rsidRPr="005B1540">
        <w:rPr>
          <w:szCs w:val="22"/>
        </w:rPr>
        <w:t xml:space="preserve"> </w:t>
      </w:r>
      <w:r w:rsidR="00026E0C" w:rsidRPr="005B1540">
        <w:rPr>
          <w:szCs w:val="22"/>
        </w:rPr>
        <w:t>Act</w:t>
      </w:r>
      <w:r w:rsidR="009343D1" w:rsidRPr="005B1540">
        <w:rPr>
          <w:szCs w:val="22"/>
        </w:rPr>
        <w:t xml:space="preserve"> of 1934, as amended,</w:t>
      </w:r>
      <w:r w:rsidR="00026E0C" w:rsidRPr="005B1540">
        <w:rPr>
          <w:rStyle w:val="FootnoteReference"/>
          <w:sz w:val="22"/>
        </w:rPr>
        <w:footnoteReference w:id="6"/>
      </w:r>
      <w:r w:rsidR="00026E0C" w:rsidRPr="005B1540">
        <w:rPr>
          <w:szCs w:val="22"/>
        </w:rPr>
        <w:t xml:space="preserve"> and</w:t>
      </w:r>
      <w:r w:rsidR="009343D1" w:rsidRPr="005B1540">
        <w:rPr>
          <w:szCs w:val="22"/>
        </w:rPr>
        <w:t xml:space="preserve"> by</w:t>
      </w:r>
      <w:r w:rsidR="00026E0C" w:rsidRPr="005B1540">
        <w:rPr>
          <w:szCs w:val="22"/>
        </w:rPr>
        <w:t xml:space="preserve"> </w:t>
      </w:r>
      <w:r w:rsidR="00810831" w:rsidRPr="005B1540">
        <w:rPr>
          <w:szCs w:val="22"/>
        </w:rPr>
        <w:t xml:space="preserve">the authority delegated by </w:t>
      </w:r>
      <w:r w:rsidR="00026E0C" w:rsidRPr="005B1540">
        <w:rPr>
          <w:szCs w:val="22"/>
        </w:rPr>
        <w:t>Sections 0.</w:t>
      </w:r>
      <w:r w:rsidR="00FF5C2D">
        <w:rPr>
          <w:szCs w:val="22"/>
        </w:rPr>
        <w:t>61</w:t>
      </w:r>
      <w:r w:rsidR="00026E0C" w:rsidRPr="005B1540">
        <w:rPr>
          <w:szCs w:val="22"/>
        </w:rPr>
        <w:t xml:space="preserve"> and 0</w:t>
      </w:r>
      <w:r w:rsidR="009343D1" w:rsidRPr="005B1540">
        <w:rPr>
          <w:szCs w:val="22"/>
        </w:rPr>
        <w:t>.283</w:t>
      </w:r>
      <w:r w:rsidR="00026E0C" w:rsidRPr="005B1540">
        <w:rPr>
          <w:szCs w:val="22"/>
        </w:rPr>
        <w:t xml:space="preserve"> of the </w:t>
      </w:r>
      <w:r w:rsidR="009343D1" w:rsidRPr="005B1540">
        <w:rPr>
          <w:szCs w:val="22"/>
        </w:rPr>
        <w:t>Commission’s r</w:t>
      </w:r>
      <w:r w:rsidR="00026E0C" w:rsidRPr="005B1540">
        <w:rPr>
          <w:szCs w:val="22"/>
        </w:rPr>
        <w:t>ules,</w:t>
      </w:r>
      <w:r w:rsidR="00026E0C" w:rsidRPr="005B1540">
        <w:rPr>
          <w:rStyle w:val="FootnoteReference"/>
          <w:sz w:val="22"/>
        </w:rPr>
        <w:footnoteReference w:id="7"/>
      </w:r>
      <w:r w:rsidR="00026E0C" w:rsidRPr="005B1540">
        <w:rPr>
          <w:szCs w:val="22"/>
        </w:rPr>
        <w:t xml:space="preserve"> the Consent Decree</w:t>
      </w:r>
      <w:r w:rsidR="009343D1" w:rsidRPr="005B1540">
        <w:rPr>
          <w:szCs w:val="22"/>
        </w:rPr>
        <w:t xml:space="preserve"> attached hereto</w:t>
      </w:r>
      <w:r w:rsidR="00026E0C" w:rsidRPr="005B1540">
        <w:rPr>
          <w:szCs w:val="22"/>
        </w:rPr>
        <w:t xml:space="preserve"> IS ADOPTED.</w:t>
      </w:r>
    </w:p>
    <w:p w14:paraId="06D7F5FB" w14:textId="77777777" w:rsidR="00026E0C" w:rsidRPr="005B1540" w:rsidRDefault="00026E0C" w:rsidP="00026E0C">
      <w:pPr>
        <w:pStyle w:val="ParaNum"/>
        <w:numPr>
          <w:ilvl w:val="0"/>
          <w:numId w:val="7"/>
        </w:numPr>
        <w:tabs>
          <w:tab w:val="clear" w:pos="1080"/>
          <w:tab w:val="num" w:pos="1440"/>
        </w:tabs>
        <w:rPr>
          <w:szCs w:val="22"/>
        </w:rPr>
      </w:pPr>
      <w:r w:rsidRPr="005B1540">
        <w:rPr>
          <w:szCs w:val="22"/>
        </w:rPr>
        <w:t>IT IS FURTHER ORDERED that the investigation</w:t>
      </w:r>
      <w:r w:rsidR="009343D1" w:rsidRPr="005B1540">
        <w:rPr>
          <w:szCs w:val="22"/>
        </w:rPr>
        <w:t xml:space="preserve"> by the Media Bureau of the matters noted above </w:t>
      </w:r>
      <w:r w:rsidRPr="005B1540">
        <w:rPr>
          <w:szCs w:val="22"/>
        </w:rPr>
        <w:t>IS TERMINATED.</w:t>
      </w:r>
    </w:p>
    <w:p w14:paraId="2604509D" w14:textId="51C94FDB" w:rsidR="00026E0C" w:rsidRPr="0058223B" w:rsidRDefault="00026E0C" w:rsidP="00026E0C">
      <w:pPr>
        <w:pStyle w:val="ParaNum"/>
        <w:numPr>
          <w:ilvl w:val="0"/>
          <w:numId w:val="7"/>
        </w:numPr>
        <w:tabs>
          <w:tab w:val="clear" w:pos="1080"/>
          <w:tab w:val="num" w:pos="1440"/>
        </w:tabs>
        <w:rPr>
          <w:szCs w:val="22"/>
        </w:rPr>
      </w:pPr>
      <w:r w:rsidRPr="005B1540">
        <w:rPr>
          <w:szCs w:val="22"/>
        </w:rPr>
        <w:t xml:space="preserve">IT IS FURTHER ORDERED that </w:t>
      </w:r>
      <w:r w:rsidR="009343D1" w:rsidRPr="005B1540">
        <w:rPr>
          <w:szCs w:val="22"/>
        </w:rPr>
        <w:t>copies of this Order</w:t>
      </w:r>
      <w:r w:rsidRPr="005B1540">
        <w:rPr>
          <w:szCs w:val="22"/>
        </w:rPr>
        <w:t xml:space="preserve"> shall be sent by </w:t>
      </w:r>
      <w:r w:rsidR="009343D1" w:rsidRPr="005B1540">
        <w:rPr>
          <w:szCs w:val="22"/>
        </w:rPr>
        <w:t>F</w:t>
      </w:r>
      <w:r w:rsidR="00810831" w:rsidRPr="005B1540">
        <w:rPr>
          <w:szCs w:val="22"/>
        </w:rPr>
        <w:t xml:space="preserve">irst </w:t>
      </w:r>
      <w:r w:rsidR="009343D1" w:rsidRPr="005B1540">
        <w:rPr>
          <w:szCs w:val="22"/>
        </w:rPr>
        <w:t>C</w:t>
      </w:r>
      <w:r w:rsidR="00810831" w:rsidRPr="005B1540">
        <w:rPr>
          <w:szCs w:val="22"/>
        </w:rPr>
        <w:t xml:space="preserve">lass </w:t>
      </w:r>
      <w:r w:rsidR="003102C8" w:rsidRPr="005B1540">
        <w:rPr>
          <w:szCs w:val="22"/>
        </w:rPr>
        <w:t xml:space="preserve">and </w:t>
      </w:r>
      <w:r w:rsidR="009343D1" w:rsidRPr="005B1540">
        <w:rPr>
          <w:szCs w:val="22"/>
        </w:rPr>
        <w:t>C</w:t>
      </w:r>
      <w:r w:rsidR="003102C8" w:rsidRPr="005B1540">
        <w:rPr>
          <w:szCs w:val="22"/>
        </w:rPr>
        <w:t xml:space="preserve">ertified </w:t>
      </w:r>
      <w:r w:rsidR="009343D1" w:rsidRPr="005B1540">
        <w:rPr>
          <w:szCs w:val="22"/>
        </w:rPr>
        <w:t>M</w:t>
      </w:r>
      <w:r w:rsidR="003102C8" w:rsidRPr="005B1540">
        <w:rPr>
          <w:szCs w:val="22"/>
        </w:rPr>
        <w:t>ail</w:t>
      </w:r>
      <w:r w:rsidR="009343D1" w:rsidRPr="005B1540">
        <w:rPr>
          <w:szCs w:val="22"/>
        </w:rPr>
        <w:t>, R</w:t>
      </w:r>
      <w:r w:rsidR="00810831" w:rsidRPr="005B1540">
        <w:rPr>
          <w:szCs w:val="22"/>
        </w:rPr>
        <w:t xml:space="preserve">eturn </w:t>
      </w:r>
      <w:r w:rsidR="009343D1" w:rsidRPr="005B1540">
        <w:rPr>
          <w:szCs w:val="22"/>
        </w:rPr>
        <w:t>Receipt R</w:t>
      </w:r>
      <w:r w:rsidR="00810831" w:rsidRPr="005B1540">
        <w:rPr>
          <w:szCs w:val="22"/>
        </w:rPr>
        <w:t>equested,</w:t>
      </w:r>
      <w:r w:rsidRPr="005B1540">
        <w:rPr>
          <w:szCs w:val="22"/>
        </w:rPr>
        <w:t xml:space="preserve"> </w:t>
      </w:r>
      <w:r w:rsidR="003102C8" w:rsidRPr="005B1540">
        <w:rPr>
          <w:szCs w:val="22"/>
        </w:rPr>
        <w:t xml:space="preserve">to </w:t>
      </w:r>
      <w:r w:rsidR="009343D1" w:rsidRPr="005B1540">
        <w:rPr>
          <w:szCs w:val="22"/>
        </w:rPr>
        <w:t>Cesar Chavez Foundation,</w:t>
      </w:r>
      <w:r w:rsidR="00C76C64">
        <w:rPr>
          <w:szCs w:val="22"/>
        </w:rPr>
        <w:t xml:space="preserve"> </w:t>
      </w:r>
      <w:r w:rsidR="0025221D">
        <w:rPr>
          <w:szCs w:val="22"/>
        </w:rPr>
        <w:t>29700 Woodford Tehachapi Road, P.O. Box 62, Keene, CA 93531</w:t>
      </w:r>
      <w:r w:rsidR="009343D1" w:rsidRPr="005B1540">
        <w:rPr>
          <w:szCs w:val="22"/>
        </w:rPr>
        <w:t xml:space="preserve">, its </w:t>
      </w:r>
      <w:r w:rsidRPr="005B1540">
        <w:rPr>
          <w:szCs w:val="22"/>
        </w:rPr>
        <w:t>counsel,</w:t>
      </w:r>
      <w:r w:rsidR="004F4F1E">
        <w:rPr>
          <w:szCs w:val="22"/>
        </w:rPr>
        <w:t xml:space="preserve"> George Borsari, Jr., Esq., Borsari &amp; Paxson, 5335 Wisconsin Avenue,</w:t>
      </w:r>
      <w:r w:rsidR="00C7715E">
        <w:rPr>
          <w:szCs w:val="22"/>
        </w:rPr>
        <w:t xml:space="preserve"> N.W.,</w:t>
      </w:r>
      <w:r w:rsidR="004F4F1E">
        <w:rPr>
          <w:szCs w:val="22"/>
        </w:rPr>
        <w:t xml:space="preserve"> Suite 440, Washington, DC 20015</w:t>
      </w:r>
      <w:r w:rsidR="009343D1" w:rsidRPr="005B1540">
        <w:rPr>
          <w:szCs w:val="22"/>
        </w:rPr>
        <w:t>, and counsel</w:t>
      </w:r>
      <w:r w:rsidR="009343D1">
        <w:rPr>
          <w:szCs w:val="22"/>
        </w:rPr>
        <w:t xml:space="preserve"> for Gerawan Farming Inc., Scott Woodworth, Esq., Edinger Associates PLLC, 1875 I Street, N</w:t>
      </w:r>
      <w:r w:rsidR="00C7715E">
        <w:rPr>
          <w:szCs w:val="22"/>
        </w:rPr>
        <w:t>.</w:t>
      </w:r>
      <w:r w:rsidR="009343D1">
        <w:rPr>
          <w:szCs w:val="22"/>
        </w:rPr>
        <w:t>W</w:t>
      </w:r>
      <w:r w:rsidR="00C7715E">
        <w:rPr>
          <w:szCs w:val="22"/>
        </w:rPr>
        <w:t>.</w:t>
      </w:r>
      <w:r w:rsidR="009343D1">
        <w:rPr>
          <w:szCs w:val="22"/>
        </w:rPr>
        <w:t>, Suite 500, Washington, DC 20006</w:t>
      </w:r>
      <w:r w:rsidRPr="0058223B">
        <w:rPr>
          <w:szCs w:val="22"/>
        </w:rPr>
        <w:t xml:space="preserve">.  </w:t>
      </w:r>
    </w:p>
    <w:p w14:paraId="0E9553E1" w14:textId="77777777" w:rsidR="00026E0C" w:rsidRPr="0058223B" w:rsidRDefault="00026E0C" w:rsidP="00026E0C">
      <w:pPr>
        <w:rPr>
          <w:szCs w:val="22"/>
        </w:rPr>
      </w:pPr>
    </w:p>
    <w:p w14:paraId="11BFA519" w14:textId="77777777" w:rsidR="00026E0C" w:rsidRPr="0058223B" w:rsidRDefault="00026E0C" w:rsidP="00026E0C">
      <w:pPr>
        <w:tabs>
          <w:tab w:val="left" w:pos="4320"/>
        </w:tabs>
        <w:rPr>
          <w:szCs w:val="22"/>
        </w:rPr>
      </w:pPr>
      <w:r w:rsidRPr="0058223B">
        <w:rPr>
          <w:szCs w:val="22"/>
        </w:rPr>
        <w:tab/>
        <w:t>FEDERAL COMMUNICATIONS COMMISSION</w:t>
      </w:r>
    </w:p>
    <w:p w14:paraId="002D7911" w14:textId="77777777" w:rsidR="00026E0C" w:rsidRPr="0058223B" w:rsidRDefault="00026E0C" w:rsidP="00026E0C">
      <w:pPr>
        <w:tabs>
          <w:tab w:val="left" w:pos="4320"/>
        </w:tabs>
        <w:rPr>
          <w:szCs w:val="22"/>
        </w:rPr>
      </w:pPr>
    </w:p>
    <w:p w14:paraId="6B8A3181" w14:textId="77777777" w:rsidR="00026E0C" w:rsidRPr="0058223B" w:rsidRDefault="00026E0C" w:rsidP="00026E0C">
      <w:pPr>
        <w:tabs>
          <w:tab w:val="left" w:pos="4320"/>
        </w:tabs>
        <w:rPr>
          <w:szCs w:val="22"/>
        </w:rPr>
      </w:pPr>
    </w:p>
    <w:p w14:paraId="2F9A01C6" w14:textId="77777777" w:rsidR="00026E0C" w:rsidRPr="0058223B" w:rsidRDefault="00026E0C" w:rsidP="00026E0C">
      <w:pPr>
        <w:tabs>
          <w:tab w:val="left" w:pos="4320"/>
        </w:tabs>
        <w:rPr>
          <w:szCs w:val="22"/>
        </w:rPr>
      </w:pPr>
    </w:p>
    <w:p w14:paraId="4242DDF9" w14:textId="77777777" w:rsidR="003102C8" w:rsidRDefault="00026E0C" w:rsidP="00F97309">
      <w:pPr>
        <w:tabs>
          <w:tab w:val="left" w:pos="4320"/>
        </w:tabs>
        <w:rPr>
          <w:szCs w:val="22"/>
        </w:rPr>
      </w:pPr>
      <w:r w:rsidRPr="0058223B">
        <w:rPr>
          <w:szCs w:val="22"/>
        </w:rPr>
        <w:tab/>
      </w:r>
    </w:p>
    <w:p w14:paraId="1A4A7985" w14:textId="77777777" w:rsidR="00522103" w:rsidRPr="00F97309" w:rsidRDefault="003102C8" w:rsidP="00F97309">
      <w:pPr>
        <w:tabs>
          <w:tab w:val="left" w:pos="4320"/>
        </w:tabs>
      </w:pPr>
      <w:r>
        <w:rPr>
          <w:szCs w:val="22"/>
        </w:rPr>
        <w:tab/>
      </w:r>
      <w:r w:rsidR="00236E90">
        <w:t>William T. Lake</w:t>
      </w:r>
    </w:p>
    <w:p w14:paraId="3624918C" w14:textId="77777777" w:rsidR="00026E0C" w:rsidRDefault="00236E90" w:rsidP="00795A4A">
      <w:pPr>
        <w:pStyle w:val="MediumGrid21"/>
        <w:ind w:firstLine="4320"/>
        <w:rPr>
          <w:sz w:val="22"/>
          <w:szCs w:val="22"/>
        </w:rPr>
      </w:pPr>
      <w:r>
        <w:rPr>
          <w:sz w:val="22"/>
          <w:szCs w:val="22"/>
        </w:rPr>
        <w:t>Chief</w:t>
      </w:r>
    </w:p>
    <w:p w14:paraId="68B9E8C8" w14:textId="16C23382" w:rsidR="00850A0D" w:rsidRPr="00E96463" w:rsidRDefault="00236E90" w:rsidP="00E96463">
      <w:pPr>
        <w:pStyle w:val="MediumGrid21"/>
        <w:ind w:firstLine="4320"/>
        <w:rPr>
          <w:szCs w:val="22"/>
        </w:rPr>
        <w:sectPr w:rsidR="00850A0D" w:rsidRPr="00E96463" w:rsidSect="00E014B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docGrid w:linePitch="299"/>
        </w:sectPr>
      </w:pPr>
      <w:r>
        <w:rPr>
          <w:sz w:val="22"/>
          <w:szCs w:val="22"/>
        </w:rPr>
        <w:t>Media</w:t>
      </w:r>
      <w:r w:rsidR="00E96463">
        <w:rPr>
          <w:sz w:val="22"/>
          <w:szCs w:val="22"/>
        </w:rPr>
        <w:t xml:space="preserve"> Bureau</w:t>
      </w:r>
    </w:p>
    <w:p w14:paraId="6125D75F" w14:textId="77777777" w:rsidR="003C3D5C" w:rsidRDefault="003C3D5C" w:rsidP="005F150C">
      <w:pPr>
        <w:tabs>
          <w:tab w:val="left" w:pos="4320"/>
        </w:tabs>
        <w:rPr>
          <w:szCs w:val="22"/>
        </w:rPr>
        <w:sectPr w:rsidR="003C3D5C" w:rsidSect="00E014BC">
          <w:endnotePr>
            <w:numFmt w:val="decimal"/>
          </w:endnotePr>
          <w:pgSz w:w="12240" w:h="15840"/>
          <w:pgMar w:top="1440" w:right="1440" w:bottom="1440" w:left="1440" w:header="720" w:footer="720" w:gutter="0"/>
          <w:pgNumType w:start="1"/>
          <w:cols w:space="720"/>
          <w:noEndnote/>
          <w:titlePg/>
          <w:docGrid w:linePitch="299"/>
        </w:sectPr>
      </w:pPr>
    </w:p>
    <w:p w14:paraId="4A3FE664" w14:textId="77777777" w:rsidR="00C55AD5" w:rsidRDefault="00C55AD5" w:rsidP="00C55AD5">
      <w:pPr>
        <w:tabs>
          <w:tab w:val="left" w:pos="4320"/>
        </w:tabs>
        <w:rPr>
          <w:szCs w:val="22"/>
        </w:rPr>
        <w:sectPr w:rsidR="00C55AD5" w:rsidSect="00C55AD5">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440" w:right="1440" w:bottom="1440" w:left="1440" w:header="720" w:footer="720" w:gutter="0"/>
          <w:pgNumType w:start="1"/>
          <w:cols w:space="720"/>
          <w:noEndnote/>
          <w:titlePg/>
          <w:docGrid w:linePitch="299"/>
        </w:sectPr>
      </w:pPr>
    </w:p>
    <w:p w14:paraId="107655EF" w14:textId="77777777" w:rsidR="00C55AD5" w:rsidRPr="0058223B" w:rsidRDefault="00C55AD5" w:rsidP="00C55AD5">
      <w:pPr>
        <w:pStyle w:val="StyleBoldCentered"/>
        <w:rPr>
          <w:rFonts w:ascii="Times New Roman" w:hAnsi="Times New Roman"/>
        </w:rPr>
      </w:pPr>
      <w:r w:rsidRPr="0058223B">
        <w:rPr>
          <w:rFonts w:ascii="Times New Roman" w:hAnsi="Times New Roman"/>
        </w:rPr>
        <w:t>consent decree</w:t>
      </w:r>
    </w:p>
    <w:p w14:paraId="26CB6FDE" w14:textId="77777777" w:rsidR="00C55AD5" w:rsidRPr="0058223B" w:rsidRDefault="00C55AD5" w:rsidP="00C55AD5">
      <w:pPr>
        <w:pStyle w:val="StyleBoldCentered"/>
        <w:rPr>
          <w:rFonts w:ascii="Times New Roman" w:hAnsi="Times New Roman"/>
        </w:rPr>
      </w:pPr>
    </w:p>
    <w:p w14:paraId="658F5A68" w14:textId="77777777" w:rsidR="00C55AD5" w:rsidRDefault="00C55AD5" w:rsidP="00C55AD5">
      <w:pPr>
        <w:pStyle w:val="Heading1"/>
      </w:pPr>
      <w:r>
        <w:t>introduction</w:t>
      </w:r>
    </w:p>
    <w:p w14:paraId="478C41EA" w14:textId="77777777" w:rsidR="00C55AD5" w:rsidRPr="00C55AD5" w:rsidRDefault="00C55AD5" w:rsidP="00C55AD5">
      <w:pPr>
        <w:pStyle w:val="ParaNum"/>
        <w:numPr>
          <w:ilvl w:val="0"/>
          <w:numId w:val="69"/>
        </w:numPr>
        <w:tabs>
          <w:tab w:val="clear" w:pos="1080"/>
        </w:tabs>
        <w:rPr>
          <w:szCs w:val="22"/>
        </w:rPr>
      </w:pPr>
      <w:r w:rsidRPr="00C55AD5">
        <w:rPr>
          <w:szCs w:val="22"/>
        </w:rPr>
        <w:t>This Consent Decree is entered into by and between the Bureau and Licensee, by their respective authorized representatives, for the purpose of resolving certain issues related to whether Licensee violated Section 399B of the Act and Section 73.503(d) of the Rules with regard to the Station.</w:t>
      </w:r>
    </w:p>
    <w:p w14:paraId="6AC98AB1" w14:textId="77777777" w:rsidR="00C55AD5" w:rsidRPr="0058223B" w:rsidRDefault="00C55AD5" w:rsidP="00C55AD5">
      <w:pPr>
        <w:pStyle w:val="Heading1"/>
        <w:rPr>
          <w:rFonts w:ascii="Times New Roman" w:hAnsi="Times New Roman"/>
          <w:szCs w:val="22"/>
        </w:rPr>
      </w:pPr>
      <w:r w:rsidRPr="0058223B">
        <w:rPr>
          <w:rFonts w:ascii="Times New Roman" w:hAnsi="Times New Roman"/>
          <w:szCs w:val="22"/>
        </w:rPr>
        <w:t>Definitions</w:t>
      </w:r>
    </w:p>
    <w:p w14:paraId="50DA9C97" w14:textId="77777777" w:rsidR="00C55AD5" w:rsidRPr="0058223B" w:rsidRDefault="00C55AD5" w:rsidP="00C55AD5">
      <w:pPr>
        <w:pStyle w:val="ParaNum"/>
        <w:tabs>
          <w:tab w:val="clear" w:pos="1440"/>
        </w:tabs>
        <w:rPr>
          <w:szCs w:val="22"/>
        </w:rPr>
      </w:pPr>
      <w:r w:rsidRPr="0058223B">
        <w:rPr>
          <w:szCs w:val="22"/>
        </w:rPr>
        <w:t>For the purposes of this Consent Decree, the following definitions shall apply:</w:t>
      </w:r>
    </w:p>
    <w:p w14:paraId="6DB62318" w14:textId="77777777" w:rsidR="00C55AD5" w:rsidRPr="0058223B" w:rsidRDefault="00C55AD5" w:rsidP="00C55AD5">
      <w:pPr>
        <w:numPr>
          <w:ilvl w:val="0"/>
          <w:numId w:val="4"/>
        </w:numPr>
        <w:tabs>
          <w:tab w:val="clear" w:pos="3960"/>
        </w:tabs>
        <w:spacing w:after="120"/>
        <w:ind w:left="1890"/>
        <w:rPr>
          <w:szCs w:val="22"/>
        </w:rPr>
      </w:pPr>
      <w:r w:rsidRPr="0058223B">
        <w:rPr>
          <w:szCs w:val="22"/>
        </w:rPr>
        <w:t>“Act” means the Communications Act of 1934, as amended</w:t>
      </w:r>
      <w:r>
        <w:rPr>
          <w:szCs w:val="22"/>
        </w:rPr>
        <w:t>.</w:t>
      </w:r>
      <w:r>
        <w:rPr>
          <w:rStyle w:val="FootnoteReference"/>
          <w:szCs w:val="22"/>
        </w:rPr>
        <w:footnoteReference w:id="8"/>
      </w:r>
    </w:p>
    <w:p w14:paraId="7F6D528A" w14:textId="77777777" w:rsidR="00C55AD5" w:rsidRPr="0058223B" w:rsidRDefault="00C55AD5" w:rsidP="00C55AD5">
      <w:pPr>
        <w:numPr>
          <w:ilvl w:val="0"/>
          <w:numId w:val="4"/>
        </w:numPr>
        <w:tabs>
          <w:tab w:val="clear" w:pos="3960"/>
        </w:tabs>
        <w:spacing w:after="120"/>
        <w:ind w:left="1890"/>
        <w:rPr>
          <w:szCs w:val="22"/>
        </w:rPr>
      </w:pPr>
      <w:r w:rsidRPr="0058223B">
        <w:rPr>
          <w:szCs w:val="22"/>
        </w:rPr>
        <w:t xml:space="preserve">“Bureau” means the </w:t>
      </w:r>
      <w:r>
        <w:rPr>
          <w:szCs w:val="22"/>
        </w:rPr>
        <w:t>Media</w:t>
      </w:r>
      <w:r w:rsidRPr="0058223B">
        <w:rPr>
          <w:szCs w:val="22"/>
        </w:rPr>
        <w:t xml:space="preserve"> Bureau of the Federal Communications Commission.</w:t>
      </w:r>
    </w:p>
    <w:p w14:paraId="20047E08" w14:textId="77777777" w:rsidR="00C55AD5" w:rsidRPr="0058223B" w:rsidRDefault="00C55AD5" w:rsidP="00C55AD5">
      <w:pPr>
        <w:numPr>
          <w:ilvl w:val="0"/>
          <w:numId w:val="4"/>
        </w:numPr>
        <w:tabs>
          <w:tab w:val="clear" w:pos="3960"/>
        </w:tabs>
        <w:spacing w:after="120"/>
        <w:ind w:left="1890"/>
        <w:rPr>
          <w:szCs w:val="22"/>
        </w:rPr>
      </w:pPr>
      <w:r w:rsidRPr="0058223B">
        <w:rPr>
          <w:szCs w:val="22"/>
        </w:rPr>
        <w:t xml:space="preserve">“Commission” </w:t>
      </w:r>
      <w:r>
        <w:rPr>
          <w:szCs w:val="22"/>
        </w:rPr>
        <w:t>or</w:t>
      </w:r>
      <w:r w:rsidRPr="0058223B">
        <w:rPr>
          <w:szCs w:val="22"/>
        </w:rPr>
        <w:t xml:space="preserve"> “FCC” mean</w:t>
      </w:r>
      <w:r>
        <w:rPr>
          <w:szCs w:val="22"/>
        </w:rPr>
        <w:t>s</w:t>
      </w:r>
      <w:r w:rsidRPr="0058223B">
        <w:rPr>
          <w:szCs w:val="22"/>
        </w:rPr>
        <w:t xml:space="preserve"> the Federal Communications Commission.</w:t>
      </w:r>
    </w:p>
    <w:p w14:paraId="6763C328" w14:textId="77777777" w:rsidR="00C55AD5" w:rsidRPr="00236E90" w:rsidRDefault="00C55AD5" w:rsidP="00C55AD5">
      <w:pPr>
        <w:numPr>
          <w:ilvl w:val="0"/>
          <w:numId w:val="4"/>
        </w:numPr>
        <w:tabs>
          <w:tab w:val="clear" w:pos="3960"/>
        </w:tabs>
        <w:spacing w:after="120"/>
        <w:ind w:left="1890"/>
        <w:rPr>
          <w:szCs w:val="22"/>
        </w:rPr>
      </w:pPr>
      <w:r w:rsidRPr="00236E90">
        <w:rPr>
          <w:szCs w:val="22"/>
        </w:rPr>
        <w:t>“Communications Laws” means</w:t>
      </w:r>
      <w:r>
        <w:rPr>
          <w:szCs w:val="22"/>
        </w:rPr>
        <w:t>,</w:t>
      </w:r>
      <w:r w:rsidRPr="00236E90">
        <w:rPr>
          <w:szCs w:val="22"/>
        </w:rPr>
        <w:t xml:space="preserve"> collectively, the Act, the Rules, and the published and promulgated orders and decisions of the Commission to which each Commission licensee is subject by virtue of its being a Commission licensee, including but not limited to the Underwriting Laws.</w:t>
      </w:r>
    </w:p>
    <w:p w14:paraId="7942D5F5" w14:textId="77777777" w:rsidR="00C55AD5" w:rsidRDefault="00C55AD5" w:rsidP="00C55AD5">
      <w:pPr>
        <w:numPr>
          <w:ilvl w:val="0"/>
          <w:numId w:val="4"/>
        </w:numPr>
        <w:tabs>
          <w:tab w:val="clear" w:pos="3960"/>
        </w:tabs>
        <w:spacing w:after="120"/>
        <w:ind w:left="1890"/>
        <w:rPr>
          <w:szCs w:val="22"/>
        </w:rPr>
      </w:pPr>
      <w:r w:rsidRPr="0058223B">
        <w:rPr>
          <w:szCs w:val="22"/>
        </w:rPr>
        <w:t xml:space="preserve">“Effective Date” means the date </w:t>
      </w:r>
      <w:r>
        <w:rPr>
          <w:szCs w:val="22"/>
        </w:rPr>
        <w:t>on which the Bureau releases the Order</w:t>
      </w:r>
      <w:r w:rsidRPr="0058223B">
        <w:rPr>
          <w:szCs w:val="22"/>
        </w:rPr>
        <w:t>.</w:t>
      </w:r>
    </w:p>
    <w:p w14:paraId="1416FE95" w14:textId="77777777" w:rsidR="00C55AD5" w:rsidRPr="0058223B" w:rsidRDefault="00C55AD5" w:rsidP="00C55AD5">
      <w:pPr>
        <w:numPr>
          <w:ilvl w:val="0"/>
          <w:numId w:val="4"/>
        </w:numPr>
        <w:tabs>
          <w:tab w:val="clear" w:pos="3960"/>
        </w:tabs>
        <w:spacing w:after="120"/>
        <w:ind w:left="1890"/>
        <w:rPr>
          <w:szCs w:val="22"/>
        </w:rPr>
      </w:pPr>
      <w:r>
        <w:rPr>
          <w:szCs w:val="22"/>
        </w:rPr>
        <w:t>“Execution Date” means the date on which this Consent Decree is executed by the last of the Parties to do so.</w:t>
      </w:r>
    </w:p>
    <w:p w14:paraId="5131673B" w14:textId="77777777" w:rsidR="00C55AD5" w:rsidRDefault="00C55AD5" w:rsidP="00C55AD5">
      <w:pPr>
        <w:numPr>
          <w:ilvl w:val="0"/>
          <w:numId w:val="4"/>
        </w:numPr>
        <w:tabs>
          <w:tab w:val="clear" w:pos="3960"/>
        </w:tabs>
        <w:spacing w:after="120"/>
        <w:ind w:left="1890"/>
        <w:rPr>
          <w:szCs w:val="22"/>
        </w:rPr>
      </w:pPr>
      <w:r>
        <w:rPr>
          <w:szCs w:val="22"/>
        </w:rPr>
        <w:t>“Licensee” means Cesar Chavez Foundation.</w:t>
      </w:r>
    </w:p>
    <w:p w14:paraId="6F5218C0" w14:textId="77777777" w:rsidR="00C55AD5" w:rsidRDefault="00C55AD5" w:rsidP="00C55AD5">
      <w:pPr>
        <w:numPr>
          <w:ilvl w:val="0"/>
          <w:numId w:val="4"/>
        </w:numPr>
        <w:tabs>
          <w:tab w:val="clear" w:pos="3960"/>
        </w:tabs>
        <w:spacing w:after="120"/>
        <w:ind w:left="1890"/>
        <w:rPr>
          <w:szCs w:val="22"/>
        </w:rPr>
      </w:pPr>
      <w:r>
        <w:rPr>
          <w:szCs w:val="22"/>
        </w:rPr>
        <w:t>“Order” means the Order of the Bureau adopting this Consent Decree.</w:t>
      </w:r>
    </w:p>
    <w:p w14:paraId="3B8C612E" w14:textId="77777777" w:rsidR="00C55AD5" w:rsidRPr="0058223B" w:rsidRDefault="00C55AD5" w:rsidP="00C55AD5">
      <w:pPr>
        <w:numPr>
          <w:ilvl w:val="0"/>
          <w:numId w:val="4"/>
        </w:numPr>
        <w:tabs>
          <w:tab w:val="clear" w:pos="3960"/>
        </w:tabs>
        <w:spacing w:after="120"/>
        <w:ind w:left="1890"/>
        <w:rPr>
          <w:szCs w:val="22"/>
        </w:rPr>
      </w:pPr>
      <w:r w:rsidRPr="0058223B">
        <w:rPr>
          <w:szCs w:val="22"/>
        </w:rPr>
        <w:t>“Parties” means</w:t>
      </w:r>
      <w:r>
        <w:rPr>
          <w:szCs w:val="22"/>
        </w:rPr>
        <w:t xml:space="preserve"> the</w:t>
      </w:r>
      <w:r w:rsidRPr="0058223B">
        <w:rPr>
          <w:szCs w:val="22"/>
        </w:rPr>
        <w:t xml:space="preserve"> </w:t>
      </w:r>
      <w:r>
        <w:rPr>
          <w:szCs w:val="22"/>
        </w:rPr>
        <w:t>Licensee</w:t>
      </w:r>
      <w:r w:rsidRPr="0058223B">
        <w:rPr>
          <w:szCs w:val="22"/>
        </w:rPr>
        <w:t xml:space="preserve"> and the Bureau, each of which is a “Party.”</w:t>
      </w:r>
    </w:p>
    <w:p w14:paraId="1378FD0D" w14:textId="77777777" w:rsidR="00C55AD5" w:rsidRDefault="00C55AD5" w:rsidP="00C55AD5">
      <w:pPr>
        <w:numPr>
          <w:ilvl w:val="0"/>
          <w:numId w:val="4"/>
        </w:numPr>
        <w:tabs>
          <w:tab w:val="clear" w:pos="3960"/>
        </w:tabs>
        <w:spacing w:after="120"/>
        <w:ind w:left="1890"/>
        <w:rPr>
          <w:szCs w:val="22"/>
        </w:rPr>
      </w:pPr>
      <w:r>
        <w:rPr>
          <w:szCs w:val="22"/>
        </w:rPr>
        <w:t>“Petition” means the Petition to Deny filed by Gerawan Farming Inc. on October 31, 2013, alleging violations of the Underwriting Laws.</w:t>
      </w:r>
    </w:p>
    <w:p w14:paraId="23909F4F" w14:textId="77777777" w:rsidR="00C55AD5" w:rsidRDefault="00C55AD5" w:rsidP="00C55AD5">
      <w:pPr>
        <w:numPr>
          <w:ilvl w:val="0"/>
          <w:numId w:val="4"/>
        </w:numPr>
        <w:tabs>
          <w:tab w:val="clear" w:pos="3960"/>
        </w:tabs>
        <w:spacing w:after="120"/>
        <w:ind w:left="1890"/>
        <w:rPr>
          <w:szCs w:val="22"/>
        </w:rPr>
      </w:pPr>
      <w:r>
        <w:rPr>
          <w:szCs w:val="22"/>
        </w:rPr>
        <w:t>“Renewal Application” means the pending application for the renewal of the Station’s license (File No. BRED-20130723ABI).</w:t>
      </w:r>
    </w:p>
    <w:p w14:paraId="7E3C6D64" w14:textId="77777777" w:rsidR="00C55AD5" w:rsidRPr="0058223B" w:rsidRDefault="00C55AD5" w:rsidP="00C55AD5">
      <w:pPr>
        <w:numPr>
          <w:ilvl w:val="0"/>
          <w:numId w:val="4"/>
        </w:numPr>
        <w:tabs>
          <w:tab w:val="clear" w:pos="3960"/>
        </w:tabs>
        <w:spacing w:after="120"/>
        <w:ind w:left="1890"/>
        <w:rPr>
          <w:szCs w:val="22"/>
        </w:rPr>
      </w:pPr>
      <w:r w:rsidRPr="0058223B">
        <w:rPr>
          <w:szCs w:val="22"/>
        </w:rPr>
        <w:t xml:space="preserve">“Rules” means the Commission’s </w:t>
      </w:r>
      <w:r>
        <w:rPr>
          <w:szCs w:val="22"/>
        </w:rPr>
        <w:t>rules,</w:t>
      </w:r>
      <w:r w:rsidRPr="0058223B">
        <w:rPr>
          <w:szCs w:val="22"/>
        </w:rPr>
        <w:t xml:space="preserve"> found in Title 47 of the Code of Federal Regulations.</w:t>
      </w:r>
    </w:p>
    <w:p w14:paraId="6F3D9168" w14:textId="77777777" w:rsidR="00C55AD5" w:rsidRDefault="00C55AD5" w:rsidP="00C55AD5">
      <w:pPr>
        <w:numPr>
          <w:ilvl w:val="0"/>
          <w:numId w:val="4"/>
        </w:numPr>
        <w:tabs>
          <w:tab w:val="clear" w:pos="3960"/>
        </w:tabs>
        <w:spacing w:after="120"/>
        <w:ind w:left="1890"/>
        <w:rPr>
          <w:szCs w:val="22"/>
        </w:rPr>
      </w:pPr>
      <w:r w:rsidRPr="0058223B">
        <w:rPr>
          <w:szCs w:val="22"/>
        </w:rPr>
        <w:t xml:space="preserve">“Station” means </w:t>
      </w:r>
      <w:r>
        <w:rPr>
          <w:szCs w:val="22"/>
        </w:rPr>
        <w:t>noncommercial educational station KUFW(FM), Woodlake, California</w:t>
      </w:r>
      <w:r w:rsidRPr="0058223B">
        <w:rPr>
          <w:szCs w:val="22"/>
        </w:rPr>
        <w:t xml:space="preserve"> (Facility ID </w:t>
      </w:r>
      <w:r>
        <w:rPr>
          <w:szCs w:val="22"/>
        </w:rPr>
        <w:t>21210</w:t>
      </w:r>
      <w:r w:rsidRPr="0058223B">
        <w:rPr>
          <w:szCs w:val="22"/>
        </w:rPr>
        <w:t>).</w:t>
      </w:r>
    </w:p>
    <w:p w14:paraId="28003B31" w14:textId="77777777" w:rsidR="00C55AD5" w:rsidRDefault="00C55AD5" w:rsidP="00C55AD5">
      <w:pPr>
        <w:numPr>
          <w:ilvl w:val="0"/>
          <w:numId w:val="4"/>
        </w:numPr>
        <w:tabs>
          <w:tab w:val="clear" w:pos="3960"/>
        </w:tabs>
        <w:spacing w:after="120"/>
        <w:ind w:left="1890"/>
        <w:rPr>
          <w:szCs w:val="22"/>
        </w:rPr>
      </w:pPr>
      <w:r w:rsidRPr="003C2176">
        <w:rPr>
          <w:szCs w:val="22"/>
        </w:rPr>
        <w:t>“Underwriting Laws” means, individual</w:t>
      </w:r>
      <w:r>
        <w:rPr>
          <w:szCs w:val="22"/>
        </w:rPr>
        <w:t>ly or collectively, Section 399B</w:t>
      </w:r>
      <w:r w:rsidRPr="003C2176">
        <w:rPr>
          <w:szCs w:val="22"/>
        </w:rPr>
        <w:t xml:space="preserve"> of the Act, Section 73.</w:t>
      </w:r>
      <w:r>
        <w:rPr>
          <w:szCs w:val="22"/>
        </w:rPr>
        <w:t>503(d)</w:t>
      </w:r>
      <w:r w:rsidRPr="003C2176">
        <w:rPr>
          <w:szCs w:val="22"/>
        </w:rPr>
        <w:t xml:space="preserve"> of the Rules,</w:t>
      </w:r>
      <w:r w:rsidRPr="00CB74F9">
        <w:rPr>
          <w:rStyle w:val="FootnoteReference"/>
          <w:sz w:val="22"/>
        </w:rPr>
        <w:footnoteReference w:id="9"/>
      </w:r>
      <w:r w:rsidRPr="003C2176">
        <w:rPr>
          <w:szCs w:val="22"/>
        </w:rPr>
        <w:t xml:space="preserve"> and the decisions and orders of the Commission interpreting these provisions.</w:t>
      </w:r>
    </w:p>
    <w:p w14:paraId="2BEB9CBF" w14:textId="77777777" w:rsidR="00C55AD5" w:rsidRPr="003C2176" w:rsidRDefault="00C55AD5" w:rsidP="00C55AD5">
      <w:pPr>
        <w:widowControl/>
        <w:numPr>
          <w:ilvl w:val="0"/>
          <w:numId w:val="4"/>
        </w:numPr>
        <w:tabs>
          <w:tab w:val="clear" w:pos="3960"/>
        </w:tabs>
        <w:spacing w:after="120"/>
        <w:ind w:left="1886"/>
        <w:rPr>
          <w:szCs w:val="22"/>
        </w:rPr>
      </w:pPr>
      <w:r>
        <w:rPr>
          <w:szCs w:val="22"/>
        </w:rPr>
        <w:t>“Violations” means violations of the Underwriting Laws related to the Station’s broadcast of many, but not all, of the underwriting announcements identified in the Petition.</w:t>
      </w:r>
    </w:p>
    <w:p w14:paraId="08E90BFB" w14:textId="77777777" w:rsidR="00C55AD5" w:rsidRPr="00E014BC" w:rsidRDefault="00C55AD5" w:rsidP="00C55AD5">
      <w:pPr>
        <w:pStyle w:val="Heading1"/>
      </w:pPr>
      <w:r w:rsidRPr="00E014BC">
        <w:t>background</w:t>
      </w:r>
    </w:p>
    <w:p w14:paraId="6F7D3F53" w14:textId="77777777" w:rsidR="00C55AD5" w:rsidRDefault="00C55AD5" w:rsidP="00C55AD5">
      <w:pPr>
        <w:pStyle w:val="ParaNum"/>
        <w:tabs>
          <w:tab w:val="clear" w:pos="1440"/>
        </w:tabs>
        <w:rPr>
          <w:szCs w:val="22"/>
        </w:rPr>
      </w:pPr>
      <w:r>
        <w:rPr>
          <w:szCs w:val="22"/>
        </w:rPr>
        <w:t>The Underwriting Laws define advertisements as program material broadcast “in exchange for any remuneration” and intended to “promote any service, facility, or product,” of for-profit entities.</w:t>
      </w:r>
      <w:r>
        <w:rPr>
          <w:szCs w:val="22"/>
          <w:vertAlign w:val="superscript"/>
        </w:rPr>
        <w:footnoteReference w:id="10"/>
      </w:r>
      <w:r>
        <w:rPr>
          <w:szCs w:val="22"/>
        </w:rPr>
        <w:t xml:space="preserve">  Section 399B(b)(2) of the Act specifically provides that noncommercial educational stations may not broadcast advertisements.</w:t>
      </w:r>
      <w:r>
        <w:rPr>
          <w:szCs w:val="22"/>
          <w:vertAlign w:val="superscript"/>
        </w:rPr>
        <w:footnoteReference w:id="11"/>
      </w:r>
      <w:r>
        <w:rPr>
          <w:szCs w:val="22"/>
        </w:rPr>
        <w:t xml:space="preserve">  Although contributors of funds to such stations may receive on-air acknowledgements of their support, the Commission has held that such acknowledgements are for identification purposes only, and must not promote the contributors’ products, services, or businesses.</w:t>
      </w:r>
      <w:r>
        <w:rPr>
          <w:szCs w:val="22"/>
          <w:vertAlign w:val="superscript"/>
        </w:rPr>
        <w:footnoteReference w:id="12"/>
      </w:r>
      <w:r>
        <w:rPr>
          <w:szCs w:val="22"/>
        </w:rPr>
        <w:t xml:space="preserve">  Specifically, such </w:t>
      </w:r>
      <w:r w:rsidRPr="007B4B9E">
        <w:t>announcements</w:t>
      </w:r>
      <w:r>
        <w:rPr>
          <w:szCs w:val="22"/>
        </w:rPr>
        <w:t xml:space="preserve"> must not contain comparative or qualitative descriptions, price information, calls to action, or inducements to buy, sell, rent, or lease.</w:t>
      </w:r>
      <w:r>
        <w:rPr>
          <w:szCs w:val="22"/>
          <w:vertAlign w:val="superscript"/>
        </w:rPr>
        <w:footnoteReference w:id="13"/>
      </w:r>
      <w:r>
        <w:rPr>
          <w:szCs w:val="22"/>
        </w:rPr>
        <w:t xml:space="preserve">  </w:t>
      </w:r>
    </w:p>
    <w:p w14:paraId="32F33443" w14:textId="77777777" w:rsidR="00C55AD5" w:rsidRDefault="00C55AD5" w:rsidP="00C55AD5">
      <w:pPr>
        <w:pStyle w:val="ParaNum"/>
        <w:tabs>
          <w:tab w:val="clear" w:pos="1440"/>
        </w:tabs>
        <w:rPr>
          <w:szCs w:val="22"/>
        </w:rPr>
      </w:pPr>
      <w:r>
        <w:rPr>
          <w:szCs w:val="22"/>
        </w:rPr>
        <w:t xml:space="preserve">On July 23, 2013, Licensee filed the Renewal Application for the Station.  The Petition was filed against the Renewal Application on </w:t>
      </w:r>
      <w:r w:rsidRPr="008E7C19">
        <w:rPr>
          <w:szCs w:val="22"/>
        </w:rPr>
        <w:t>October 31, 2013.</w:t>
      </w:r>
      <w:r>
        <w:rPr>
          <w:b/>
          <w:szCs w:val="22"/>
        </w:rPr>
        <w:t xml:space="preserve">  </w:t>
      </w:r>
      <w:r>
        <w:rPr>
          <w:szCs w:val="22"/>
        </w:rPr>
        <w:t>It alleges</w:t>
      </w:r>
      <w:r w:rsidRPr="005051FA">
        <w:rPr>
          <w:szCs w:val="22"/>
        </w:rPr>
        <w:t xml:space="preserve"> Licensee violated the Underwriting Laws by airing </w:t>
      </w:r>
      <w:r>
        <w:rPr>
          <w:szCs w:val="22"/>
        </w:rPr>
        <w:t>advertisements</w:t>
      </w:r>
      <w:r w:rsidRPr="005051FA">
        <w:rPr>
          <w:szCs w:val="22"/>
        </w:rPr>
        <w:t xml:space="preserve"> on the Station.</w:t>
      </w:r>
      <w:r>
        <w:rPr>
          <w:szCs w:val="22"/>
        </w:rPr>
        <w:t xml:space="preserve">  Upon investigation of these allegations, the Bureau determined that Licensee violated the Underwriting Laws when it aired many of the announcements identified in the Petition.  In light of this compliance issue, the Parties have agreed to enter into this Consent Decree, by which both Licensee and the Bureau intend to be legally bound.  </w:t>
      </w:r>
    </w:p>
    <w:p w14:paraId="3728B167" w14:textId="77777777" w:rsidR="00C55AD5" w:rsidRDefault="00C55AD5" w:rsidP="00C55AD5">
      <w:pPr>
        <w:pStyle w:val="Heading1"/>
        <w:rPr>
          <w:szCs w:val="22"/>
        </w:rPr>
      </w:pPr>
      <w:r>
        <w:t>AGREEMENT</w:t>
      </w:r>
    </w:p>
    <w:p w14:paraId="2F2A85B3" w14:textId="77777777" w:rsidR="00C55AD5" w:rsidRPr="00ED0D15" w:rsidRDefault="00C55AD5" w:rsidP="00C55AD5">
      <w:pPr>
        <w:pStyle w:val="ParaNum"/>
        <w:tabs>
          <w:tab w:val="clear" w:pos="1440"/>
        </w:tabs>
        <w:rPr>
          <w:szCs w:val="22"/>
          <w:u w:val="single"/>
        </w:rPr>
      </w:pPr>
      <w:r>
        <w:rPr>
          <w:szCs w:val="22"/>
        </w:rPr>
        <w:t>The Parties acknowledge that any proceeding that might result from the Bureau’s investigation of Licensee’s violation of the Underwriting Laws could be time-consuming and require substantial expenditure of public and private resources.  In order to conserve such resources, resolve the matter, and promote Licensee’s compliance with the Underwriting Laws, the Parties are entering into this Consent Decree, in consideration of the mutual commitments made herein.</w:t>
      </w:r>
    </w:p>
    <w:p w14:paraId="0D57F03C" w14:textId="77777777" w:rsidR="00C55AD5" w:rsidRDefault="00C55AD5" w:rsidP="00C55AD5">
      <w:pPr>
        <w:pStyle w:val="ParaNum"/>
        <w:tabs>
          <w:tab w:val="clear" w:pos="1440"/>
        </w:tabs>
        <w:rPr>
          <w:szCs w:val="22"/>
        </w:rPr>
      </w:pPr>
      <w:r w:rsidRPr="00ED0D15">
        <w:rPr>
          <w:szCs w:val="22"/>
        </w:rPr>
        <w:t>The Par</w:t>
      </w:r>
      <w:r>
        <w:rPr>
          <w:szCs w:val="22"/>
        </w:rPr>
        <w:t>ties agree to be legally bound by the terms and conditions of this Consent Decree.  Both Licensee and the Bureau each represent and warrant that its signatory is duly authorized to enter into this Consent Decree on its behalf.  Licensee agrees that the Bureau has jurisdiction over it and the matters contained in the Consent Decree.</w:t>
      </w:r>
    </w:p>
    <w:p w14:paraId="01A7D6DD" w14:textId="77777777" w:rsidR="00C55AD5" w:rsidRPr="0058223B" w:rsidRDefault="00C55AD5" w:rsidP="00C55AD5">
      <w:pPr>
        <w:pStyle w:val="ParaNum"/>
        <w:tabs>
          <w:tab w:val="clear" w:pos="1440"/>
        </w:tabs>
        <w:rPr>
          <w:color w:val="000000"/>
          <w:szCs w:val="22"/>
        </w:rPr>
      </w:pPr>
      <w:r>
        <w:rPr>
          <w:szCs w:val="22"/>
        </w:rPr>
        <w:t>The Parties agree and acknowledge that this Consent Decree shall constitute a final settlement between Licensee and the Bureau concerning the Violations at the Station, as discussed herein.</w:t>
      </w:r>
      <w:r w:rsidRPr="00570BB8">
        <w:rPr>
          <w:b/>
          <w:szCs w:val="22"/>
          <w:u w:val="single"/>
        </w:rPr>
        <w:t xml:space="preserve"> </w:t>
      </w:r>
    </w:p>
    <w:p w14:paraId="1EEA7E15" w14:textId="77777777" w:rsidR="00C55AD5" w:rsidRPr="00E014BC" w:rsidRDefault="00C55AD5" w:rsidP="00C55AD5">
      <w:pPr>
        <w:pStyle w:val="ParaNum"/>
        <w:tabs>
          <w:tab w:val="clear" w:pos="1440"/>
        </w:tabs>
        <w:rPr>
          <w:szCs w:val="22"/>
        </w:rPr>
      </w:pPr>
      <w:r w:rsidRPr="0058223B">
        <w:rPr>
          <w:szCs w:val="22"/>
        </w:rPr>
        <w:t xml:space="preserve">In express reliance on the covenants and representations in this Consent Decree, the Bureau agrees </w:t>
      </w:r>
      <w:r>
        <w:rPr>
          <w:szCs w:val="22"/>
        </w:rPr>
        <w:t>that it will not use the Violations in any action against Licensee, provided that Licensee satisfies all of its obligations under this Consent Decree</w:t>
      </w:r>
      <w:r w:rsidRPr="0058223B">
        <w:rPr>
          <w:szCs w:val="22"/>
        </w:rPr>
        <w:t xml:space="preserve">.  </w:t>
      </w:r>
      <w:r>
        <w:rPr>
          <w:szCs w:val="22"/>
        </w:rPr>
        <w:t>In the event that Licensee fails to satisfy any of its obligations under this Consent Decree, the Bureau may take any enforcement action available pursuant to the Act and the Rules with respect to the Violations, and or the violation of this Consent Decree</w:t>
      </w:r>
      <w:r w:rsidRPr="0058223B">
        <w:rPr>
          <w:szCs w:val="22"/>
        </w:rPr>
        <w:t>.</w:t>
      </w:r>
    </w:p>
    <w:p w14:paraId="24F39C09" w14:textId="77777777" w:rsidR="00C55AD5" w:rsidRPr="00260F77" w:rsidRDefault="00C55AD5" w:rsidP="00C55AD5">
      <w:pPr>
        <w:pStyle w:val="ParaNum"/>
        <w:tabs>
          <w:tab w:val="clear" w:pos="1440"/>
        </w:tabs>
        <w:rPr>
          <w:rStyle w:val="CommentReference"/>
          <w:rFonts w:eastAsia="MS Mincho"/>
          <w:sz w:val="22"/>
          <w:szCs w:val="22"/>
        </w:rPr>
      </w:pPr>
      <w:r w:rsidRPr="00260F77">
        <w:rPr>
          <w:rStyle w:val="CommentReference"/>
          <w:sz w:val="22"/>
          <w:szCs w:val="22"/>
        </w:rPr>
        <w:t>As part of the Order, the Bureau shall terminate its investigation of the Violations and grant the Petition in part and deny it in all other respects.</w:t>
      </w:r>
    </w:p>
    <w:p w14:paraId="30B5D149" w14:textId="77777777" w:rsidR="00C55AD5" w:rsidRPr="00283B74" w:rsidRDefault="00C55AD5" w:rsidP="00C55AD5">
      <w:pPr>
        <w:pStyle w:val="ParaNum"/>
        <w:rPr>
          <w:rStyle w:val="CommentReference"/>
          <w:rFonts w:eastAsia="MS Mincho"/>
          <w:sz w:val="22"/>
        </w:rPr>
      </w:pPr>
      <w:r w:rsidRPr="00283B74">
        <w:t>Lice</w:t>
      </w:r>
      <w:r>
        <w:t xml:space="preserve">nsee stipulates that </w:t>
      </w:r>
      <w:r>
        <w:rPr>
          <w:rFonts w:eastAsia="MS Mincho"/>
        </w:rPr>
        <w:t xml:space="preserve">it broadcast advertisements on the Station in violation of </w:t>
      </w:r>
      <w:r w:rsidRPr="00283B74">
        <w:rPr>
          <w:rFonts w:eastAsia="MS Mincho"/>
        </w:rPr>
        <w:t>the Underwriting Laws</w:t>
      </w:r>
      <w:r w:rsidRPr="00283B74">
        <w:rPr>
          <w:rStyle w:val="CommentReference"/>
        </w:rPr>
        <w:t>.</w:t>
      </w:r>
    </w:p>
    <w:p w14:paraId="4A2AAEB4" w14:textId="77777777" w:rsidR="00C55AD5" w:rsidRDefault="00C55AD5" w:rsidP="00C55AD5">
      <w:pPr>
        <w:pStyle w:val="ParaNum"/>
        <w:rPr>
          <w:rFonts w:eastAsia="MS Mincho"/>
        </w:rPr>
      </w:pPr>
      <w:r>
        <w:rPr>
          <w:rFonts w:eastAsia="MS Mincho"/>
        </w:rPr>
        <w:t xml:space="preserve">In light of its significant violations of the Underwriting Laws during the subject license term, Licensee agrees to pay a civil penalty to the United States Treasury in the amount of twelve thousand five hundred dollars ($12,500) within thirty (30) calendar days after the Effective Date.  Licensee will also send electronic notification of payment to </w:t>
      </w:r>
      <w:r w:rsidRPr="00B331DD">
        <w:rPr>
          <w:rFonts w:eastAsia="MS Mincho"/>
        </w:rPr>
        <w:t>Heather.Dixon@fcc.gov</w:t>
      </w:r>
      <w:r>
        <w:rPr>
          <w:rFonts w:eastAsia="MS Mincho"/>
        </w:rPr>
        <w:t xml:space="preserve"> on the date said payment is made.  Such payment will be made without further protest or recourse to a </w:t>
      </w:r>
      <w:r>
        <w:rPr>
          <w:rFonts w:eastAsia="MS Mincho"/>
          <w:i/>
        </w:rPr>
        <w:t>trial de novo</w:t>
      </w:r>
      <w:r>
        <w:rPr>
          <w:rFonts w:eastAsia="MS Mincho"/>
        </w:rPr>
        <w:t xml:space="preserve">, by a check or similar instrument, wire transfer or credit card and must include the Account Number and FRN referenced in the caption to the </w:t>
      </w:r>
      <w:r w:rsidRPr="005F2B81">
        <w:rPr>
          <w:rFonts w:eastAsia="MS Mincho"/>
        </w:rPr>
        <w:t>Order</w:t>
      </w:r>
      <w:r>
        <w:rPr>
          <w:rFonts w:eastAsia="MS Mincho"/>
        </w:rPr>
        <w:t>.  Regardless of the form of payment, a completed FCC Form 159 (Remittance Advice) must be submitted.  When completing the FCC Form 159, enter the Account Number in block number 23A (call sign/other ID) and enter the letters “FORF” in block number 24A (payment type code).  Below are additional instructions that should be followed based on the form of payment selected.</w:t>
      </w:r>
    </w:p>
    <w:p w14:paraId="627D1507" w14:textId="77777777" w:rsidR="00C55AD5" w:rsidRPr="00EA3ED5" w:rsidRDefault="00C55AD5" w:rsidP="00C55AD5">
      <w:pPr>
        <w:pStyle w:val="ParaNum"/>
        <w:numPr>
          <w:ilvl w:val="0"/>
          <w:numId w:val="68"/>
        </w:numPr>
        <w:ind w:left="1440" w:hanging="300"/>
        <w:rPr>
          <w:rFonts w:eastAsia="MS Mincho"/>
        </w:rPr>
      </w:pPr>
      <w:r>
        <w:rPr>
          <w:rFonts w:eastAsia="MS Mincho"/>
        </w:rPr>
        <w:t xml:space="preserve">Payment by check or money order must be made payable to the order of the Federal Communications Commission.  Such payments (along with the completed FCC Form 159) must </w:t>
      </w:r>
      <w:r w:rsidRPr="00885CF1">
        <w:rPr>
          <w:rFonts w:eastAsia="MS Mincho"/>
          <w:szCs w:val="22"/>
        </w:rPr>
        <w:t>be mailed to Federal Communications Commission, at P.O. Box 979088, St. Louis, MO 63197-9000</w:t>
      </w:r>
      <w:r>
        <w:rPr>
          <w:rFonts w:eastAsia="MS Mincho"/>
          <w:szCs w:val="22"/>
        </w:rPr>
        <w:t>, or sent via</w:t>
      </w:r>
      <w:r w:rsidRPr="00885CF1">
        <w:rPr>
          <w:rFonts w:eastAsia="MS Mincho"/>
          <w:szCs w:val="22"/>
        </w:rPr>
        <w:t xml:space="preserve"> overnight mail to U.S. Bank -- Government Lockbox # 979088, SL-MO-C2-GL, 1005 Convention Plaza, St. Louis, MO 63101. </w:t>
      </w:r>
    </w:p>
    <w:p w14:paraId="739CA9C5" w14:textId="77777777" w:rsidR="00C55AD5" w:rsidRPr="00EA3ED5" w:rsidRDefault="00C55AD5" w:rsidP="00C55AD5">
      <w:pPr>
        <w:pStyle w:val="ParaNum"/>
        <w:numPr>
          <w:ilvl w:val="0"/>
          <w:numId w:val="68"/>
        </w:numPr>
        <w:ind w:left="1440" w:hanging="300"/>
        <w:rPr>
          <w:rFonts w:eastAsia="MS Mincho"/>
        </w:rPr>
      </w:pPr>
      <w:r w:rsidRPr="00885CF1">
        <w:rPr>
          <w:rFonts w:eastAsia="MS Mincho"/>
          <w:szCs w:val="22"/>
        </w:rPr>
        <w:t xml:space="preserve">Payment by wire transfer </w:t>
      </w:r>
      <w:r>
        <w:rPr>
          <w:rFonts w:eastAsia="MS Mincho"/>
          <w:szCs w:val="22"/>
        </w:rPr>
        <w:t>must</w:t>
      </w:r>
      <w:r w:rsidRPr="00885CF1">
        <w:rPr>
          <w:rFonts w:eastAsia="MS Mincho"/>
          <w:szCs w:val="22"/>
        </w:rPr>
        <w:t xml:space="preserve"> be made to ABA Number 021030004</w:t>
      </w:r>
      <w:r>
        <w:rPr>
          <w:rFonts w:eastAsia="MS Mincho"/>
          <w:szCs w:val="22"/>
        </w:rPr>
        <w:t>, receiving</w:t>
      </w:r>
      <w:r w:rsidRPr="00885CF1">
        <w:rPr>
          <w:rFonts w:eastAsia="MS Mincho"/>
          <w:szCs w:val="22"/>
        </w:rPr>
        <w:t xml:space="preserve"> bank: TREAS NYC, and </w:t>
      </w:r>
      <w:r>
        <w:rPr>
          <w:rFonts w:eastAsia="MS Mincho"/>
          <w:szCs w:val="22"/>
        </w:rPr>
        <w:t>A</w:t>
      </w:r>
      <w:r w:rsidRPr="00885CF1">
        <w:rPr>
          <w:rFonts w:eastAsia="MS Mincho"/>
          <w:szCs w:val="22"/>
        </w:rPr>
        <w:t xml:space="preserve">ccount </w:t>
      </w:r>
      <w:r>
        <w:rPr>
          <w:rFonts w:eastAsia="MS Mincho"/>
          <w:szCs w:val="22"/>
        </w:rPr>
        <w:t>N</w:t>
      </w:r>
      <w:r w:rsidRPr="00885CF1">
        <w:rPr>
          <w:rFonts w:eastAsia="MS Mincho"/>
          <w:szCs w:val="22"/>
        </w:rPr>
        <w:t xml:space="preserve">umber </w:t>
      </w:r>
      <w:r>
        <w:rPr>
          <w:rFonts w:eastAsia="MS Mincho"/>
          <w:szCs w:val="22"/>
        </w:rPr>
        <w:t>27000001.  To complete the wire transfer and ensure appropriate crediting of the wired funds, a completed FCC Form 159 must be faxed to U.S. Bank at (314) 418-4232 on the same business day the wire transfer is initiated.</w:t>
      </w:r>
    </w:p>
    <w:p w14:paraId="5C29F0E9" w14:textId="77777777" w:rsidR="00C55AD5" w:rsidRPr="00885CF1" w:rsidRDefault="00C55AD5" w:rsidP="00C55AD5">
      <w:pPr>
        <w:pStyle w:val="ParaNum"/>
        <w:numPr>
          <w:ilvl w:val="0"/>
          <w:numId w:val="68"/>
        </w:numPr>
        <w:ind w:left="1440" w:hanging="300"/>
        <w:rPr>
          <w:rFonts w:eastAsia="MS Mincho"/>
        </w:rPr>
      </w:pPr>
      <w:r>
        <w:rPr>
          <w:rFonts w:eastAsia="MS Mincho"/>
          <w:szCs w:val="22"/>
        </w:rPr>
        <w:t>Payment by credit card must be made by providing the required credit card information on FCC Form 159 and signing and dating the FCC Form 159 to authorize the credit card payment.  The completed FCC Form 159 must then be mailed to the Federal Communications Commission, P.O. Box 979088, St. Louis, MO 63197-9000, or sent via overnight mail to U.S. Bank – Government Lockbox #979088, SL-MO-C2-GL, 1005 Convention Plaza, St. Louis, MO 63101.</w:t>
      </w:r>
    </w:p>
    <w:p w14:paraId="500C0EB5" w14:textId="77777777" w:rsidR="00C55AD5" w:rsidRPr="00EC7887" w:rsidRDefault="00C55AD5" w:rsidP="00C55AD5">
      <w:pPr>
        <w:pStyle w:val="ParaNum"/>
      </w:pPr>
      <w:r>
        <w:t xml:space="preserve">The Bureau agrees to grant the Renewal Application, after the Effective Date, provided that the following conditions have been met:  </w:t>
      </w:r>
      <w:r w:rsidRPr="00FA1216">
        <w:rPr>
          <w:szCs w:val="22"/>
        </w:rPr>
        <w:t xml:space="preserve">(1) Licensee has fully and timely satisfied its obligation to pay the civil penalty referenced in paragraph </w:t>
      </w:r>
      <w:r w:rsidRPr="00FF5C2D">
        <w:rPr>
          <w:szCs w:val="22"/>
        </w:rPr>
        <w:t>11</w:t>
      </w:r>
      <w:r w:rsidRPr="00FA1216">
        <w:rPr>
          <w:szCs w:val="22"/>
        </w:rPr>
        <w:t xml:space="preserve"> of this</w:t>
      </w:r>
      <w:r>
        <w:rPr>
          <w:szCs w:val="22"/>
        </w:rPr>
        <w:t xml:space="preserve"> Consent</w:t>
      </w:r>
      <w:r w:rsidRPr="00FA1216">
        <w:rPr>
          <w:szCs w:val="22"/>
        </w:rPr>
        <w:t xml:space="preserve"> Decree; and (2) there are no issues other than the Violations that would preclude grant of the </w:t>
      </w:r>
      <w:r>
        <w:rPr>
          <w:szCs w:val="22"/>
        </w:rPr>
        <w:t>R</w:t>
      </w:r>
      <w:r w:rsidRPr="00FA1216">
        <w:rPr>
          <w:szCs w:val="22"/>
        </w:rPr>
        <w:t xml:space="preserve">enewal </w:t>
      </w:r>
      <w:r>
        <w:rPr>
          <w:szCs w:val="22"/>
        </w:rPr>
        <w:t>A</w:t>
      </w:r>
      <w:r w:rsidRPr="00FA1216">
        <w:rPr>
          <w:szCs w:val="22"/>
        </w:rPr>
        <w:t xml:space="preserve">pplication. </w:t>
      </w:r>
    </w:p>
    <w:p w14:paraId="799D1D74" w14:textId="77777777" w:rsidR="00C55AD5" w:rsidRPr="00335578" w:rsidRDefault="00C55AD5" w:rsidP="00C55AD5">
      <w:pPr>
        <w:pStyle w:val="ParaNum"/>
      </w:pPr>
      <w:r>
        <w:t>Licensee represents that it has reached an agreement with</w:t>
      </w:r>
      <w:r>
        <w:rPr>
          <w:b/>
        </w:rPr>
        <w:t xml:space="preserve"> </w:t>
      </w:r>
      <w:r w:rsidRPr="00335578">
        <w:t xml:space="preserve">Educational Media Foundation </w:t>
      </w:r>
      <w:r>
        <w:t xml:space="preserve">to swap the Station </w:t>
      </w:r>
      <w:r w:rsidRPr="00335578">
        <w:t xml:space="preserve">for KVPW(FM), Kingsburg, California, a commercial station operating in the same geographic area.  </w:t>
      </w:r>
      <w:r>
        <w:t xml:space="preserve">Subject to receiving any necessary prior Commission approval (which Licensee agrees to use its best efforts to obtain), </w:t>
      </w:r>
      <w:r w:rsidRPr="00335578">
        <w:t xml:space="preserve">Licensee agrees to assign the Station’s license to Educational Media Foundation or otherwise divest the Station no later than six (6) months after the Effective Date.  </w:t>
      </w:r>
    </w:p>
    <w:p w14:paraId="1B7FD3F8" w14:textId="77777777" w:rsidR="00C55AD5" w:rsidRDefault="00C55AD5" w:rsidP="00C55AD5">
      <w:pPr>
        <w:pStyle w:val="ParaNum"/>
      </w:pPr>
      <w:r w:rsidRPr="0016123E">
        <w:t xml:space="preserve">Licensee agrees that it is required to comply with each individual condition of this Consent Decree. Each specific condition is a separate condition of the Consent Decree as approved. To the extent that Licensee fails to satisfy any condition or Commission Rule, in the absence of Commission alteration of the condition or Rule, it will be deemed noncompliant and may be subject to possible enforcement action, including, but not limited to, revocation of this </w:t>
      </w:r>
      <w:r>
        <w:t xml:space="preserve">Consent Decree, designation of </w:t>
      </w:r>
      <w:r w:rsidRPr="0016123E">
        <w:t>the matter for hearing, letters of admonishment and/or forfeitures.</w:t>
      </w:r>
    </w:p>
    <w:p w14:paraId="11F38911" w14:textId="77777777" w:rsidR="00C55AD5" w:rsidRDefault="00C55AD5" w:rsidP="00C55AD5">
      <w:pPr>
        <w:pStyle w:val="ParaNum"/>
        <w:rPr>
          <w:szCs w:val="22"/>
        </w:rPr>
      </w:pPr>
      <w:r w:rsidRPr="0016123E">
        <w:rPr>
          <w:szCs w:val="22"/>
        </w:rPr>
        <w:t>The Consent Decree will be binding on Licensee</w:t>
      </w:r>
      <w:r>
        <w:rPr>
          <w:szCs w:val="22"/>
        </w:rPr>
        <w:t>’</w:t>
      </w:r>
      <w:r w:rsidRPr="0016123E">
        <w:rPr>
          <w:szCs w:val="22"/>
        </w:rPr>
        <w:t>s successors-in-interest and assigns. Licensee agrees that any future application to assign or transfer control of the Station will include a statement executed by an authorized representative of the proposed assignee or transferee consenting to assumption of the responsibilities and duties set forth in this Consent Decree with regard to the Station.</w:t>
      </w:r>
    </w:p>
    <w:p w14:paraId="46DE1EF4" w14:textId="77777777" w:rsidR="00C55AD5" w:rsidRPr="0016123E" w:rsidRDefault="00C55AD5" w:rsidP="00C55AD5">
      <w:pPr>
        <w:pStyle w:val="ParaNum"/>
        <w:rPr>
          <w:szCs w:val="22"/>
        </w:rPr>
      </w:pPr>
      <w:r w:rsidRPr="0016123E">
        <w:rPr>
          <w:szCs w:val="22"/>
        </w:rPr>
        <w:t>Licensee waives any and all rights it may have to seek administrative or judicial reconsideration, review, appeal, or stay, or to otherwise challenge the validity of this Consent Decree and the Order, provided the Order adopts the Consent Decree without change, addition or modification.</w:t>
      </w:r>
    </w:p>
    <w:p w14:paraId="52563EF2" w14:textId="77777777" w:rsidR="00C55AD5" w:rsidRDefault="00C55AD5" w:rsidP="00C55AD5">
      <w:pPr>
        <w:pStyle w:val="ParaNum"/>
        <w:rPr>
          <w:szCs w:val="22"/>
        </w:rPr>
      </w:pPr>
      <w:r w:rsidRPr="0016123E">
        <w:rPr>
          <w:szCs w:val="22"/>
        </w:rPr>
        <w:t>Licensee agrees to waive any claims it may otherwise have under the Equal Access to Justice Act, 5 U.S.C. Section 504 and 47 CFR Section 1.1501 et seq., relating to the matters discussed in this Consent Decree.</w:t>
      </w:r>
    </w:p>
    <w:p w14:paraId="51B9AE9E" w14:textId="77777777" w:rsidR="00C55AD5" w:rsidRPr="0016123E" w:rsidRDefault="00C55AD5" w:rsidP="00C55AD5">
      <w:pPr>
        <w:pStyle w:val="ParaNum"/>
        <w:rPr>
          <w:szCs w:val="22"/>
        </w:rPr>
      </w:pPr>
      <w:r w:rsidRPr="0016123E">
        <w:rPr>
          <w:szCs w:val="22"/>
        </w:rPr>
        <w:t xml:space="preserve">Licensee and the Bureau agree that if Licensee, the Commission or the United States on behalf of the Commission, brings a judicial action to enforce the terms of the Order adopting this Consent Decree, neither Licensee nor the Commission will contest the validity of the Consent Decree or Order, and Licensee and the Commission will waive any statutory right to a trial </w:t>
      </w:r>
      <w:r w:rsidRPr="00570BB8">
        <w:rPr>
          <w:i/>
          <w:szCs w:val="22"/>
        </w:rPr>
        <w:t>de novo</w:t>
      </w:r>
      <w:r w:rsidRPr="0016123E">
        <w:rPr>
          <w:szCs w:val="22"/>
        </w:rPr>
        <w:t xml:space="preserve"> with respect to any matter upon which the Order is based (provided in each case that the Order is limited to adopting the Consent Decree without change, addition, or modification), and will consent to a judgment incorporating the terms of this Consent Decree.</w:t>
      </w:r>
    </w:p>
    <w:p w14:paraId="5B6CC208" w14:textId="77777777" w:rsidR="00C55AD5" w:rsidRPr="0016123E" w:rsidRDefault="00C55AD5" w:rsidP="00C55AD5">
      <w:pPr>
        <w:pStyle w:val="ParaNum"/>
        <w:rPr>
          <w:szCs w:val="22"/>
        </w:rPr>
      </w:pPr>
      <w:r w:rsidRPr="0016123E">
        <w:rPr>
          <w:szCs w:val="22"/>
        </w:rPr>
        <w:t xml:space="preserve">Licensee and the Bureau agree that the effectiveness of this Consent Decree is expressly contingent upon issuance of the Order, provided the Order adopts </w:t>
      </w:r>
      <w:r>
        <w:rPr>
          <w:szCs w:val="22"/>
        </w:rPr>
        <w:t>the</w:t>
      </w:r>
      <w:r w:rsidRPr="0016123E">
        <w:rPr>
          <w:szCs w:val="22"/>
        </w:rPr>
        <w:t xml:space="preserve"> Consent Decree without change, addition or modification.</w:t>
      </w:r>
    </w:p>
    <w:p w14:paraId="765C968D" w14:textId="77777777" w:rsidR="00C55AD5" w:rsidRPr="0016123E" w:rsidRDefault="00C55AD5" w:rsidP="00C55AD5">
      <w:pPr>
        <w:pStyle w:val="ParaNum"/>
        <w:rPr>
          <w:szCs w:val="22"/>
        </w:rPr>
      </w:pPr>
      <w:r w:rsidRPr="0016123E">
        <w:rPr>
          <w:szCs w:val="22"/>
        </w:rPr>
        <w:t>Licensee and the Bureau agree that, in the event that this Consent Decree is rendered invalid by any court of competent jurisdiction, it will become null and void and may not be used in any manner in any legal proceeding.</w:t>
      </w:r>
    </w:p>
    <w:p w14:paraId="5908A3C5" w14:textId="77777777" w:rsidR="00C55AD5" w:rsidRPr="00570BB8" w:rsidRDefault="00C55AD5" w:rsidP="00C55AD5">
      <w:pPr>
        <w:pStyle w:val="ParaNum"/>
        <w:rPr>
          <w:szCs w:val="22"/>
        </w:rPr>
      </w:pPr>
      <w:r w:rsidRPr="00570BB8">
        <w:rPr>
          <w:szCs w:val="22"/>
        </w:rPr>
        <w:t>This Consent Decree may be signed in counterparts and/or by telecopy and, when so executed, the counterparts, taken together, will constitute a legally binding and enforceable instrument whether executed by telecopy or by original signatures.</w:t>
      </w:r>
    </w:p>
    <w:p w14:paraId="3B7FA2D8" w14:textId="77777777" w:rsidR="00C55AD5" w:rsidRPr="0058223B" w:rsidRDefault="00C55AD5" w:rsidP="00C55AD5">
      <w:pPr>
        <w:pStyle w:val="par1"/>
        <w:tabs>
          <w:tab w:val="clear" w:pos="1080"/>
        </w:tabs>
        <w:ind w:firstLine="0"/>
        <w:rPr>
          <w:szCs w:val="22"/>
        </w:rPr>
      </w:pPr>
    </w:p>
    <w:p w14:paraId="2A970FFD" w14:textId="77777777" w:rsidR="00C55AD5" w:rsidRPr="0058223B" w:rsidRDefault="00C55AD5" w:rsidP="00C55AD5">
      <w:pPr>
        <w:pStyle w:val="MediumGrid21"/>
        <w:ind w:firstLine="4320"/>
        <w:rPr>
          <w:szCs w:val="22"/>
        </w:rPr>
      </w:pPr>
      <w:r w:rsidRPr="0058223B">
        <w:rPr>
          <w:sz w:val="22"/>
          <w:szCs w:val="22"/>
        </w:rPr>
        <w:t>FEDERAL COMMUNICATIONS COMMISSION</w:t>
      </w:r>
    </w:p>
    <w:p w14:paraId="004D1662" w14:textId="77777777" w:rsidR="00C55AD5" w:rsidRPr="0058223B" w:rsidRDefault="00C55AD5" w:rsidP="00C55AD5">
      <w:pPr>
        <w:rPr>
          <w:szCs w:val="22"/>
        </w:rPr>
      </w:pPr>
    </w:p>
    <w:p w14:paraId="28606D4B" w14:textId="77777777" w:rsidR="00C55AD5" w:rsidRPr="0058223B" w:rsidRDefault="00C55AD5" w:rsidP="00C55AD5">
      <w:pPr>
        <w:ind w:firstLine="4320"/>
        <w:jc w:val="center"/>
        <w:rPr>
          <w:szCs w:val="22"/>
        </w:rPr>
      </w:pPr>
    </w:p>
    <w:p w14:paraId="164D98DD" w14:textId="77777777" w:rsidR="00C55AD5" w:rsidRPr="0058223B" w:rsidRDefault="00C55AD5" w:rsidP="00C55AD5">
      <w:pPr>
        <w:pStyle w:val="MediumGrid21"/>
        <w:ind w:firstLine="4320"/>
        <w:rPr>
          <w:szCs w:val="22"/>
        </w:rPr>
      </w:pPr>
      <w:r w:rsidRPr="0058223B">
        <w:rPr>
          <w:sz w:val="22"/>
          <w:szCs w:val="22"/>
        </w:rPr>
        <w:t>___________________________</w:t>
      </w:r>
    </w:p>
    <w:p w14:paraId="39EE0424" w14:textId="77777777" w:rsidR="00C55AD5" w:rsidRDefault="00C55AD5" w:rsidP="00C55AD5">
      <w:pPr>
        <w:pStyle w:val="MediumGrid21"/>
        <w:ind w:firstLine="4320"/>
        <w:rPr>
          <w:sz w:val="22"/>
          <w:szCs w:val="22"/>
        </w:rPr>
      </w:pPr>
      <w:r>
        <w:rPr>
          <w:sz w:val="22"/>
          <w:szCs w:val="22"/>
        </w:rPr>
        <w:t>William T. Lake, Chief</w:t>
      </w:r>
    </w:p>
    <w:p w14:paraId="7B21B935" w14:textId="77777777" w:rsidR="00C55AD5" w:rsidRPr="0058223B" w:rsidRDefault="00C55AD5" w:rsidP="00C55AD5">
      <w:pPr>
        <w:pStyle w:val="MediumGrid21"/>
        <w:ind w:firstLine="4320"/>
        <w:rPr>
          <w:szCs w:val="22"/>
        </w:rPr>
      </w:pPr>
      <w:r>
        <w:rPr>
          <w:sz w:val="22"/>
          <w:szCs w:val="22"/>
        </w:rPr>
        <w:t>Media</w:t>
      </w:r>
      <w:r w:rsidRPr="0058223B">
        <w:rPr>
          <w:sz w:val="22"/>
          <w:szCs w:val="22"/>
        </w:rPr>
        <w:t xml:space="preserve"> Bureau</w:t>
      </w:r>
    </w:p>
    <w:p w14:paraId="57CB282E" w14:textId="77777777" w:rsidR="00C55AD5" w:rsidRPr="0058223B" w:rsidRDefault="00C55AD5" w:rsidP="00C55AD5">
      <w:pPr>
        <w:keepNext/>
        <w:ind w:firstLine="4320"/>
        <w:rPr>
          <w:szCs w:val="22"/>
        </w:rPr>
      </w:pPr>
    </w:p>
    <w:p w14:paraId="27D1455A" w14:textId="77777777" w:rsidR="00C55AD5" w:rsidRPr="0058223B" w:rsidRDefault="00C55AD5" w:rsidP="00C55AD5">
      <w:pPr>
        <w:keepNext/>
        <w:ind w:firstLine="4320"/>
        <w:rPr>
          <w:szCs w:val="22"/>
        </w:rPr>
      </w:pPr>
    </w:p>
    <w:p w14:paraId="225E62F7" w14:textId="77777777" w:rsidR="00C55AD5" w:rsidRPr="0058223B" w:rsidRDefault="00C55AD5" w:rsidP="00C55AD5">
      <w:pPr>
        <w:pStyle w:val="MediumGrid21"/>
        <w:ind w:firstLine="4320"/>
        <w:rPr>
          <w:szCs w:val="22"/>
        </w:rPr>
      </w:pPr>
      <w:r w:rsidRPr="0058223B">
        <w:rPr>
          <w:sz w:val="22"/>
          <w:szCs w:val="22"/>
        </w:rPr>
        <w:t>___________________________</w:t>
      </w:r>
    </w:p>
    <w:p w14:paraId="1A076C55" w14:textId="77777777" w:rsidR="00C55AD5" w:rsidRPr="0058223B" w:rsidRDefault="00C55AD5" w:rsidP="00C55AD5">
      <w:pPr>
        <w:pStyle w:val="MediumGrid21"/>
        <w:ind w:firstLine="4320"/>
        <w:rPr>
          <w:szCs w:val="22"/>
        </w:rPr>
      </w:pPr>
      <w:r w:rsidRPr="0058223B">
        <w:rPr>
          <w:sz w:val="22"/>
          <w:szCs w:val="22"/>
        </w:rPr>
        <w:t>Date</w:t>
      </w:r>
    </w:p>
    <w:p w14:paraId="29D3C11D" w14:textId="77777777" w:rsidR="00C55AD5" w:rsidRPr="0058223B" w:rsidRDefault="00C55AD5" w:rsidP="00C55AD5">
      <w:pPr>
        <w:ind w:firstLine="4320"/>
        <w:rPr>
          <w:szCs w:val="22"/>
        </w:rPr>
      </w:pPr>
    </w:p>
    <w:p w14:paraId="3BA42CE8" w14:textId="77777777" w:rsidR="00C55AD5" w:rsidRPr="00B07441" w:rsidRDefault="00C55AD5" w:rsidP="00C55AD5">
      <w:pPr>
        <w:ind w:left="4320"/>
        <w:rPr>
          <w:caps/>
          <w:szCs w:val="22"/>
        </w:rPr>
      </w:pPr>
      <w:r w:rsidRPr="00B07441">
        <w:rPr>
          <w:caps/>
          <w:szCs w:val="22"/>
        </w:rPr>
        <w:t>Cesar Chavez Foundation</w:t>
      </w:r>
    </w:p>
    <w:p w14:paraId="245BA30A" w14:textId="77777777" w:rsidR="00C55AD5" w:rsidRPr="0058223B" w:rsidRDefault="00C55AD5" w:rsidP="00C55AD5">
      <w:pPr>
        <w:pStyle w:val="MediumGrid21"/>
        <w:ind w:firstLine="4320"/>
        <w:rPr>
          <w:szCs w:val="22"/>
        </w:rPr>
      </w:pPr>
    </w:p>
    <w:p w14:paraId="6A8A798B" w14:textId="77777777" w:rsidR="00C55AD5" w:rsidRPr="0058223B" w:rsidRDefault="00C55AD5" w:rsidP="00C55AD5">
      <w:pPr>
        <w:pStyle w:val="MediumGrid21"/>
        <w:ind w:firstLine="4320"/>
        <w:rPr>
          <w:szCs w:val="22"/>
        </w:rPr>
      </w:pPr>
    </w:p>
    <w:p w14:paraId="5D65AB33" w14:textId="77777777" w:rsidR="00C55AD5" w:rsidRPr="0058223B" w:rsidRDefault="00C55AD5" w:rsidP="00C55AD5">
      <w:pPr>
        <w:pStyle w:val="MediumGrid21"/>
        <w:ind w:firstLine="4320"/>
        <w:rPr>
          <w:szCs w:val="22"/>
        </w:rPr>
      </w:pPr>
      <w:r w:rsidRPr="0058223B">
        <w:rPr>
          <w:sz w:val="22"/>
          <w:szCs w:val="22"/>
        </w:rPr>
        <w:t>_____________________________</w:t>
      </w:r>
    </w:p>
    <w:p w14:paraId="2065BE56" w14:textId="77777777" w:rsidR="00C55AD5" w:rsidRPr="00FE23C1" w:rsidRDefault="00C55AD5" w:rsidP="00C55AD5">
      <w:pPr>
        <w:pStyle w:val="MediumGrid21"/>
        <w:ind w:firstLine="4320"/>
        <w:rPr>
          <w:sz w:val="22"/>
          <w:szCs w:val="22"/>
        </w:rPr>
      </w:pPr>
      <w:r w:rsidRPr="00FE23C1">
        <w:rPr>
          <w:sz w:val="22"/>
          <w:szCs w:val="22"/>
        </w:rPr>
        <w:t>Paul Park, Secretary and General Counsel</w:t>
      </w:r>
    </w:p>
    <w:p w14:paraId="7A43B7EA" w14:textId="77777777" w:rsidR="00C55AD5" w:rsidRPr="0058223B" w:rsidRDefault="00C55AD5" w:rsidP="00C55AD5">
      <w:pPr>
        <w:pStyle w:val="MediumGrid21"/>
        <w:ind w:firstLine="4320"/>
        <w:rPr>
          <w:szCs w:val="22"/>
        </w:rPr>
      </w:pPr>
      <w:r>
        <w:rPr>
          <w:sz w:val="22"/>
          <w:szCs w:val="22"/>
        </w:rPr>
        <w:t>Cesar Chavez Foundation</w:t>
      </w:r>
    </w:p>
    <w:p w14:paraId="12F38193" w14:textId="77777777" w:rsidR="00C55AD5" w:rsidRPr="0058223B" w:rsidRDefault="00C55AD5" w:rsidP="00C55AD5">
      <w:pPr>
        <w:ind w:firstLine="4320"/>
        <w:jc w:val="both"/>
        <w:rPr>
          <w:color w:val="000000"/>
          <w:szCs w:val="22"/>
        </w:rPr>
      </w:pPr>
    </w:p>
    <w:p w14:paraId="22BE97BB" w14:textId="77777777" w:rsidR="00C55AD5" w:rsidRPr="0058223B" w:rsidRDefault="00C55AD5" w:rsidP="00C55AD5">
      <w:pPr>
        <w:ind w:firstLine="4320"/>
        <w:jc w:val="both"/>
        <w:rPr>
          <w:color w:val="000000"/>
          <w:szCs w:val="22"/>
        </w:rPr>
      </w:pPr>
    </w:p>
    <w:p w14:paraId="04CFA4AC" w14:textId="77777777" w:rsidR="00C55AD5" w:rsidRPr="0058223B" w:rsidRDefault="00C55AD5" w:rsidP="00C55AD5">
      <w:pPr>
        <w:pStyle w:val="MediumGrid21"/>
        <w:ind w:firstLine="4320"/>
        <w:rPr>
          <w:szCs w:val="22"/>
        </w:rPr>
      </w:pPr>
      <w:r w:rsidRPr="0058223B">
        <w:rPr>
          <w:sz w:val="22"/>
          <w:szCs w:val="22"/>
        </w:rPr>
        <w:t>_____________________________</w:t>
      </w:r>
    </w:p>
    <w:p w14:paraId="2CED15C1" w14:textId="77777777" w:rsidR="00C55AD5" w:rsidRDefault="00C55AD5" w:rsidP="00C55AD5">
      <w:pPr>
        <w:pStyle w:val="MediumGrid21"/>
        <w:ind w:firstLine="4320"/>
        <w:rPr>
          <w:sz w:val="22"/>
          <w:szCs w:val="22"/>
        </w:rPr>
      </w:pPr>
      <w:r w:rsidRPr="0058223B">
        <w:rPr>
          <w:sz w:val="22"/>
          <w:szCs w:val="22"/>
        </w:rPr>
        <w:t>Date</w:t>
      </w:r>
    </w:p>
    <w:p w14:paraId="1E685A97" w14:textId="77777777" w:rsidR="00C55AD5" w:rsidRDefault="00C55AD5" w:rsidP="00C55AD5">
      <w:pPr>
        <w:pStyle w:val="MediumGrid21"/>
        <w:rPr>
          <w:sz w:val="22"/>
          <w:szCs w:val="22"/>
        </w:rPr>
      </w:pPr>
    </w:p>
    <w:p w14:paraId="246825A7" w14:textId="77777777" w:rsidR="00C55AD5" w:rsidRPr="0058223B" w:rsidRDefault="00C55AD5" w:rsidP="00C55AD5">
      <w:pPr>
        <w:rPr>
          <w:szCs w:val="22"/>
        </w:rPr>
      </w:pPr>
    </w:p>
    <w:p w14:paraId="23545C74" w14:textId="766B9FF6" w:rsidR="00947093" w:rsidRPr="0058223B" w:rsidRDefault="00947093" w:rsidP="00117C00">
      <w:pPr>
        <w:pStyle w:val="MediumGrid21"/>
        <w:rPr>
          <w:szCs w:val="22"/>
        </w:rPr>
      </w:pPr>
    </w:p>
    <w:sectPr w:rsidR="00947093" w:rsidRPr="0058223B" w:rsidSect="00E014BC">
      <w:footnotePr>
        <w:numRestart w:val="eachSect"/>
      </w:footnotePr>
      <w:endnotePr>
        <w:numFmt w:val="decimal"/>
      </w:endnotePr>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88E74" w14:textId="77777777" w:rsidR="00F25BE1" w:rsidRDefault="00F25BE1">
      <w:pPr>
        <w:spacing w:line="20" w:lineRule="exact"/>
      </w:pPr>
    </w:p>
  </w:endnote>
  <w:endnote w:type="continuationSeparator" w:id="0">
    <w:p w14:paraId="1A2BCBC4" w14:textId="77777777" w:rsidR="00F25BE1" w:rsidRDefault="00F25BE1">
      <w:r>
        <w:t xml:space="preserve"> </w:t>
      </w:r>
    </w:p>
  </w:endnote>
  <w:endnote w:type="continuationNotice" w:id="1">
    <w:p w14:paraId="0F84E491" w14:textId="77777777" w:rsidR="00F25BE1" w:rsidRDefault="00F25B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6B641" w14:textId="77777777" w:rsidR="001259D9" w:rsidRDefault="001259D9" w:rsidP="00026E0C">
    <w:pPr>
      <w:pStyle w:val="Footer"/>
      <w:framePr w:wrap="around" w:vAnchor="text" w:hAnchor="margin" w:xAlign="center" w:y="1"/>
    </w:pPr>
    <w:r>
      <w:fldChar w:fldCharType="begin"/>
    </w:r>
    <w:r>
      <w:instrText xml:space="preserve">PAGE  </w:instrText>
    </w:r>
    <w:r>
      <w:fldChar w:fldCharType="end"/>
    </w:r>
  </w:p>
  <w:p w14:paraId="091AA559" w14:textId="77777777" w:rsidR="001259D9" w:rsidRDefault="001259D9">
    <w:pPr>
      <w:pStyle w:val="Footer"/>
    </w:pPr>
  </w:p>
  <w:p w14:paraId="5E45F09E" w14:textId="77777777" w:rsidR="001259D9" w:rsidRDefault="001259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A0B46" w14:textId="77777777" w:rsidR="001259D9" w:rsidRDefault="001259D9" w:rsidP="00026E0C">
    <w:pPr>
      <w:pStyle w:val="Footer"/>
      <w:framePr w:wrap="around" w:vAnchor="text" w:hAnchor="margin" w:xAlign="center" w:y="1"/>
    </w:pPr>
    <w:r>
      <w:fldChar w:fldCharType="begin"/>
    </w:r>
    <w:r>
      <w:instrText xml:space="preserve">PAGE  </w:instrText>
    </w:r>
    <w:r>
      <w:fldChar w:fldCharType="separate"/>
    </w:r>
    <w:r w:rsidR="00465A2F">
      <w:rPr>
        <w:noProof/>
      </w:rPr>
      <w:t>2</w:t>
    </w:r>
    <w:r>
      <w:fldChar w:fldCharType="end"/>
    </w:r>
  </w:p>
  <w:p w14:paraId="058F3E12" w14:textId="77777777" w:rsidR="001259D9" w:rsidRPr="00D109D2" w:rsidRDefault="001259D9" w:rsidP="00026E0C">
    <w:pPr>
      <w:suppressAutoHyphens/>
      <w:spacing w:line="227" w:lineRule="auto"/>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9141B" w14:textId="77777777" w:rsidR="001259D9" w:rsidRDefault="001259D9" w:rsidP="00026E0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AF80" w14:textId="77777777" w:rsidR="00C55AD5" w:rsidRDefault="00C55AD5" w:rsidP="00026E0C">
    <w:pPr>
      <w:pStyle w:val="Footer"/>
      <w:framePr w:wrap="around" w:vAnchor="text" w:hAnchor="margin" w:xAlign="center" w:y="1"/>
    </w:pPr>
    <w:r>
      <w:fldChar w:fldCharType="begin"/>
    </w:r>
    <w:r>
      <w:instrText xml:space="preserve">PAGE  </w:instrText>
    </w:r>
    <w:r>
      <w:fldChar w:fldCharType="end"/>
    </w:r>
  </w:p>
  <w:p w14:paraId="2B56A801" w14:textId="77777777" w:rsidR="00C55AD5" w:rsidRDefault="00C55AD5">
    <w:pPr>
      <w:pStyle w:val="Footer"/>
    </w:pPr>
  </w:p>
  <w:p w14:paraId="3677F46C" w14:textId="77777777" w:rsidR="00C55AD5" w:rsidRDefault="00C55AD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02E92" w14:textId="77777777" w:rsidR="00C55AD5" w:rsidRDefault="00C55AD5" w:rsidP="00026E0C">
    <w:pPr>
      <w:pStyle w:val="Footer"/>
      <w:framePr w:wrap="around" w:vAnchor="text" w:hAnchor="margin" w:xAlign="center" w:y="1"/>
    </w:pPr>
    <w:r>
      <w:fldChar w:fldCharType="begin"/>
    </w:r>
    <w:r>
      <w:instrText xml:space="preserve">PAGE  </w:instrText>
    </w:r>
    <w:r>
      <w:fldChar w:fldCharType="separate"/>
    </w:r>
    <w:r w:rsidR="0034480F">
      <w:rPr>
        <w:noProof/>
      </w:rPr>
      <w:t>4</w:t>
    </w:r>
    <w:r>
      <w:fldChar w:fldCharType="end"/>
    </w:r>
  </w:p>
  <w:p w14:paraId="79174F15" w14:textId="77777777" w:rsidR="00C55AD5" w:rsidRPr="00D109D2" w:rsidRDefault="00C55AD5" w:rsidP="00026E0C">
    <w:pPr>
      <w:suppressAutoHyphens/>
      <w:spacing w:line="227" w:lineRule="auto"/>
      <w:rPr>
        <w: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722B5" w14:textId="77777777" w:rsidR="00C55AD5" w:rsidRDefault="00C55AD5" w:rsidP="00026E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D8C4B" w14:textId="77777777" w:rsidR="00F25BE1" w:rsidRDefault="00F25BE1">
      <w:r>
        <w:separator/>
      </w:r>
    </w:p>
  </w:footnote>
  <w:footnote w:type="continuationSeparator" w:id="0">
    <w:p w14:paraId="45B08AE3" w14:textId="77777777" w:rsidR="00F25BE1" w:rsidRDefault="00F25BE1" w:rsidP="00026E0C">
      <w:pPr>
        <w:spacing w:before="120"/>
        <w:rPr>
          <w:sz w:val="20"/>
        </w:rPr>
      </w:pPr>
      <w:r>
        <w:rPr>
          <w:sz w:val="20"/>
        </w:rPr>
        <w:t xml:space="preserve">(Continued from previous page)  </w:t>
      </w:r>
      <w:r>
        <w:rPr>
          <w:sz w:val="20"/>
        </w:rPr>
        <w:separator/>
      </w:r>
    </w:p>
  </w:footnote>
  <w:footnote w:type="continuationNotice" w:id="1">
    <w:p w14:paraId="7568ECCC" w14:textId="77777777" w:rsidR="00F25BE1" w:rsidRDefault="00F25BE1" w:rsidP="00026E0C">
      <w:pPr>
        <w:jc w:val="right"/>
        <w:rPr>
          <w:sz w:val="20"/>
        </w:rPr>
      </w:pPr>
      <w:r>
        <w:rPr>
          <w:sz w:val="20"/>
        </w:rPr>
        <w:t>(continued….)</w:t>
      </w:r>
    </w:p>
  </w:footnote>
  <w:footnote w:id="2">
    <w:p w14:paraId="497FDF3A" w14:textId="3220D453" w:rsidR="001259D9" w:rsidRPr="00526224" w:rsidRDefault="001259D9">
      <w:pPr>
        <w:pStyle w:val="FootnoteText"/>
      </w:pPr>
      <w:r>
        <w:rPr>
          <w:rStyle w:val="FootnoteReference"/>
        </w:rPr>
        <w:footnoteRef/>
      </w:r>
      <w:r>
        <w:t xml:space="preserve"> CCF filed an Opposition to Petition to Deny</w:t>
      </w:r>
      <w:r w:rsidR="00914934">
        <w:t xml:space="preserve"> (Opposition)</w:t>
      </w:r>
      <w:r>
        <w:t xml:space="preserve"> on December 2, 2013.  Gerawan filed a R</w:t>
      </w:r>
      <w:r w:rsidR="009C749B">
        <w:t>eply on December 23, 2013, and supplements—accompanied by motions to accept—</w:t>
      </w:r>
      <w:r>
        <w:t xml:space="preserve">on September </w:t>
      </w:r>
      <w:r w:rsidR="00080E56">
        <w:t>1</w:t>
      </w:r>
      <w:r>
        <w:t>9, 2014</w:t>
      </w:r>
      <w:r w:rsidR="002C7CFC">
        <w:t>, February 29, 2016</w:t>
      </w:r>
      <w:r w:rsidR="009C749B">
        <w:t>, April 7, 2016, April 29, 2016</w:t>
      </w:r>
      <w:r w:rsidR="00080E56">
        <w:t>, and May 24, 2016</w:t>
      </w:r>
      <w:r w:rsidR="009C749B">
        <w:t>.</w:t>
      </w:r>
      <w:r w:rsidR="007358B4">
        <w:rPr>
          <w:b/>
        </w:rPr>
        <w:t xml:space="preserve">  </w:t>
      </w:r>
      <w:r>
        <w:t>Given our adoption of a consent decree herein, we need not reach the question of whether to grant Gerawan’s motion</w:t>
      </w:r>
      <w:r w:rsidR="009C749B">
        <w:t>s</w:t>
      </w:r>
      <w:r>
        <w:t xml:space="preserve"> and accept </w:t>
      </w:r>
      <w:r w:rsidR="009C749B">
        <w:t>its supplements</w:t>
      </w:r>
      <w:r>
        <w:t>.</w:t>
      </w:r>
    </w:p>
  </w:footnote>
  <w:footnote w:id="3">
    <w:p w14:paraId="49A3A0B7" w14:textId="79EED976" w:rsidR="001259D9" w:rsidRDefault="001259D9" w:rsidP="00D16952">
      <w:pPr>
        <w:pStyle w:val="FootnoteText"/>
      </w:pPr>
      <w:r>
        <w:rPr>
          <w:rStyle w:val="FootnoteReference"/>
        </w:rPr>
        <w:footnoteRef/>
      </w:r>
      <w:r w:rsidR="00F612C2">
        <w:t xml:space="preserve"> 47 U.S.C. § 399b; 47 CFR</w:t>
      </w:r>
      <w:r>
        <w:t xml:space="preserve"> § 73.503(d).</w:t>
      </w:r>
      <w:r w:rsidR="002F6FD9">
        <w:t xml:space="preserve">  Gerawan also alleges that CCF violated Section 73.3580 of the </w:t>
      </w:r>
      <w:r w:rsidR="008F7785">
        <w:t>Rules</w:t>
      </w:r>
      <w:r w:rsidR="0025666D">
        <w:t>, 47 CFR</w:t>
      </w:r>
      <w:r w:rsidR="008F7785">
        <w:t xml:space="preserve"> </w:t>
      </w:r>
      <w:r w:rsidR="0025666D">
        <w:t xml:space="preserve">§ 73.3580, </w:t>
      </w:r>
      <w:r w:rsidR="008F7785">
        <w:t xml:space="preserve">by failing to air </w:t>
      </w:r>
      <w:r w:rsidR="0025666D">
        <w:t>an announcement</w:t>
      </w:r>
      <w:r w:rsidR="008F7785">
        <w:t xml:space="preserve"> regarding the Renewal Application</w:t>
      </w:r>
      <w:r w:rsidR="0025666D">
        <w:t xml:space="preserve"> on October 1, 2013</w:t>
      </w:r>
      <w:r w:rsidR="008F7785">
        <w:t>.</w:t>
      </w:r>
      <w:r w:rsidR="00914934">
        <w:t xml:space="preserve">  To support this claim, Gerawan points to the transcript it submitted of the Station’s broadcasts fr</w:t>
      </w:r>
      <w:r w:rsidR="000B4238">
        <w:t>om 1:30 to 3:30 p.m. on that date</w:t>
      </w:r>
      <w:r w:rsidR="00914934">
        <w:t xml:space="preserve">, which includes an announcement for another CCF station but not one for the Station.  Petition at </w:t>
      </w:r>
      <w:r w:rsidR="00FF50B4">
        <w:t>11</w:t>
      </w:r>
      <w:r w:rsidR="000B4238">
        <w:t xml:space="preserve"> and App</w:t>
      </w:r>
      <w:r w:rsidR="00914934">
        <w:t>x 15.  In response, CCF indicates that it aired the required announcement but outside of the times covered by the transcript.  Opposition at 9.  CCF submits station logs showing that the announcement aired at 9:29 a.m., 2:59 p.m., and 6:59 p.m. and also reflecting the airing of an announcement for the other CCF station at the time indicated by Gerawan.  Opposition at Exh. 6.</w:t>
      </w:r>
      <w:r w:rsidR="009D4C0A">
        <w:t xml:space="preserve">  We find CCF has adequately rebutted Gerawan’s allegation and that no violation of Section 73.3580 of the Rules occurred on October 1, 2013.</w:t>
      </w:r>
    </w:p>
  </w:footnote>
  <w:footnote w:id="4">
    <w:p w14:paraId="6D94360D" w14:textId="4DD982CD" w:rsidR="0021350C" w:rsidRDefault="0021350C">
      <w:pPr>
        <w:pStyle w:val="FootnoteText"/>
      </w:pPr>
      <w:r>
        <w:rPr>
          <w:rStyle w:val="FootnoteReference"/>
        </w:rPr>
        <w:footnoteRef/>
      </w:r>
      <w:r>
        <w:t xml:space="preserve"> </w:t>
      </w:r>
      <w:r w:rsidRPr="00F612C2">
        <w:rPr>
          <w:szCs w:val="22"/>
        </w:rPr>
        <w:t xml:space="preserve">While normally we also would require CCF to adhere to a Compliance Plan, we </w:t>
      </w:r>
      <w:r w:rsidR="00C7715E">
        <w:rPr>
          <w:szCs w:val="22"/>
        </w:rPr>
        <w:t>find it unnecessary in this case</w:t>
      </w:r>
      <w:r w:rsidRPr="00F612C2">
        <w:rPr>
          <w:szCs w:val="22"/>
        </w:rPr>
        <w:t xml:space="preserve">.  CCF recently agreed to assign the Station to </w:t>
      </w:r>
      <w:r w:rsidR="00F612C2" w:rsidRPr="00F612C2">
        <w:rPr>
          <w:szCs w:val="22"/>
        </w:rPr>
        <w:t>Educational Media Foundation (EMF)</w:t>
      </w:r>
      <w:r w:rsidRPr="00F612C2">
        <w:rPr>
          <w:szCs w:val="22"/>
        </w:rPr>
        <w:t xml:space="preserve"> as part of a station swap in which it will acquire the license to </w:t>
      </w:r>
      <w:r w:rsidR="00F612C2" w:rsidRPr="00F612C2">
        <w:rPr>
          <w:szCs w:val="22"/>
        </w:rPr>
        <w:t>KVPW(FM)</w:t>
      </w:r>
      <w:r w:rsidRPr="00F612C2">
        <w:rPr>
          <w:szCs w:val="22"/>
        </w:rPr>
        <w:t xml:space="preserve">, </w:t>
      </w:r>
      <w:r w:rsidR="00F612C2" w:rsidRPr="00F612C2">
        <w:rPr>
          <w:szCs w:val="22"/>
        </w:rPr>
        <w:t>Kingsburg, California</w:t>
      </w:r>
      <w:r w:rsidRPr="00F612C2">
        <w:rPr>
          <w:szCs w:val="22"/>
        </w:rPr>
        <w:t>, a radio station operating in the same geographic area.</w:t>
      </w:r>
      <w:r w:rsidR="00F612C2" w:rsidRPr="00F612C2">
        <w:rPr>
          <w:szCs w:val="22"/>
        </w:rPr>
        <w:t xml:space="preserve">  While KVPW(FM) is licensed to operate on </w:t>
      </w:r>
      <w:r w:rsidR="00C7715E">
        <w:rPr>
          <w:szCs w:val="22"/>
        </w:rPr>
        <w:t xml:space="preserve">a </w:t>
      </w:r>
      <w:r w:rsidR="0090576E">
        <w:rPr>
          <w:szCs w:val="22"/>
        </w:rPr>
        <w:t>channel in the non-reserved portion of the FM band</w:t>
      </w:r>
      <w:r w:rsidR="00F612C2" w:rsidRPr="00F612C2">
        <w:rPr>
          <w:szCs w:val="22"/>
        </w:rPr>
        <w:t xml:space="preserve">, EMF operates </w:t>
      </w:r>
      <w:r w:rsidR="0090576E">
        <w:rPr>
          <w:szCs w:val="22"/>
        </w:rPr>
        <w:t>it</w:t>
      </w:r>
      <w:r w:rsidR="00F612C2" w:rsidRPr="00F612C2">
        <w:rPr>
          <w:szCs w:val="22"/>
        </w:rPr>
        <w:t xml:space="preserve"> as a noncommercial station.  CCF indicates it plans to operate KVPW(FM) as a commercial station</w:t>
      </w:r>
      <w:r w:rsidR="00C7715E">
        <w:rPr>
          <w:szCs w:val="22"/>
        </w:rPr>
        <w:t>, which will not be subject to the law and rules involving underwriting announcements.</w:t>
      </w:r>
    </w:p>
  </w:footnote>
  <w:footnote w:id="5">
    <w:p w14:paraId="72209BCB" w14:textId="60B62345" w:rsidR="001259D9" w:rsidRPr="00475C79" w:rsidRDefault="001259D9" w:rsidP="00475C79">
      <w:pPr>
        <w:pStyle w:val="FootnoteText"/>
      </w:pPr>
      <w:r>
        <w:rPr>
          <w:rStyle w:val="FootnoteReference"/>
        </w:rPr>
        <w:footnoteRef/>
      </w:r>
      <w:r>
        <w:t xml:space="preserve"> </w:t>
      </w:r>
      <w:r>
        <w:rPr>
          <w:i/>
        </w:rPr>
        <w:t xml:space="preserve">See </w:t>
      </w:r>
      <w:r w:rsidR="00117C00">
        <w:t>Consent Decree at paras.</w:t>
      </w:r>
      <w:r>
        <w:t xml:space="preserve"> 8 and 10.</w:t>
      </w:r>
    </w:p>
  </w:footnote>
  <w:footnote w:id="6">
    <w:p w14:paraId="255974DC" w14:textId="77777777" w:rsidR="001259D9" w:rsidRPr="000D028E" w:rsidRDefault="001259D9" w:rsidP="000D028E">
      <w:pPr>
        <w:pStyle w:val="FootnoteText"/>
      </w:pPr>
      <w:r w:rsidRPr="000D028E">
        <w:rPr>
          <w:rStyle w:val="FootnoteReference"/>
        </w:rPr>
        <w:footnoteRef/>
      </w:r>
      <w:r w:rsidRPr="000D028E">
        <w:t xml:space="preserve"> 47 U.S.C. §§ 154(i).</w:t>
      </w:r>
    </w:p>
  </w:footnote>
  <w:footnote w:id="7">
    <w:p w14:paraId="73E4D05E" w14:textId="4C406E1E" w:rsidR="001259D9" w:rsidRPr="000D028E" w:rsidRDefault="001259D9" w:rsidP="000D028E">
      <w:pPr>
        <w:pStyle w:val="FootnoteText"/>
      </w:pPr>
      <w:r w:rsidRPr="000D028E">
        <w:rPr>
          <w:rStyle w:val="FootnoteReference"/>
          <w:bCs/>
        </w:rPr>
        <w:footnoteRef/>
      </w:r>
      <w:r w:rsidRPr="000D028E">
        <w:t xml:space="preserve"> 47 CFR §§ 0.</w:t>
      </w:r>
      <w:r>
        <w:t>61</w:t>
      </w:r>
      <w:r w:rsidRPr="000D028E">
        <w:t>, 0.</w:t>
      </w:r>
      <w:r>
        <w:t>283</w:t>
      </w:r>
      <w:r w:rsidRPr="000D028E">
        <w:t>.</w:t>
      </w:r>
    </w:p>
  </w:footnote>
  <w:footnote w:id="8">
    <w:p w14:paraId="4A79467E" w14:textId="77777777" w:rsidR="00C55AD5" w:rsidRPr="00523538" w:rsidRDefault="00C55AD5" w:rsidP="00C55AD5">
      <w:pPr>
        <w:pStyle w:val="FootnoteText"/>
      </w:pPr>
      <w:r>
        <w:rPr>
          <w:rStyle w:val="FootnoteReference"/>
        </w:rPr>
        <w:footnoteRef/>
      </w:r>
      <w:r>
        <w:t xml:space="preserve"> 47 U.S.C. </w:t>
      </w:r>
      <w:r w:rsidRPr="0058223B">
        <w:rPr>
          <w:szCs w:val="22"/>
        </w:rPr>
        <w:t>§</w:t>
      </w:r>
      <w:r>
        <w:rPr>
          <w:szCs w:val="22"/>
        </w:rPr>
        <w:t xml:space="preserve"> 151 </w:t>
      </w:r>
      <w:r>
        <w:rPr>
          <w:i/>
          <w:szCs w:val="22"/>
        </w:rPr>
        <w:t>et seq</w:t>
      </w:r>
      <w:r w:rsidRPr="00501243">
        <w:rPr>
          <w:szCs w:val="22"/>
        </w:rPr>
        <w:t>.</w:t>
      </w:r>
    </w:p>
  </w:footnote>
  <w:footnote w:id="9">
    <w:p w14:paraId="29922CE9" w14:textId="77777777" w:rsidR="00C55AD5" w:rsidRPr="000D028E" w:rsidRDefault="00C55AD5" w:rsidP="00C55AD5">
      <w:pPr>
        <w:pStyle w:val="FootnoteText"/>
      </w:pPr>
      <w:r w:rsidRPr="000D028E">
        <w:rPr>
          <w:rStyle w:val="FootnoteReference"/>
        </w:rPr>
        <w:footnoteRef/>
      </w:r>
      <w:r w:rsidRPr="000D028E">
        <w:t xml:space="preserve"> 47 U.S.C. § 399b; 47 CFR </w:t>
      </w:r>
      <w:r>
        <w:t>§ 73.</w:t>
      </w:r>
      <w:r w:rsidRPr="000D028E">
        <w:t>503</w:t>
      </w:r>
      <w:r>
        <w:t>(d)</w:t>
      </w:r>
      <w:r w:rsidRPr="000D028E">
        <w:t>.</w:t>
      </w:r>
    </w:p>
  </w:footnote>
  <w:footnote w:id="10">
    <w:p w14:paraId="67D1B804" w14:textId="1494759F" w:rsidR="00C55AD5" w:rsidRPr="000D028E" w:rsidRDefault="00C55AD5" w:rsidP="00C55AD5">
      <w:pPr>
        <w:pStyle w:val="FootnoteText"/>
      </w:pPr>
      <w:r w:rsidRPr="000D028E">
        <w:rPr>
          <w:rStyle w:val="FootnoteReference"/>
        </w:rPr>
        <w:footnoteRef/>
      </w:r>
      <w:r w:rsidR="000872D4">
        <w:t xml:space="preserve"> 47 U.S.C. § 399B</w:t>
      </w:r>
      <w:r w:rsidRPr="000D028E">
        <w:t xml:space="preserve">(a).    </w:t>
      </w:r>
    </w:p>
  </w:footnote>
  <w:footnote w:id="11">
    <w:p w14:paraId="738D5554" w14:textId="7EA4632D" w:rsidR="00C55AD5" w:rsidRPr="000D028E" w:rsidRDefault="00C55AD5" w:rsidP="00C55AD5">
      <w:pPr>
        <w:pStyle w:val="FootnoteText"/>
      </w:pPr>
      <w:r w:rsidRPr="000D028E">
        <w:rPr>
          <w:rStyle w:val="FootnoteReference"/>
        </w:rPr>
        <w:footnoteRef/>
      </w:r>
      <w:r w:rsidR="000872D4">
        <w:t xml:space="preserve"> 47 U.S.C. § 399B</w:t>
      </w:r>
      <w:r w:rsidRPr="000D028E">
        <w:t>(b)(2).</w:t>
      </w:r>
    </w:p>
  </w:footnote>
  <w:footnote w:id="12">
    <w:p w14:paraId="100F7C97" w14:textId="77777777" w:rsidR="00C55AD5" w:rsidRPr="000D028E" w:rsidRDefault="00C55AD5" w:rsidP="00C55AD5">
      <w:pPr>
        <w:pStyle w:val="FootnoteText"/>
        <w:rPr>
          <w:rStyle w:val="FootnoteReference"/>
        </w:rPr>
      </w:pPr>
      <w:r w:rsidRPr="000D028E">
        <w:rPr>
          <w:rStyle w:val="FootnoteReference"/>
        </w:rPr>
        <w:footnoteRef/>
      </w:r>
      <w:r w:rsidRPr="000D028E">
        <w:rPr>
          <w:rStyle w:val="FootnoteReference"/>
        </w:rPr>
        <w:t xml:space="preserve"> </w:t>
      </w:r>
      <w:r>
        <w:rPr>
          <w:i/>
        </w:rPr>
        <w:t xml:space="preserve">See Policy Concerning the Noncommercial Nature of Educational Broadcasting Stations, </w:t>
      </w:r>
      <w:r w:rsidRPr="000D028E">
        <w:t>Public Notice</w:t>
      </w:r>
      <w:r>
        <w:t xml:space="preserve">, 51 Fed. Reg. 21800 (June 16, 1986), </w:t>
      </w:r>
      <w:r w:rsidRPr="004C4044">
        <w:rPr>
          <w:i/>
        </w:rPr>
        <w:t>reprinted at</w:t>
      </w:r>
      <w:r>
        <w:t xml:space="preserve"> 7 FCC Rcd 827 (1992) (“</w:t>
      </w:r>
      <w:r>
        <w:rPr>
          <w:i/>
        </w:rPr>
        <w:t>1986 Public Notice</w:t>
      </w:r>
      <w:r>
        <w:t>”).</w:t>
      </w:r>
    </w:p>
  </w:footnote>
  <w:footnote w:id="13">
    <w:p w14:paraId="3D2B771C" w14:textId="77777777" w:rsidR="00C55AD5" w:rsidRPr="000D028E" w:rsidRDefault="00C55AD5" w:rsidP="00C55AD5">
      <w:pPr>
        <w:pStyle w:val="FootnoteText"/>
        <w:rPr>
          <w:rStyle w:val="FootnoteReference"/>
        </w:rPr>
      </w:pPr>
      <w:r w:rsidRPr="000D028E">
        <w:rPr>
          <w:rStyle w:val="FootnoteReference"/>
        </w:rPr>
        <w:footnoteRef/>
      </w:r>
      <w:r w:rsidRPr="000D028E">
        <w:rPr>
          <w:rStyle w:val="FootnoteReference"/>
        </w:rPr>
        <w:t xml:space="preserve"> </w:t>
      </w:r>
      <w:r>
        <w:rPr>
          <w:i/>
        </w:rPr>
        <w:t>See id</w:t>
      </w:r>
      <w:r w:rsidRPr="00B63DB0">
        <w:t>.</w:t>
      </w:r>
      <w:r>
        <w:t xml:space="preserve">; </w:t>
      </w:r>
      <w:r>
        <w:rPr>
          <w:i/>
        </w:rPr>
        <w:t>see also</w:t>
      </w:r>
      <w:r w:rsidRPr="00A81FBC">
        <w:rPr>
          <w:i/>
          <w:snapToGrid w:val="0"/>
          <w:kern w:val="28"/>
          <w:sz w:val="22"/>
        </w:rPr>
        <w:t xml:space="preserve"> </w:t>
      </w:r>
      <w:r w:rsidRPr="00A81FBC">
        <w:rPr>
          <w:i/>
        </w:rPr>
        <w:t xml:space="preserve">Xavier </w:t>
      </w:r>
      <w:r w:rsidRPr="00775D83">
        <w:rPr>
          <w:i/>
        </w:rPr>
        <w:t>Univ</w:t>
      </w:r>
      <w:r>
        <w:t>.</w:t>
      </w:r>
      <w:r w:rsidRPr="00A81FBC">
        <w:rPr>
          <w:i/>
        </w:rPr>
        <w:t xml:space="preserve">, </w:t>
      </w:r>
      <w:r w:rsidRPr="002F22EE">
        <w:t>Memorandum Opinion and Order, 5 FCC Rcd 4920, 4921, para. 6 (199</w:t>
      </w:r>
      <w:r>
        <w:t xml:space="preserve">0), </w:t>
      </w:r>
      <w:r w:rsidRPr="00977166">
        <w:rPr>
          <w:i/>
        </w:rPr>
        <w:t>citing</w:t>
      </w:r>
      <w:r w:rsidRPr="00025895">
        <w:t xml:space="preserve"> </w:t>
      </w:r>
      <w:r w:rsidRPr="00977166">
        <w:rPr>
          <w:i/>
        </w:rPr>
        <w:t>1986 Public Notice</w:t>
      </w:r>
      <w:r>
        <w:t>.</w:t>
      </w:r>
      <w:r w:rsidRPr="00A81FBC">
        <w:rPr>
          <w:i/>
        </w:rPr>
        <w:t xml:space="preserve"> </w:t>
      </w:r>
      <w:r w:rsidRPr="000D028E">
        <w:rPr>
          <w:rStyle w:val="FootnoteReferenc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707FA" w14:textId="77777777" w:rsidR="006601A6" w:rsidRDefault="00660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34A7A" w14:textId="59471E5A" w:rsidR="001259D9" w:rsidRDefault="001259D9" w:rsidP="00026E0C">
    <w:pPr>
      <w:pStyle w:val="Header"/>
      <w:rPr>
        <w:b w:val="0"/>
      </w:rPr>
    </w:pPr>
    <w:r>
      <w:tab/>
      <w:t>Federal Communications Commission</w:t>
    </w:r>
    <w:r>
      <w:tab/>
      <w:t xml:space="preserve">DA </w:t>
    </w:r>
    <w:r w:rsidR="00BD6F00" w:rsidRPr="00BD6F00">
      <w:t>16-10</w:t>
    </w:r>
  </w:p>
  <w:p w14:paraId="034D2E59" w14:textId="36B9E063" w:rsidR="001259D9" w:rsidRPr="0014549F" w:rsidRDefault="00932E3A" w:rsidP="0014549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79C14D1E" wp14:editId="315F7936">
              <wp:simplePos x="0" y="0"/>
              <wp:positionH relativeFrom="margin">
                <wp:posOffset>0</wp:posOffset>
              </wp:positionH>
              <wp:positionV relativeFrom="paragraph">
                <wp:posOffset>0</wp:posOffset>
              </wp:positionV>
              <wp:extent cx="5943600" cy="120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D2E2E6"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39F5E" w14:textId="77777777" w:rsidR="001259D9" w:rsidRPr="00E014BC" w:rsidRDefault="001259D9" w:rsidP="00026E0C">
    <w:pPr>
      <w:pStyle w:val="Header"/>
    </w:pPr>
  </w:p>
  <w:p w14:paraId="1AF5A175" w14:textId="268EDDC9" w:rsidR="001259D9" w:rsidRDefault="00932E3A" w:rsidP="00026E0C">
    <w:pPr>
      <w:pStyle w:val="Header"/>
      <w:rPr>
        <w:b w:val="0"/>
      </w:rPr>
    </w:pPr>
    <w:r>
      <w:rPr>
        <w:noProof/>
      </w:rPr>
      <mc:AlternateContent>
        <mc:Choice Requires="wps">
          <w:drawing>
            <wp:anchor distT="0" distB="0" distL="114300" distR="114300" simplePos="0" relativeHeight="251658241" behindDoc="1" locked="0" layoutInCell="0" allowOverlap="1" wp14:anchorId="07B86ED0" wp14:editId="6A4B359A">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5CA30F"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1259D9">
      <w:tab/>
      <w:t>Federal Communications Commission</w:t>
    </w:r>
    <w:r w:rsidR="001259D9">
      <w:tab/>
    </w:r>
    <w:r w:rsidR="001259D9">
      <w:rPr>
        <w:spacing w:val="-2"/>
      </w:rPr>
      <w:t xml:space="preserve">DA </w:t>
    </w:r>
    <w:r w:rsidR="00BD6F00" w:rsidRPr="00BD6F00">
      <w:rPr>
        <w:spacing w:val="-2"/>
      </w:rPr>
      <w:t>16-10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C2E7" w14:textId="58343F25" w:rsidR="00C55AD5" w:rsidRDefault="00C55AD5" w:rsidP="00026E0C">
    <w:pPr>
      <w:pStyle w:val="Header"/>
      <w:rPr>
        <w:b w:val="0"/>
      </w:rPr>
    </w:pPr>
    <w:r>
      <w:tab/>
      <w:t>Federal Communications Commission</w:t>
    </w:r>
    <w:r>
      <w:tab/>
      <w:t>DA 16-</w:t>
    </w:r>
    <w:r w:rsidR="0034480F">
      <w:t>10</w:t>
    </w:r>
  </w:p>
  <w:p w14:paraId="109FE745" w14:textId="3D99FF5E" w:rsidR="00C55AD5" w:rsidRPr="0014549F" w:rsidRDefault="00C55AD5" w:rsidP="0014549F">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785473C" wp14:editId="1FA5FAFA">
              <wp:simplePos x="0" y="0"/>
              <wp:positionH relativeFrom="margin">
                <wp:posOffset>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05342E"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gscGm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BDEC" w14:textId="77777777" w:rsidR="00C55AD5" w:rsidRPr="00E014BC" w:rsidRDefault="00C55AD5" w:rsidP="00026E0C">
    <w:pPr>
      <w:pStyle w:val="Header"/>
    </w:pPr>
  </w:p>
  <w:p w14:paraId="49D6CC6B" w14:textId="4A68963C" w:rsidR="00C55AD5" w:rsidRDefault="00C55AD5" w:rsidP="00026E0C">
    <w:pPr>
      <w:pStyle w:val="Header"/>
      <w:rPr>
        <w:b w:val="0"/>
      </w:rPr>
    </w:pPr>
    <w:r>
      <w:rPr>
        <w:noProof/>
      </w:rPr>
      <mc:AlternateContent>
        <mc:Choice Requires="wps">
          <w:drawing>
            <wp:anchor distT="0" distB="0" distL="114300" distR="114300" simplePos="0" relativeHeight="251659264" behindDoc="1" locked="0" layoutInCell="0" allowOverlap="1" wp14:anchorId="5F0AAF5F" wp14:editId="12F48A4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4413CA"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DA 16-XXX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8E600E7"/>
    <w:multiLevelType w:val="hybridMultilevel"/>
    <w:tmpl w:val="79ECDFCC"/>
    <w:lvl w:ilvl="0" w:tplc="2ECEDAEE">
      <w:start w:val="1"/>
      <w:numFmt w:val="decimal"/>
      <w:lvlText w:val="%1."/>
      <w:lvlJc w:val="left"/>
      <w:pPr>
        <w:tabs>
          <w:tab w:val="num" w:pos="1620"/>
        </w:tabs>
        <w:ind w:left="1620" w:hanging="720"/>
      </w:pPr>
      <w:rPr>
        <w:rFonts w:hint="default"/>
        <w:sz w:val="22"/>
        <w:szCs w:val="22"/>
      </w:rPr>
    </w:lvl>
    <w:lvl w:ilvl="1" w:tplc="17DC9C8C">
      <w:start w:val="1"/>
      <w:numFmt w:val="lowerLetter"/>
      <w:lvlText w:val="(%2)"/>
      <w:lvlJc w:val="left"/>
      <w:pPr>
        <w:tabs>
          <w:tab w:val="num" w:pos="1800"/>
        </w:tabs>
        <w:ind w:left="1800" w:hanging="360"/>
      </w:pPr>
      <w:rPr>
        <w:rFonts w:ascii="Times New Roman" w:eastAsia="Times New Roman" w:hAnsi="Times New Roman" w:cs="Times New Roman"/>
        <w:b w:val="0"/>
        <w:i w:val="0"/>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6">
    <w:nsid w:val="14907F2C"/>
    <w:multiLevelType w:val="hybridMultilevel"/>
    <w:tmpl w:val="A4D05422"/>
    <w:lvl w:ilvl="0" w:tplc="A798FB7E">
      <w:start w:val="1"/>
      <w:numFmt w:val="lowerLetter"/>
      <w:lvlText w:val="(%1)"/>
      <w:lvlJc w:val="left"/>
      <w:pPr>
        <w:tabs>
          <w:tab w:val="num" w:pos="3960"/>
        </w:tabs>
        <w:ind w:left="3960" w:hanging="432"/>
      </w:pPr>
      <w:rPr>
        <w:rFonts w:cs="Times New Roman" w:hint="default"/>
        <w:b w:val="0"/>
        <w:i w:val="0"/>
        <w:sz w:val="22"/>
        <w:szCs w:val="22"/>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7">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9">
    <w:nsid w:val="23B1743F"/>
    <w:multiLevelType w:val="hybridMultilevel"/>
    <w:tmpl w:val="65D63FE6"/>
    <w:lvl w:ilvl="0" w:tplc="AAD8AAAC">
      <w:start w:val="1"/>
      <w:numFmt w:val="lowerLetter"/>
      <w:lvlText w:val="(%1)"/>
      <w:lvlJc w:val="left"/>
      <w:pPr>
        <w:tabs>
          <w:tab w:val="num" w:pos="1872"/>
        </w:tabs>
        <w:ind w:left="1872" w:hanging="432"/>
      </w:pPr>
      <w:rPr>
        <w:rFonts w:ascii="Times New Roman" w:hAnsi="Times New Roman" w:cs="Times New Roman" w:hint="default"/>
        <w:b w:val="0"/>
        <w:i w:val="0"/>
        <w:sz w:val="22"/>
        <w:szCs w:val="22"/>
      </w:rPr>
    </w:lvl>
    <w:lvl w:ilvl="1" w:tplc="FFFFFFFF">
      <w:start w:val="1"/>
      <w:numFmt w:val="lowerLetter"/>
      <w:lvlText w:val="%2."/>
      <w:lvlJc w:val="left"/>
      <w:pPr>
        <w:tabs>
          <w:tab w:val="num" w:pos="2088"/>
        </w:tabs>
        <w:ind w:left="2088" w:hanging="360"/>
      </w:pPr>
      <w:rPr>
        <w:rFonts w:cs="Times New Roman"/>
      </w:rPr>
    </w:lvl>
    <w:lvl w:ilvl="2" w:tplc="FFFFFFFF" w:tentative="1">
      <w:start w:val="1"/>
      <w:numFmt w:val="lowerRoman"/>
      <w:lvlText w:val="%3."/>
      <w:lvlJc w:val="right"/>
      <w:pPr>
        <w:tabs>
          <w:tab w:val="num" w:pos="2808"/>
        </w:tabs>
        <w:ind w:left="2808" w:hanging="180"/>
      </w:pPr>
      <w:rPr>
        <w:rFonts w:cs="Times New Roman"/>
      </w:rPr>
    </w:lvl>
    <w:lvl w:ilvl="3" w:tplc="FFFFFFFF" w:tentative="1">
      <w:start w:val="1"/>
      <w:numFmt w:val="decimal"/>
      <w:lvlText w:val="%4."/>
      <w:lvlJc w:val="left"/>
      <w:pPr>
        <w:tabs>
          <w:tab w:val="num" w:pos="3528"/>
        </w:tabs>
        <w:ind w:left="3528" w:hanging="360"/>
      </w:pPr>
      <w:rPr>
        <w:rFonts w:cs="Times New Roman"/>
      </w:rPr>
    </w:lvl>
    <w:lvl w:ilvl="4" w:tplc="FFFFFFFF" w:tentative="1">
      <w:start w:val="1"/>
      <w:numFmt w:val="lowerLetter"/>
      <w:lvlText w:val="%5."/>
      <w:lvlJc w:val="left"/>
      <w:pPr>
        <w:tabs>
          <w:tab w:val="num" w:pos="4248"/>
        </w:tabs>
        <w:ind w:left="4248" w:hanging="360"/>
      </w:pPr>
      <w:rPr>
        <w:rFonts w:cs="Times New Roman"/>
      </w:rPr>
    </w:lvl>
    <w:lvl w:ilvl="5" w:tplc="FFFFFFFF" w:tentative="1">
      <w:start w:val="1"/>
      <w:numFmt w:val="lowerRoman"/>
      <w:lvlText w:val="%6."/>
      <w:lvlJc w:val="right"/>
      <w:pPr>
        <w:tabs>
          <w:tab w:val="num" w:pos="4968"/>
        </w:tabs>
        <w:ind w:left="4968" w:hanging="180"/>
      </w:pPr>
      <w:rPr>
        <w:rFonts w:cs="Times New Roman"/>
      </w:rPr>
    </w:lvl>
    <w:lvl w:ilvl="6" w:tplc="FFFFFFFF" w:tentative="1">
      <w:start w:val="1"/>
      <w:numFmt w:val="decimal"/>
      <w:lvlText w:val="%7."/>
      <w:lvlJc w:val="left"/>
      <w:pPr>
        <w:tabs>
          <w:tab w:val="num" w:pos="5688"/>
        </w:tabs>
        <w:ind w:left="5688" w:hanging="360"/>
      </w:pPr>
      <w:rPr>
        <w:rFonts w:cs="Times New Roman"/>
      </w:rPr>
    </w:lvl>
    <w:lvl w:ilvl="7" w:tplc="FFFFFFFF" w:tentative="1">
      <w:start w:val="1"/>
      <w:numFmt w:val="lowerLetter"/>
      <w:lvlText w:val="%8."/>
      <w:lvlJc w:val="left"/>
      <w:pPr>
        <w:tabs>
          <w:tab w:val="num" w:pos="6408"/>
        </w:tabs>
        <w:ind w:left="6408" w:hanging="360"/>
      </w:pPr>
      <w:rPr>
        <w:rFonts w:cs="Times New Roman"/>
      </w:rPr>
    </w:lvl>
    <w:lvl w:ilvl="8" w:tplc="FFFFFFFF" w:tentative="1">
      <w:start w:val="1"/>
      <w:numFmt w:val="lowerRoman"/>
      <w:lvlText w:val="%9."/>
      <w:lvlJc w:val="right"/>
      <w:pPr>
        <w:tabs>
          <w:tab w:val="num" w:pos="7128"/>
        </w:tabs>
        <w:ind w:left="7128" w:hanging="180"/>
      </w:pPr>
      <w:rPr>
        <w:rFonts w:cs="Times New Roman"/>
      </w:r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4">
    <w:nsid w:val="305E3024"/>
    <w:multiLevelType w:val="singleLevel"/>
    <w:tmpl w:val="EA9E5D9A"/>
    <w:lvl w:ilvl="0">
      <w:start w:val="2"/>
      <w:numFmt w:val="decimal"/>
      <w:lvlText w:val="%1."/>
      <w:lvlJc w:val="left"/>
      <w:pPr>
        <w:tabs>
          <w:tab w:val="num" w:pos="1080"/>
        </w:tabs>
        <w:ind w:left="0" w:firstLine="720"/>
      </w:pPr>
    </w:lvl>
  </w:abstractNum>
  <w:abstractNum w:abstractNumId="15">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7">
    <w:nsid w:val="3A6F62ED"/>
    <w:multiLevelType w:val="multilevel"/>
    <w:tmpl w:val="58AC472E"/>
    <w:styleLink w:val="Style1"/>
    <w:lvl w:ilvl="0">
      <w:start w:val="1"/>
      <w:numFmt w:val="lowerLetter"/>
      <w:lvlText w:val="%1."/>
      <w:lvlJc w:val="left"/>
      <w:pPr>
        <w:tabs>
          <w:tab w:val="num" w:pos="1800"/>
        </w:tabs>
        <w:ind w:left="180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9">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0">
    <w:nsid w:val="43D27EFD"/>
    <w:multiLevelType w:val="singleLevel"/>
    <w:tmpl w:val="42701C86"/>
    <w:lvl w:ilvl="0">
      <w:start w:val="1"/>
      <w:numFmt w:val="decimal"/>
      <w:lvlText w:val="%1."/>
      <w:lvlJc w:val="left"/>
      <w:pPr>
        <w:tabs>
          <w:tab w:val="num" w:pos="1440"/>
        </w:tabs>
        <w:ind w:left="1440" w:hanging="720"/>
      </w:p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3">
    <w:nsid w:val="52A07F49"/>
    <w:multiLevelType w:val="multilevel"/>
    <w:tmpl w:val="57220BDE"/>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nsid w:val="53D97BEF"/>
    <w:multiLevelType w:val="hybridMultilevel"/>
    <w:tmpl w:val="A4D05422"/>
    <w:lvl w:ilvl="0" w:tplc="A798FB7E">
      <w:start w:val="1"/>
      <w:numFmt w:val="lowerLetter"/>
      <w:lvlText w:val="(%1)"/>
      <w:lvlJc w:val="left"/>
      <w:pPr>
        <w:tabs>
          <w:tab w:val="num" w:pos="3960"/>
        </w:tabs>
        <w:ind w:left="3960" w:hanging="432"/>
      </w:pPr>
      <w:rPr>
        <w:rFonts w:cs="Times New Roman" w:hint="default"/>
        <w:b w:val="0"/>
        <w:i w:val="0"/>
        <w:sz w:val="22"/>
        <w:szCs w:val="22"/>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25">
    <w:nsid w:val="5FFF125B"/>
    <w:multiLevelType w:val="singleLevel"/>
    <w:tmpl w:val="B1F45678"/>
    <w:lvl w:ilvl="0">
      <w:start w:val="1"/>
      <w:numFmt w:val="decimal"/>
      <w:lvlText w:val="%1."/>
      <w:lvlJc w:val="left"/>
      <w:pPr>
        <w:tabs>
          <w:tab w:val="num" w:pos="1080"/>
        </w:tabs>
        <w:ind w:left="0" w:firstLine="720"/>
      </w:p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0">
    <w:nsid w:val="703621C9"/>
    <w:multiLevelType w:val="singleLevel"/>
    <w:tmpl w:val="373411A8"/>
    <w:lvl w:ilvl="0">
      <w:start w:val="1"/>
      <w:numFmt w:val="decimal"/>
      <w:lvlText w:val="%1."/>
      <w:lvlJc w:val="left"/>
      <w:pPr>
        <w:tabs>
          <w:tab w:val="num" w:pos="1080"/>
        </w:tabs>
        <w:ind w:left="0" w:firstLine="720"/>
      </w:pPr>
    </w:lvl>
  </w:abstractNum>
  <w:abstractNum w:abstractNumId="31">
    <w:nsid w:val="751C7F3B"/>
    <w:multiLevelType w:val="hybridMultilevel"/>
    <w:tmpl w:val="65D63FE6"/>
    <w:lvl w:ilvl="0" w:tplc="AAD8AAAC">
      <w:start w:val="1"/>
      <w:numFmt w:val="lowerLetter"/>
      <w:lvlText w:val="(%1)"/>
      <w:lvlJc w:val="left"/>
      <w:pPr>
        <w:tabs>
          <w:tab w:val="num" w:pos="1872"/>
        </w:tabs>
        <w:ind w:left="1872" w:hanging="432"/>
      </w:pPr>
      <w:rPr>
        <w:rFonts w:ascii="Times New Roman" w:hAnsi="Times New Roman" w:cs="Times New Roman" w:hint="default"/>
        <w:b w:val="0"/>
        <w:i w:val="0"/>
        <w:sz w:val="22"/>
        <w:szCs w:val="22"/>
      </w:rPr>
    </w:lvl>
    <w:lvl w:ilvl="1" w:tplc="FFFFFFFF">
      <w:start w:val="1"/>
      <w:numFmt w:val="lowerLetter"/>
      <w:lvlText w:val="%2."/>
      <w:lvlJc w:val="left"/>
      <w:pPr>
        <w:tabs>
          <w:tab w:val="num" w:pos="2088"/>
        </w:tabs>
        <w:ind w:left="2088" w:hanging="360"/>
      </w:pPr>
      <w:rPr>
        <w:rFonts w:cs="Times New Roman"/>
      </w:rPr>
    </w:lvl>
    <w:lvl w:ilvl="2" w:tplc="FFFFFFFF" w:tentative="1">
      <w:start w:val="1"/>
      <w:numFmt w:val="lowerRoman"/>
      <w:lvlText w:val="%3."/>
      <w:lvlJc w:val="right"/>
      <w:pPr>
        <w:tabs>
          <w:tab w:val="num" w:pos="2808"/>
        </w:tabs>
        <w:ind w:left="2808" w:hanging="180"/>
      </w:pPr>
      <w:rPr>
        <w:rFonts w:cs="Times New Roman"/>
      </w:rPr>
    </w:lvl>
    <w:lvl w:ilvl="3" w:tplc="FFFFFFFF" w:tentative="1">
      <w:start w:val="1"/>
      <w:numFmt w:val="decimal"/>
      <w:lvlText w:val="%4."/>
      <w:lvlJc w:val="left"/>
      <w:pPr>
        <w:tabs>
          <w:tab w:val="num" w:pos="3528"/>
        </w:tabs>
        <w:ind w:left="3528" w:hanging="360"/>
      </w:pPr>
      <w:rPr>
        <w:rFonts w:cs="Times New Roman"/>
      </w:rPr>
    </w:lvl>
    <w:lvl w:ilvl="4" w:tplc="FFFFFFFF" w:tentative="1">
      <w:start w:val="1"/>
      <w:numFmt w:val="lowerLetter"/>
      <w:lvlText w:val="%5."/>
      <w:lvlJc w:val="left"/>
      <w:pPr>
        <w:tabs>
          <w:tab w:val="num" w:pos="4248"/>
        </w:tabs>
        <w:ind w:left="4248" w:hanging="360"/>
      </w:pPr>
      <w:rPr>
        <w:rFonts w:cs="Times New Roman"/>
      </w:rPr>
    </w:lvl>
    <w:lvl w:ilvl="5" w:tplc="FFFFFFFF" w:tentative="1">
      <w:start w:val="1"/>
      <w:numFmt w:val="lowerRoman"/>
      <w:lvlText w:val="%6."/>
      <w:lvlJc w:val="right"/>
      <w:pPr>
        <w:tabs>
          <w:tab w:val="num" w:pos="4968"/>
        </w:tabs>
        <w:ind w:left="4968" w:hanging="180"/>
      </w:pPr>
      <w:rPr>
        <w:rFonts w:cs="Times New Roman"/>
      </w:rPr>
    </w:lvl>
    <w:lvl w:ilvl="6" w:tplc="FFFFFFFF" w:tentative="1">
      <w:start w:val="1"/>
      <w:numFmt w:val="decimal"/>
      <w:lvlText w:val="%7."/>
      <w:lvlJc w:val="left"/>
      <w:pPr>
        <w:tabs>
          <w:tab w:val="num" w:pos="5688"/>
        </w:tabs>
        <w:ind w:left="5688" w:hanging="360"/>
      </w:pPr>
      <w:rPr>
        <w:rFonts w:cs="Times New Roman"/>
      </w:rPr>
    </w:lvl>
    <w:lvl w:ilvl="7" w:tplc="FFFFFFFF" w:tentative="1">
      <w:start w:val="1"/>
      <w:numFmt w:val="lowerLetter"/>
      <w:lvlText w:val="%8."/>
      <w:lvlJc w:val="left"/>
      <w:pPr>
        <w:tabs>
          <w:tab w:val="num" w:pos="6408"/>
        </w:tabs>
        <w:ind w:left="6408" w:hanging="360"/>
      </w:pPr>
      <w:rPr>
        <w:rFonts w:cs="Times New Roman"/>
      </w:rPr>
    </w:lvl>
    <w:lvl w:ilvl="8" w:tplc="FFFFFFFF" w:tentative="1">
      <w:start w:val="1"/>
      <w:numFmt w:val="lowerRoman"/>
      <w:lvlText w:val="%9."/>
      <w:lvlJc w:val="right"/>
      <w:pPr>
        <w:tabs>
          <w:tab w:val="num" w:pos="7128"/>
        </w:tabs>
        <w:ind w:left="7128" w:hanging="180"/>
      </w:pPr>
      <w:rPr>
        <w:rFonts w:cs="Times New Roman"/>
      </w:rPr>
    </w:lvl>
  </w:abstractNum>
  <w:abstractNum w:abstractNumId="32">
    <w:nsid w:val="755A4D86"/>
    <w:multiLevelType w:val="multilevel"/>
    <w:tmpl w:val="58AC472E"/>
    <w:numStyleLink w:val="Style1"/>
  </w:abstractNum>
  <w:abstractNum w:abstractNumId="33">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34">
    <w:nsid w:val="78495135"/>
    <w:multiLevelType w:val="hybridMultilevel"/>
    <w:tmpl w:val="58AC472E"/>
    <w:lvl w:ilvl="0" w:tplc="FFFFFFFF">
      <w:start w:val="1"/>
      <w:numFmt w:val="lowerLetter"/>
      <w:lvlText w:val="%1."/>
      <w:lvlJc w:val="left"/>
      <w:pPr>
        <w:tabs>
          <w:tab w:val="num" w:pos="2340"/>
        </w:tabs>
        <w:ind w:left="2340" w:hanging="360"/>
      </w:pPr>
      <w:rPr>
        <w:rFonts w:hint="default"/>
        <w:b w:val="0"/>
      </w:rPr>
    </w:lvl>
    <w:lvl w:ilvl="1" w:tplc="FFFFFFFF">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35">
    <w:nsid w:val="7C9A6077"/>
    <w:multiLevelType w:val="hybridMultilevel"/>
    <w:tmpl w:val="E4C279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6"/>
  </w:num>
  <w:num w:numId="2">
    <w:abstractNumId w:val="12"/>
  </w:num>
  <w:num w:numId="3">
    <w:abstractNumId w:val="29"/>
  </w:num>
  <w:num w:numId="4">
    <w:abstractNumId w:val="6"/>
  </w:num>
  <w:num w:numId="5">
    <w:abstractNumId w:val="4"/>
  </w:num>
  <w:num w:numId="6">
    <w:abstractNumId w:val="19"/>
  </w:num>
  <w:num w:numId="7">
    <w:abstractNumId w:val="26"/>
    <w:lvlOverride w:ilvl="0">
      <w:startOverride w:val="1"/>
    </w:lvlOverride>
  </w:num>
  <w:num w:numId="8">
    <w:abstractNumId w:val="26"/>
  </w:num>
  <w:num w:numId="9">
    <w:abstractNumId w:val="26"/>
  </w:num>
  <w:num w:numId="10">
    <w:abstractNumId w:val="21"/>
  </w:num>
  <w:num w:numId="11">
    <w:abstractNumId w:val="26"/>
    <w:lvlOverride w:ilvl="0">
      <w:startOverride w:val="1"/>
    </w:lvlOverride>
  </w:num>
  <w:num w:numId="12">
    <w:abstractNumId w:val="10"/>
  </w:num>
  <w:num w:numId="13">
    <w:abstractNumId w:val="26"/>
  </w:num>
  <w:num w:numId="14">
    <w:abstractNumId w:val="26"/>
  </w:num>
  <w:num w:numId="15">
    <w:abstractNumId w:val="26"/>
  </w:num>
  <w:num w:numId="16">
    <w:abstractNumId w:val="26"/>
  </w:num>
  <w:num w:numId="17">
    <w:abstractNumId w:val="11"/>
  </w:num>
  <w:num w:numId="18">
    <w:abstractNumId w:val="3"/>
  </w:num>
  <w:num w:numId="19">
    <w:abstractNumId w:val="26"/>
  </w:num>
  <w:num w:numId="20">
    <w:abstractNumId w:val="12"/>
  </w:num>
  <w:num w:numId="21">
    <w:abstractNumId w:val="12"/>
  </w:num>
  <w:num w:numId="22">
    <w:abstractNumId w:val="26"/>
    <w:lvlOverride w:ilvl="0">
      <w:startOverride w:val="1"/>
    </w:lvlOverride>
  </w:num>
  <w:num w:numId="23">
    <w:abstractNumId w:val="26"/>
  </w:num>
  <w:num w:numId="24">
    <w:abstractNumId w:val="26"/>
    <w:lvlOverride w:ilvl="0">
      <w:startOverride w:val="1"/>
    </w:lvlOverride>
  </w:num>
  <w:num w:numId="25">
    <w:abstractNumId w:val="26"/>
  </w:num>
  <w:num w:numId="26">
    <w:abstractNumId w:val="26"/>
    <w:lvlOverride w:ilvl="0">
      <w:startOverride w:val="1"/>
    </w:lvlOverride>
  </w:num>
  <w:num w:numId="27">
    <w:abstractNumId w:val="26"/>
  </w:num>
  <w:num w:numId="28">
    <w:abstractNumId w:val="26"/>
    <w:lvlOverride w:ilvl="0">
      <w:startOverride w:val="1"/>
    </w:lvlOverride>
  </w:num>
  <w:num w:numId="29">
    <w:abstractNumId w:val="26"/>
  </w:num>
  <w:num w:numId="30">
    <w:abstractNumId w:val="24"/>
  </w:num>
  <w:num w:numId="31">
    <w:abstractNumId w:val="23"/>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34"/>
  </w:num>
  <w:num w:numId="40">
    <w:abstractNumId w:val="17"/>
  </w:num>
  <w:num w:numId="41">
    <w:abstractNumId w:val="32"/>
  </w:num>
  <w:num w:numId="42">
    <w:abstractNumId w:val="12"/>
  </w:num>
  <w:num w:numId="43">
    <w:abstractNumId w:val="9"/>
  </w:num>
  <w:num w:numId="44">
    <w:abstractNumId w:val="31"/>
  </w:num>
  <w:num w:numId="45">
    <w:abstractNumId w:val="15"/>
  </w:num>
  <w:num w:numId="46">
    <w:abstractNumId w:val="28"/>
  </w:num>
  <w:num w:numId="47">
    <w:abstractNumId w:val="25"/>
  </w:num>
  <w:num w:numId="48">
    <w:abstractNumId w:val="30"/>
  </w:num>
  <w:num w:numId="49">
    <w:abstractNumId w:val="14"/>
  </w:num>
  <w:num w:numId="50">
    <w:abstractNumId w:val="16"/>
  </w:num>
  <w:num w:numId="51">
    <w:abstractNumId w:val="20"/>
  </w:num>
  <w:num w:numId="52">
    <w:abstractNumId w:val="1"/>
  </w:num>
  <w:num w:numId="53">
    <w:abstractNumId w:val="0"/>
  </w:num>
  <w:num w:numId="54">
    <w:abstractNumId w:val="5"/>
  </w:num>
  <w:num w:numId="55">
    <w:abstractNumId w:val="13"/>
  </w:num>
  <w:num w:numId="56">
    <w:abstractNumId w:val="22"/>
  </w:num>
  <w:num w:numId="57">
    <w:abstractNumId w:val="7"/>
  </w:num>
  <w:num w:numId="58">
    <w:abstractNumId w:val="18"/>
  </w:num>
  <w:num w:numId="59">
    <w:abstractNumId w:val="8"/>
  </w:num>
  <w:num w:numId="60">
    <w:abstractNumId w:val="33"/>
  </w:num>
  <w:num w:numId="61">
    <w:abstractNumId w:val="2"/>
  </w:num>
  <w:num w:numId="62">
    <w:abstractNumId w:val="27"/>
  </w:num>
  <w:num w:numId="63">
    <w:abstractNumId w:val="36"/>
  </w:num>
  <w:num w:numId="64">
    <w:abstractNumId w:val="26"/>
    <w:lvlOverride w:ilvl="0">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num>
  <w:num w:numId="68">
    <w:abstractNumId w:val="35"/>
  </w:num>
  <w:num w:numId="69">
    <w:abstractNumId w:val="26"/>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C1"/>
    <w:rsid w:val="00001E45"/>
    <w:rsid w:val="00010222"/>
    <w:rsid w:val="000125B4"/>
    <w:rsid w:val="00012C94"/>
    <w:rsid w:val="00021B7F"/>
    <w:rsid w:val="00025895"/>
    <w:rsid w:val="00026953"/>
    <w:rsid w:val="00026E0C"/>
    <w:rsid w:val="00035046"/>
    <w:rsid w:val="000373F2"/>
    <w:rsid w:val="00041E28"/>
    <w:rsid w:val="00042CA1"/>
    <w:rsid w:val="00043FF9"/>
    <w:rsid w:val="00045146"/>
    <w:rsid w:val="00047F6F"/>
    <w:rsid w:val="00050B7A"/>
    <w:rsid w:val="0005753E"/>
    <w:rsid w:val="00057540"/>
    <w:rsid w:val="00062AAA"/>
    <w:rsid w:val="000723B3"/>
    <w:rsid w:val="00072CD8"/>
    <w:rsid w:val="00077002"/>
    <w:rsid w:val="00077DA3"/>
    <w:rsid w:val="00077E25"/>
    <w:rsid w:val="00080E56"/>
    <w:rsid w:val="00083EBF"/>
    <w:rsid w:val="00086577"/>
    <w:rsid w:val="000872D4"/>
    <w:rsid w:val="00090FAB"/>
    <w:rsid w:val="000933AA"/>
    <w:rsid w:val="000934B6"/>
    <w:rsid w:val="00093BBA"/>
    <w:rsid w:val="000A01A5"/>
    <w:rsid w:val="000A0488"/>
    <w:rsid w:val="000A65D6"/>
    <w:rsid w:val="000A6EA3"/>
    <w:rsid w:val="000B2B13"/>
    <w:rsid w:val="000B4238"/>
    <w:rsid w:val="000C48AB"/>
    <w:rsid w:val="000D028E"/>
    <w:rsid w:val="000D7B35"/>
    <w:rsid w:val="000E04A5"/>
    <w:rsid w:val="000E740D"/>
    <w:rsid w:val="000F7D23"/>
    <w:rsid w:val="00106969"/>
    <w:rsid w:val="001108E3"/>
    <w:rsid w:val="00116218"/>
    <w:rsid w:val="00117C00"/>
    <w:rsid w:val="001259D9"/>
    <w:rsid w:val="00126030"/>
    <w:rsid w:val="001327DA"/>
    <w:rsid w:val="00143194"/>
    <w:rsid w:val="00143F75"/>
    <w:rsid w:val="00144050"/>
    <w:rsid w:val="0014549F"/>
    <w:rsid w:val="00150964"/>
    <w:rsid w:val="00152625"/>
    <w:rsid w:val="00154BEB"/>
    <w:rsid w:val="0016123E"/>
    <w:rsid w:val="00171CC9"/>
    <w:rsid w:val="00184241"/>
    <w:rsid w:val="00187131"/>
    <w:rsid w:val="00190CD3"/>
    <w:rsid w:val="00190D62"/>
    <w:rsid w:val="00190DEB"/>
    <w:rsid w:val="001B7ED0"/>
    <w:rsid w:val="001C62C1"/>
    <w:rsid w:val="001D3474"/>
    <w:rsid w:val="001D7757"/>
    <w:rsid w:val="001E1FB9"/>
    <w:rsid w:val="001F25A4"/>
    <w:rsid w:val="001F3835"/>
    <w:rsid w:val="001F58C0"/>
    <w:rsid w:val="00201BC1"/>
    <w:rsid w:val="00211C28"/>
    <w:rsid w:val="002126BD"/>
    <w:rsid w:val="0021350C"/>
    <w:rsid w:val="0021715B"/>
    <w:rsid w:val="0022167E"/>
    <w:rsid w:val="0022497A"/>
    <w:rsid w:val="0022607F"/>
    <w:rsid w:val="00236E90"/>
    <w:rsid w:val="002406C3"/>
    <w:rsid w:val="00241AA2"/>
    <w:rsid w:val="002435AC"/>
    <w:rsid w:val="002475AF"/>
    <w:rsid w:val="0025221D"/>
    <w:rsid w:val="00253729"/>
    <w:rsid w:val="0025666D"/>
    <w:rsid w:val="00260F77"/>
    <w:rsid w:val="00270A55"/>
    <w:rsid w:val="00270BDD"/>
    <w:rsid w:val="00275A5E"/>
    <w:rsid w:val="00277CB1"/>
    <w:rsid w:val="00283B74"/>
    <w:rsid w:val="002A4D19"/>
    <w:rsid w:val="002C7CFC"/>
    <w:rsid w:val="002D032C"/>
    <w:rsid w:val="002D5448"/>
    <w:rsid w:val="002D5C49"/>
    <w:rsid w:val="002E45C3"/>
    <w:rsid w:val="002E6970"/>
    <w:rsid w:val="002E6A9D"/>
    <w:rsid w:val="002F0513"/>
    <w:rsid w:val="002F22EE"/>
    <w:rsid w:val="002F6FD9"/>
    <w:rsid w:val="002F7185"/>
    <w:rsid w:val="00303ABC"/>
    <w:rsid w:val="003102C8"/>
    <w:rsid w:val="00310B78"/>
    <w:rsid w:val="00310D9E"/>
    <w:rsid w:val="0031458A"/>
    <w:rsid w:val="003170FD"/>
    <w:rsid w:val="00332752"/>
    <w:rsid w:val="00334980"/>
    <w:rsid w:val="00336285"/>
    <w:rsid w:val="00341622"/>
    <w:rsid w:val="003437E0"/>
    <w:rsid w:val="0034480F"/>
    <w:rsid w:val="00346B6B"/>
    <w:rsid w:val="003517E5"/>
    <w:rsid w:val="00351C6D"/>
    <w:rsid w:val="00351D9E"/>
    <w:rsid w:val="00355754"/>
    <w:rsid w:val="003878F4"/>
    <w:rsid w:val="00387D44"/>
    <w:rsid w:val="00387DD0"/>
    <w:rsid w:val="003A49E3"/>
    <w:rsid w:val="003B1AD7"/>
    <w:rsid w:val="003B481E"/>
    <w:rsid w:val="003B591E"/>
    <w:rsid w:val="003C2176"/>
    <w:rsid w:val="003C3D5C"/>
    <w:rsid w:val="003D1FF4"/>
    <w:rsid w:val="003D5FB3"/>
    <w:rsid w:val="003E5343"/>
    <w:rsid w:val="003F06D1"/>
    <w:rsid w:val="003F167E"/>
    <w:rsid w:val="003F1C7B"/>
    <w:rsid w:val="0041665E"/>
    <w:rsid w:val="004240E3"/>
    <w:rsid w:val="00434435"/>
    <w:rsid w:val="00436287"/>
    <w:rsid w:val="00436A87"/>
    <w:rsid w:val="00442DA0"/>
    <w:rsid w:val="00445855"/>
    <w:rsid w:val="00446FE9"/>
    <w:rsid w:val="004508E5"/>
    <w:rsid w:val="004628DE"/>
    <w:rsid w:val="00465063"/>
    <w:rsid w:val="00465A2F"/>
    <w:rsid w:val="00467E7C"/>
    <w:rsid w:val="004715AE"/>
    <w:rsid w:val="00473C67"/>
    <w:rsid w:val="00475C79"/>
    <w:rsid w:val="00486D55"/>
    <w:rsid w:val="004929D6"/>
    <w:rsid w:val="004933D6"/>
    <w:rsid w:val="004E0B25"/>
    <w:rsid w:val="004E16F9"/>
    <w:rsid w:val="004E21A7"/>
    <w:rsid w:val="004E710C"/>
    <w:rsid w:val="004F07D6"/>
    <w:rsid w:val="004F3038"/>
    <w:rsid w:val="004F4F1E"/>
    <w:rsid w:val="004F6E4B"/>
    <w:rsid w:val="00500128"/>
    <w:rsid w:val="00501243"/>
    <w:rsid w:val="00501D5F"/>
    <w:rsid w:val="005021B3"/>
    <w:rsid w:val="0050393B"/>
    <w:rsid w:val="005051FA"/>
    <w:rsid w:val="005159F8"/>
    <w:rsid w:val="00521CFC"/>
    <w:rsid w:val="00522103"/>
    <w:rsid w:val="00523538"/>
    <w:rsid w:val="00526224"/>
    <w:rsid w:val="005362F1"/>
    <w:rsid w:val="00544539"/>
    <w:rsid w:val="00570BB8"/>
    <w:rsid w:val="00583C15"/>
    <w:rsid w:val="00595570"/>
    <w:rsid w:val="005A11E0"/>
    <w:rsid w:val="005B1540"/>
    <w:rsid w:val="005B57D8"/>
    <w:rsid w:val="005D26C5"/>
    <w:rsid w:val="005E3F82"/>
    <w:rsid w:val="005E6F03"/>
    <w:rsid w:val="005F150C"/>
    <w:rsid w:val="005F2B81"/>
    <w:rsid w:val="005F5648"/>
    <w:rsid w:val="00601000"/>
    <w:rsid w:val="00606C8B"/>
    <w:rsid w:val="0061643B"/>
    <w:rsid w:val="006167C1"/>
    <w:rsid w:val="00621B67"/>
    <w:rsid w:val="00622AF7"/>
    <w:rsid w:val="00625CC6"/>
    <w:rsid w:val="00627077"/>
    <w:rsid w:val="00630E8C"/>
    <w:rsid w:val="00633DC4"/>
    <w:rsid w:val="00635EC7"/>
    <w:rsid w:val="006414CD"/>
    <w:rsid w:val="00651403"/>
    <w:rsid w:val="00651968"/>
    <w:rsid w:val="00656C57"/>
    <w:rsid w:val="00657683"/>
    <w:rsid w:val="00657DD8"/>
    <w:rsid w:val="006601A6"/>
    <w:rsid w:val="006601C3"/>
    <w:rsid w:val="0066084B"/>
    <w:rsid w:val="00662216"/>
    <w:rsid w:val="00672E0A"/>
    <w:rsid w:val="00673235"/>
    <w:rsid w:val="00682C49"/>
    <w:rsid w:val="00694A83"/>
    <w:rsid w:val="006A7D95"/>
    <w:rsid w:val="006B1C96"/>
    <w:rsid w:val="006B2099"/>
    <w:rsid w:val="006C14F0"/>
    <w:rsid w:val="006D4D3A"/>
    <w:rsid w:val="006E2A54"/>
    <w:rsid w:val="007003AC"/>
    <w:rsid w:val="00702341"/>
    <w:rsid w:val="00714799"/>
    <w:rsid w:val="00721159"/>
    <w:rsid w:val="00722152"/>
    <w:rsid w:val="00723C59"/>
    <w:rsid w:val="00726D9E"/>
    <w:rsid w:val="00733D64"/>
    <w:rsid w:val="00734278"/>
    <w:rsid w:val="007358B4"/>
    <w:rsid w:val="007455A9"/>
    <w:rsid w:val="00762FB8"/>
    <w:rsid w:val="00775D83"/>
    <w:rsid w:val="00777BD4"/>
    <w:rsid w:val="007871E4"/>
    <w:rsid w:val="00795A4A"/>
    <w:rsid w:val="007A07F6"/>
    <w:rsid w:val="007B468A"/>
    <w:rsid w:val="007B4B9E"/>
    <w:rsid w:val="007B6323"/>
    <w:rsid w:val="007C00EA"/>
    <w:rsid w:val="007C5C82"/>
    <w:rsid w:val="007C5CC5"/>
    <w:rsid w:val="007C7087"/>
    <w:rsid w:val="007D06CF"/>
    <w:rsid w:val="007E1D4E"/>
    <w:rsid w:val="007E252A"/>
    <w:rsid w:val="007E685F"/>
    <w:rsid w:val="007F3BD9"/>
    <w:rsid w:val="00800759"/>
    <w:rsid w:val="00800DB2"/>
    <w:rsid w:val="00810831"/>
    <w:rsid w:val="008178DA"/>
    <w:rsid w:val="008336BB"/>
    <w:rsid w:val="008348B4"/>
    <w:rsid w:val="00836727"/>
    <w:rsid w:val="00837857"/>
    <w:rsid w:val="00843A83"/>
    <w:rsid w:val="00845D98"/>
    <w:rsid w:val="00850567"/>
    <w:rsid w:val="00850A0D"/>
    <w:rsid w:val="00851564"/>
    <w:rsid w:val="00855E17"/>
    <w:rsid w:val="00865262"/>
    <w:rsid w:val="00866E42"/>
    <w:rsid w:val="008739A1"/>
    <w:rsid w:val="00885CF1"/>
    <w:rsid w:val="008871CA"/>
    <w:rsid w:val="00893415"/>
    <w:rsid w:val="008970F6"/>
    <w:rsid w:val="008A1EDA"/>
    <w:rsid w:val="008B02DD"/>
    <w:rsid w:val="008B04A0"/>
    <w:rsid w:val="008B3FDF"/>
    <w:rsid w:val="008B6221"/>
    <w:rsid w:val="008B68D4"/>
    <w:rsid w:val="008C1FC7"/>
    <w:rsid w:val="008C484A"/>
    <w:rsid w:val="008E382F"/>
    <w:rsid w:val="008E7C19"/>
    <w:rsid w:val="008F4A87"/>
    <w:rsid w:val="008F7785"/>
    <w:rsid w:val="00904412"/>
    <w:rsid w:val="0090576E"/>
    <w:rsid w:val="00914934"/>
    <w:rsid w:val="00920D1A"/>
    <w:rsid w:val="00926F9F"/>
    <w:rsid w:val="009311C8"/>
    <w:rsid w:val="0093297A"/>
    <w:rsid w:val="00932E3A"/>
    <w:rsid w:val="00933330"/>
    <w:rsid w:val="009343D1"/>
    <w:rsid w:val="00936CF3"/>
    <w:rsid w:val="00947093"/>
    <w:rsid w:val="00973268"/>
    <w:rsid w:val="00977166"/>
    <w:rsid w:val="0099426C"/>
    <w:rsid w:val="009955B8"/>
    <w:rsid w:val="00995DF5"/>
    <w:rsid w:val="009B29B3"/>
    <w:rsid w:val="009B6772"/>
    <w:rsid w:val="009C35CC"/>
    <w:rsid w:val="009C5CA5"/>
    <w:rsid w:val="009C62C7"/>
    <w:rsid w:val="009C749B"/>
    <w:rsid w:val="009D3403"/>
    <w:rsid w:val="009D4C0A"/>
    <w:rsid w:val="009D6481"/>
    <w:rsid w:val="009E1F36"/>
    <w:rsid w:val="009E3330"/>
    <w:rsid w:val="009E54AB"/>
    <w:rsid w:val="00A027EB"/>
    <w:rsid w:val="00A45AD5"/>
    <w:rsid w:val="00A5398D"/>
    <w:rsid w:val="00A64FAF"/>
    <w:rsid w:val="00A72527"/>
    <w:rsid w:val="00A74FF2"/>
    <w:rsid w:val="00A81FBC"/>
    <w:rsid w:val="00A82AFB"/>
    <w:rsid w:val="00A83BB0"/>
    <w:rsid w:val="00A86416"/>
    <w:rsid w:val="00A87E98"/>
    <w:rsid w:val="00A92248"/>
    <w:rsid w:val="00A9390A"/>
    <w:rsid w:val="00AA12A6"/>
    <w:rsid w:val="00AC1E92"/>
    <w:rsid w:val="00AC2FFB"/>
    <w:rsid w:val="00AD6CEB"/>
    <w:rsid w:val="00AE01FE"/>
    <w:rsid w:val="00AF639D"/>
    <w:rsid w:val="00AF64A7"/>
    <w:rsid w:val="00AF6B0C"/>
    <w:rsid w:val="00B07441"/>
    <w:rsid w:val="00B121AB"/>
    <w:rsid w:val="00B25B48"/>
    <w:rsid w:val="00B3139A"/>
    <w:rsid w:val="00B331DD"/>
    <w:rsid w:val="00B36BC1"/>
    <w:rsid w:val="00B45A01"/>
    <w:rsid w:val="00B470C7"/>
    <w:rsid w:val="00B60B99"/>
    <w:rsid w:val="00B63DB0"/>
    <w:rsid w:val="00B720AC"/>
    <w:rsid w:val="00B754CA"/>
    <w:rsid w:val="00B77887"/>
    <w:rsid w:val="00B802DD"/>
    <w:rsid w:val="00B8749D"/>
    <w:rsid w:val="00B93AA7"/>
    <w:rsid w:val="00B93C90"/>
    <w:rsid w:val="00BA14C4"/>
    <w:rsid w:val="00BA3B95"/>
    <w:rsid w:val="00BB1A7F"/>
    <w:rsid w:val="00BB1E82"/>
    <w:rsid w:val="00BC33EF"/>
    <w:rsid w:val="00BD0022"/>
    <w:rsid w:val="00BD6F00"/>
    <w:rsid w:val="00BE156D"/>
    <w:rsid w:val="00BE1F68"/>
    <w:rsid w:val="00BE5045"/>
    <w:rsid w:val="00C06449"/>
    <w:rsid w:val="00C10705"/>
    <w:rsid w:val="00C12AA5"/>
    <w:rsid w:val="00C20D09"/>
    <w:rsid w:val="00C216F3"/>
    <w:rsid w:val="00C22A13"/>
    <w:rsid w:val="00C314DA"/>
    <w:rsid w:val="00C32F55"/>
    <w:rsid w:val="00C35686"/>
    <w:rsid w:val="00C43AFF"/>
    <w:rsid w:val="00C55AD5"/>
    <w:rsid w:val="00C55E69"/>
    <w:rsid w:val="00C621BB"/>
    <w:rsid w:val="00C76C64"/>
    <w:rsid w:val="00C7715E"/>
    <w:rsid w:val="00C82823"/>
    <w:rsid w:val="00C83C4E"/>
    <w:rsid w:val="00C83DE2"/>
    <w:rsid w:val="00C86340"/>
    <w:rsid w:val="00CA5A0E"/>
    <w:rsid w:val="00CB0E43"/>
    <w:rsid w:val="00CB0FBD"/>
    <w:rsid w:val="00CB539F"/>
    <w:rsid w:val="00CB74F9"/>
    <w:rsid w:val="00CC4148"/>
    <w:rsid w:val="00CE2800"/>
    <w:rsid w:val="00D04AC4"/>
    <w:rsid w:val="00D16952"/>
    <w:rsid w:val="00D3565A"/>
    <w:rsid w:val="00D44C05"/>
    <w:rsid w:val="00D54C05"/>
    <w:rsid w:val="00D737D5"/>
    <w:rsid w:val="00D76C3A"/>
    <w:rsid w:val="00D80918"/>
    <w:rsid w:val="00D83606"/>
    <w:rsid w:val="00D9258C"/>
    <w:rsid w:val="00D92BDD"/>
    <w:rsid w:val="00D95DE1"/>
    <w:rsid w:val="00DA1E06"/>
    <w:rsid w:val="00DA62C9"/>
    <w:rsid w:val="00DA6DE6"/>
    <w:rsid w:val="00DA776B"/>
    <w:rsid w:val="00DC2659"/>
    <w:rsid w:val="00DD117D"/>
    <w:rsid w:val="00DD4446"/>
    <w:rsid w:val="00DE32D3"/>
    <w:rsid w:val="00DE3C8F"/>
    <w:rsid w:val="00DE4150"/>
    <w:rsid w:val="00DF6058"/>
    <w:rsid w:val="00E014BC"/>
    <w:rsid w:val="00E16AFF"/>
    <w:rsid w:val="00E24547"/>
    <w:rsid w:val="00E27884"/>
    <w:rsid w:val="00E366A3"/>
    <w:rsid w:val="00E40080"/>
    <w:rsid w:val="00E47BD9"/>
    <w:rsid w:val="00E559CC"/>
    <w:rsid w:val="00E577FD"/>
    <w:rsid w:val="00E64344"/>
    <w:rsid w:val="00E73655"/>
    <w:rsid w:val="00E750CF"/>
    <w:rsid w:val="00E76EE0"/>
    <w:rsid w:val="00E803A8"/>
    <w:rsid w:val="00E81509"/>
    <w:rsid w:val="00E82263"/>
    <w:rsid w:val="00E8799E"/>
    <w:rsid w:val="00E92D7A"/>
    <w:rsid w:val="00E96463"/>
    <w:rsid w:val="00EA3ED5"/>
    <w:rsid w:val="00EA4654"/>
    <w:rsid w:val="00EB69BE"/>
    <w:rsid w:val="00EB6A7F"/>
    <w:rsid w:val="00EB6F10"/>
    <w:rsid w:val="00EC7887"/>
    <w:rsid w:val="00ED0D15"/>
    <w:rsid w:val="00ED406C"/>
    <w:rsid w:val="00ED72BD"/>
    <w:rsid w:val="00ED72FB"/>
    <w:rsid w:val="00EE0784"/>
    <w:rsid w:val="00EF2FA3"/>
    <w:rsid w:val="00F01D08"/>
    <w:rsid w:val="00F03CFC"/>
    <w:rsid w:val="00F10348"/>
    <w:rsid w:val="00F110D7"/>
    <w:rsid w:val="00F23BA8"/>
    <w:rsid w:val="00F25BE1"/>
    <w:rsid w:val="00F342E6"/>
    <w:rsid w:val="00F349FE"/>
    <w:rsid w:val="00F369F2"/>
    <w:rsid w:val="00F36B0B"/>
    <w:rsid w:val="00F41A52"/>
    <w:rsid w:val="00F45EF2"/>
    <w:rsid w:val="00F51665"/>
    <w:rsid w:val="00F536FD"/>
    <w:rsid w:val="00F612C2"/>
    <w:rsid w:val="00F6147B"/>
    <w:rsid w:val="00F71B4B"/>
    <w:rsid w:val="00F75AE3"/>
    <w:rsid w:val="00F76A2A"/>
    <w:rsid w:val="00F778C6"/>
    <w:rsid w:val="00F83104"/>
    <w:rsid w:val="00F93FD4"/>
    <w:rsid w:val="00F96F84"/>
    <w:rsid w:val="00F97309"/>
    <w:rsid w:val="00FA084F"/>
    <w:rsid w:val="00FA1216"/>
    <w:rsid w:val="00FA7F96"/>
    <w:rsid w:val="00FB5659"/>
    <w:rsid w:val="00FC019D"/>
    <w:rsid w:val="00FC20F4"/>
    <w:rsid w:val="00FC37D2"/>
    <w:rsid w:val="00FD2CA6"/>
    <w:rsid w:val="00FE3B94"/>
    <w:rsid w:val="00FE57D3"/>
    <w:rsid w:val="00FF3DA0"/>
    <w:rsid w:val="00FF50B4"/>
    <w:rsid w:val="00FF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4B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99"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2F"/>
    <w:pPr>
      <w:widowControl w:val="0"/>
    </w:pPr>
    <w:rPr>
      <w:snapToGrid w:val="0"/>
      <w:kern w:val="28"/>
      <w:sz w:val="22"/>
    </w:rPr>
  </w:style>
  <w:style w:type="paragraph" w:styleId="Heading1">
    <w:name w:val="heading 1"/>
    <w:basedOn w:val="Normal"/>
    <w:next w:val="ParaNum"/>
    <w:link w:val="Heading1Char"/>
    <w:qFormat/>
    <w:rsid w:val="00465A2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65A2F"/>
    <w:pPr>
      <w:keepNext/>
      <w:numPr>
        <w:ilvl w:val="1"/>
        <w:numId w:val="2"/>
      </w:numPr>
      <w:spacing w:after="120"/>
      <w:outlineLvl w:val="1"/>
    </w:pPr>
    <w:rPr>
      <w:b/>
    </w:rPr>
  </w:style>
  <w:style w:type="paragraph" w:styleId="Heading3">
    <w:name w:val="heading 3"/>
    <w:basedOn w:val="Normal"/>
    <w:next w:val="ParaNum"/>
    <w:qFormat/>
    <w:rsid w:val="00465A2F"/>
    <w:pPr>
      <w:keepNext/>
      <w:numPr>
        <w:ilvl w:val="2"/>
        <w:numId w:val="2"/>
      </w:numPr>
      <w:tabs>
        <w:tab w:val="left" w:pos="2160"/>
      </w:tabs>
      <w:spacing w:after="120"/>
      <w:outlineLvl w:val="2"/>
    </w:pPr>
    <w:rPr>
      <w:b/>
    </w:rPr>
  </w:style>
  <w:style w:type="paragraph" w:styleId="Heading4">
    <w:name w:val="heading 4"/>
    <w:basedOn w:val="Normal"/>
    <w:next w:val="ParaNum"/>
    <w:qFormat/>
    <w:rsid w:val="00465A2F"/>
    <w:pPr>
      <w:keepNext/>
      <w:numPr>
        <w:ilvl w:val="3"/>
        <w:numId w:val="2"/>
      </w:numPr>
      <w:tabs>
        <w:tab w:val="left" w:pos="2880"/>
      </w:tabs>
      <w:spacing w:after="120"/>
      <w:outlineLvl w:val="3"/>
    </w:pPr>
    <w:rPr>
      <w:b/>
    </w:rPr>
  </w:style>
  <w:style w:type="paragraph" w:styleId="Heading5">
    <w:name w:val="heading 5"/>
    <w:basedOn w:val="Normal"/>
    <w:next w:val="ParaNum"/>
    <w:qFormat/>
    <w:rsid w:val="00465A2F"/>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465A2F"/>
    <w:pPr>
      <w:numPr>
        <w:ilvl w:val="5"/>
        <w:numId w:val="2"/>
      </w:numPr>
      <w:tabs>
        <w:tab w:val="left" w:pos="4320"/>
      </w:tabs>
      <w:spacing w:after="120"/>
      <w:outlineLvl w:val="5"/>
    </w:pPr>
    <w:rPr>
      <w:b/>
    </w:rPr>
  </w:style>
  <w:style w:type="paragraph" w:styleId="Heading7">
    <w:name w:val="heading 7"/>
    <w:basedOn w:val="Normal"/>
    <w:next w:val="ParaNum"/>
    <w:qFormat/>
    <w:rsid w:val="00465A2F"/>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465A2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465A2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65A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5A2F"/>
  </w:style>
  <w:style w:type="paragraph" w:customStyle="1" w:styleId="ParaNum">
    <w:name w:val="ParaNum"/>
    <w:basedOn w:val="Normal"/>
    <w:link w:val="ParaNumChar"/>
    <w:rsid w:val="00465A2F"/>
    <w:pPr>
      <w:numPr>
        <w:numId w:val="1"/>
      </w:numPr>
      <w:tabs>
        <w:tab w:val="clear" w:pos="1080"/>
        <w:tab w:val="num" w:pos="1440"/>
      </w:tabs>
      <w:spacing w:after="120"/>
    </w:pPr>
  </w:style>
  <w:style w:type="paragraph" w:styleId="EndnoteText">
    <w:name w:val="endnote text"/>
    <w:basedOn w:val="Normal"/>
    <w:semiHidden/>
    <w:rsid w:val="00465A2F"/>
    <w:rPr>
      <w:sz w:val="20"/>
    </w:rPr>
  </w:style>
  <w:style w:type="character" w:styleId="EndnoteReference">
    <w:name w:val="endnote reference"/>
    <w:semiHidden/>
    <w:rsid w:val="00465A2F"/>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Car"/>
    <w:link w:val="FootnoteTextChar1"/>
    <w:rsid w:val="00465A2F"/>
    <w:pPr>
      <w:spacing w:after="120"/>
    </w:pPr>
  </w:style>
  <w:style w:type="character" w:styleId="FootnoteReference">
    <w:name w:val="footnote reference"/>
    <w:aliases w:val="Style 4,Style 12,(NECG) Footnote Reference,Appel note de bas de p,Style 124,Style 13,o,fr,Style 3"/>
    <w:rsid w:val="00465A2F"/>
    <w:rPr>
      <w:rFonts w:ascii="Times New Roman" w:hAnsi="Times New Roman"/>
      <w:dstrike w:val="0"/>
      <w:color w:val="auto"/>
      <w:sz w:val="20"/>
      <w:vertAlign w:val="superscript"/>
    </w:rPr>
  </w:style>
  <w:style w:type="paragraph" w:styleId="TOC1">
    <w:name w:val="toc 1"/>
    <w:basedOn w:val="Normal"/>
    <w:next w:val="Normal"/>
    <w:semiHidden/>
    <w:rsid w:val="00465A2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65A2F"/>
    <w:pPr>
      <w:tabs>
        <w:tab w:val="left" w:pos="720"/>
        <w:tab w:val="right" w:leader="dot" w:pos="9360"/>
      </w:tabs>
      <w:suppressAutoHyphens/>
      <w:ind w:left="720" w:right="720" w:hanging="360"/>
    </w:pPr>
    <w:rPr>
      <w:noProof/>
    </w:rPr>
  </w:style>
  <w:style w:type="paragraph" w:styleId="TOC3">
    <w:name w:val="toc 3"/>
    <w:basedOn w:val="Normal"/>
    <w:next w:val="Normal"/>
    <w:semiHidden/>
    <w:rsid w:val="00465A2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65A2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65A2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65A2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65A2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65A2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65A2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65A2F"/>
    <w:pPr>
      <w:tabs>
        <w:tab w:val="right" w:pos="9360"/>
      </w:tabs>
      <w:suppressAutoHyphens/>
    </w:pPr>
  </w:style>
  <w:style w:type="character" w:customStyle="1" w:styleId="EquationCaption">
    <w:name w:val="_Equation Caption"/>
    <w:rsid w:val="00465A2F"/>
  </w:style>
  <w:style w:type="paragraph" w:styleId="Header">
    <w:name w:val="header"/>
    <w:basedOn w:val="Normal"/>
    <w:link w:val="HeaderChar"/>
    <w:autoRedefine/>
    <w:rsid w:val="00465A2F"/>
    <w:pPr>
      <w:tabs>
        <w:tab w:val="center" w:pos="4680"/>
        <w:tab w:val="right" w:pos="9360"/>
      </w:tabs>
    </w:pPr>
    <w:rPr>
      <w:b/>
    </w:rPr>
  </w:style>
  <w:style w:type="paragraph" w:styleId="Footer">
    <w:name w:val="footer"/>
    <w:basedOn w:val="Normal"/>
    <w:link w:val="FooterChar"/>
    <w:rsid w:val="00465A2F"/>
    <w:pPr>
      <w:tabs>
        <w:tab w:val="center" w:pos="4320"/>
        <w:tab w:val="right" w:pos="8640"/>
      </w:tabs>
    </w:pPr>
  </w:style>
  <w:style w:type="character" w:styleId="PageNumber">
    <w:name w:val="page number"/>
    <w:basedOn w:val="DefaultParagraphFont"/>
    <w:rsid w:val="00465A2F"/>
  </w:style>
  <w:style w:type="paragraph" w:styleId="BlockText">
    <w:name w:val="Block Text"/>
    <w:basedOn w:val="Normal"/>
    <w:rsid w:val="00465A2F"/>
    <w:pPr>
      <w:spacing w:after="240"/>
      <w:ind w:left="1440" w:right="1440"/>
    </w:pPr>
  </w:style>
  <w:style w:type="paragraph" w:customStyle="1" w:styleId="Paratitle">
    <w:name w:val="Para title"/>
    <w:basedOn w:val="Normal"/>
    <w:rsid w:val="00465A2F"/>
    <w:pPr>
      <w:tabs>
        <w:tab w:val="center" w:pos="9270"/>
      </w:tabs>
      <w:spacing w:after="240"/>
    </w:pPr>
    <w:rPr>
      <w:spacing w:val="-2"/>
    </w:rPr>
  </w:style>
  <w:style w:type="paragraph" w:customStyle="1" w:styleId="Bullet">
    <w:name w:val="Bullet"/>
    <w:basedOn w:val="Normal"/>
    <w:rsid w:val="00465A2F"/>
    <w:pPr>
      <w:tabs>
        <w:tab w:val="left" w:pos="2160"/>
      </w:tabs>
      <w:spacing w:after="220"/>
      <w:ind w:left="2160" w:hanging="720"/>
    </w:pPr>
  </w:style>
  <w:style w:type="paragraph" w:customStyle="1" w:styleId="TableFormat">
    <w:name w:val="TableFormat"/>
    <w:basedOn w:val="Bullet"/>
    <w:rsid w:val="00465A2F"/>
    <w:pPr>
      <w:tabs>
        <w:tab w:val="clear" w:pos="2160"/>
        <w:tab w:val="left" w:pos="5040"/>
      </w:tabs>
      <w:ind w:left="5040" w:hanging="3600"/>
    </w:pPr>
  </w:style>
  <w:style w:type="paragraph" w:customStyle="1" w:styleId="TOCTitle">
    <w:name w:val="TOC Title"/>
    <w:basedOn w:val="Normal"/>
    <w:rsid w:val="00465A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65A2F"/>
    <w:pPr>
      <w:jc w:val="center"/>
    </w:pPr>
    <w:rPr>
      <w:rFonts w:ascii="Times New Roman Bold" w:hAnsi="Times New Roman Bold"/>
      <w:b/>
      <w:bCs/>
      <w:caps/>
      <w:szCs w:val="22"/>
    </w:rPr>
  </w:style>
  <w:style w:type="character" w:styleId="Hyperlink">
    <w:name w:val="Hyperlink"/>
    <w:rsid w:val="00465A2F"/>
    <w:rPr>
      <w:color w:val="0000FF"/>
      <w:u w:val="single"/>
    </w:rPr>
  </w:style>
  <w:style w:type="paragraph" w:styleId="Title">
    <w:name w:val="Title"/>
    <w:basedOn w:val="Normal"/>
    <w:link w:val="TitleChar"/>
    <w:qFormat/>
    <w:rsid w:val="00835ED4"/>
    <w:pPr>
      <w:widowControl/>
      <w:tabs>
        <w:tab w:val="center" w:pos="4770"/>
      </w:tabs>
      <w:spacing w:line="226" w:lineRule="auto"/>
      <w:jc w:val="center"/>
    </w:pPr>
    <w:rPr>
      <w:b/>
      <w:snapToGrid/>
      <w:kern w:val="0"/>
      <w:lang w:val="x-none" w:eastAsia="x-none"/>
    </w:rPr>
  </w:style>
  <w:style w:type="character" w:customStyle="1" w:styleId="TitleChar">
    <w:name w:val="Title Char"/>
    <w:link w:val="Title"/>
    <w:rsid w:val="00835ED4"/>
    <w:rPr>
      <w:b/>
      <w:sz w:val="22"/>
    </w:rPr>
  </w:style>
  <w:style w:type="paragraph" w:styleId="BalloonText">
    <w:name w:val="Balloon Text"/>
    <w:basedOn w:val="Normal"/>
    <w:link w:val="BalloonTextChar"/>
    <w:rsid w:val="00CB74F9"/>
    <w:rPr>
      <w:rFonts w:ascii="Lucida Grande" w:hAnsi="Lucida Grande"/>
      <w:sz w:val="18"/>
      <w:szCs w:val="18"/>
      <w:lang w:val="x-none" w:eastAsia="x-none"/>
    </w:rPr>
  </w:style>
  <w:style w:type="character" w:customStyle="1" w:styleId="BalloonTextChar">
    <w:name w:val="Balloon Text Char"/>
    <w:link w:val="BalloonText"/>
    <w:rsid w:val="00835ED4"/>
    <w:rPr>
      <w:rFonts w:ascii="Lucida Grande" w:hAnsi="Lucida Grande"/>
      <w:snapToGrid w:val="0"/>
      <w:kern w:val="28"/>
      <w:sz w:val="18"/>
      <w:szCs w:val="18"/>
      <w:lang w:val="x-none" w:eastAsia="x-non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locked/>
    <w:rsid w:val="005818DB"/>
  </w:style>
  <w:style w:type="paragraph" w:customStyle="1" w:styleId="Paranum0">
    <w:name w:val="Paranum"/>
    <w:rsid w:val="005818DB"/>
    <w:pPr>
      <w:numPr>
        <w:numId w:val="3"/>
      </w:numPr>
      <w:tabs>
        <w:tab w:val="left" w:pos="1440"/>
      </w:tabs>
      <w:spacing w:after="240"/>
      <w:jc w:val="both"/>
    </w:pPr>
    <w:rPr>
      <w:sz w:val="22"/>
    </w:rPr>
  </w:style>
  <w:style w:type="paragraph" w:customStyle="1" w:styleId="par1">
    <w:name w:val="par1"/>
    <w:basedOn w:val="Normal"/>
    <w:link w:val="par1Char"/>
    <w:uiPriority w:val="99"/>
    <w:rsid w:val="00CB74F9"/>
    <w:pPr>
      <w:tabs>
        <w:tab w:val="num" w:pos="1080"/>
      </w:tabs>
      <w:ind w:firstLine="720"/>
    </w:pPr>
    <w:rPr>
      <w:lang w:val="x-none" w:eastAsia="x-none"/>
    </w:rPr>
  </w:style>
  <w:style w:type="character" w:customStyle="1" w:styleId="par1Char">
    <w:name w:val="par1 Char"/>
    <w:link w:val="par1"/>
    <w:uiPriority w:val="99"/>
    <w:locked/>
    <w:rsid w:val="00042570"/>
    <w:rPr>
      <w:snapToGrid w:val="0"/>
      <w:kern w:val="28"/>
      <w:sz w:val="22"/>
      <w:lang w:val="x-none" w:eastAsia="x-none"/>
    </w:rPr>
  </w:style>
  <w:style w:type="paragraph" w:customStyle="1" w:styleId="ColorfulList-Accent11">
    <w:name w:val="Colorful List - Accent 11"/>
    <w:basedOn w:val="Normal"/>
    <w:qFormat/>
    <w:rsid w:val="00CB74F9"/>
    <w:pPr>
      <w:widowControl/>
      <w:ind w:left="720"/>
    </w:pPr>
    <w:rPr>
      <w:snapToGrid/>
      <w:kern w:val="0"/>
      <w:sz w:val="24"/>
      <w:szCs w:val="24"/>
    </w:rPr>
  </w:style>
  <w:style w:type="character" w:customStyle="1" w:styleId="Heading1Char">
    <w:name w:val="Heading 1 Char"/>
    <w:link w:val="Heading1"/>
    <w:locked/>
    <w:rsid w:val="00C80F28"/>
    <w:rPr>
      <w:rFonts w:ascii="Times New Roman Bold" w:hAnsi="Times New Roman Bold"/>
      <w:b/>
      <w:caps/>
      <w:snapToGrid w:val="0"/>
      <w:kern w:val="28"/>
      <w:sz w:val="22"/>
    </w:rPr>
  </w:style>
  <w:style w:type="character" w:customStyle="1" w:styleId="ParaNumChar">
    <w:name w:val="ParaNum Char"/>
    <w:link w:val="ParaNum"/>
    <w:rsid w:val="00424074"/>
    <w:rPr>
      <w:snapToGrid w:val="0"/>
      <w:kern w:val="28"/>
      <w:sz w:val="22"/>
    </w:rPr>
  </w:style>
  <w:style w:type="paragraph" w:customStyle="1" w:styleId="Heading1A">
    <w:name w:val="Heading 1 A"/>
    <w:next w:val="Normal"/>
    <w:uiPriority w:val="99"/>
    <w:rsid w:val="00DC6C15"/>
    <w:pPr>
      <w:keepNext/>
      <w:suppressAutoHyphens/>
      <w:spacing w:after="120"/>
      <w:outlineLvl w:val="0"/>
    </w:pPr>
    <w:rPr>
      <w:rFonts w:ascii="Times New Roman Bold" w:eastAsia="Calibri" w:hAnsi="Times New Roman Bold"/>
      <w:caps/>
      <w:color w:val="000000"/>
      <w:sz w:val="24"/>
    </w:rPr>
  </w:style>
  <w:style w:type="paragraph" w:customStyle="1" w:styleId="MediumGrid21">
    <w:name w:val="Medium Grid 21"/>
    <w:uiPriority w:val="99"/>
    <w:qFormat/>
    <w:rsid w:val="00DC6C15"/>
    <w:rPr>
      <w:sz w:val="24"/>
      <w:szCs w:val="24"/>
    </w:rPr>
  </w:style>
  <w:style w:type="character" w:styleId="CommentReference">
    <w:name w:val="annotation reference"/>
    <w:uiPriority w:val="99"/>
    <w:rsid w:val="000E06E8"/>
    <w:rPr>
      <w:sz w:val="16"/>
      <w:szCs w:val="16"/>
    </w:rPr>
  </w:style>
  <w:style w:type="paragraph" w:styleId="CommentText">
    <w:name w:val="annotation text"/>
    <w:basedOn w:val="Normal"/>
    <w:link w:val="CommentTextChar"/>
    <w:uiPriority w:val="99"/>
    <w:rsid w:val="00CB74F9"/>
    <w:rPr>
      <w:sz w:val="20"/>
      <w:lang w:val="x-none" w:eastAsia="x-none"/>
    </w:rPr>
  </w:style>
  <w:style w:type="character" w:customStyle="1" w:styleId="CommentTextChar">
    <w:name w:val="Comment Text Char"/>
    <w:link w:val="CommentText"/>
    <w:uiPriority w:val="99"/>
    <w:rsid w:val="000E06E8"/>
    <w:rPr>
      <w:snapToGrid w:val="0"/>
      <w:kern w:val="28"/>
      <w:lang w:val="x-none" w:eastAsia="x-none"/>
    </w:rPr>
  </w:style>
  <w:style w:type="paragraph" w:styleId="CommentSubject">
    <w:name w:val="annotation subject"/>
    <w:basedOn w:val="CommentText"/>
    <w:next w:val="CommentText"/>
    <w:link w:val="CommentSubjectChar"/>
    <w:rsid w:val="00CB74F9"/>
    <w:rPr>
      <w:b/>
      <w:bCs/>
    </w:rPr>
  </w:style>
  <w:style w:type="character" w:customStyle="1" w:styleId="CommentSubjectChar">
    <w:name w:val="Comment Subject Char"/>
    <w:link w:val="CommentSubject"/>
    <w:rsid w:val="000E06E8"/>
    <w:rPr>
      <w:b/>
      <w:bCs/>
      <w:snapToGrid w:val="0"/>
      <w:kern w:val="28"/>
      <w:lang w:val="x-none" w:eastAsia="x-none"/>
    </w:rPr>
  </w:style>
  <w:style w:type="paragraph" w:customStyle="1" w:styleId="ColorfulShading-Accent11">
    <w:name w:val="Colorful Shading - Accent 11"/>
    <w:hidden/>
    <w:uiPriority w:val="71"/>
    <w:rsid w:val="00F60C09"/>
    <w:rPr>
      <w:snapToGrid w:val="0"/>
      <w:kern w:val="28"/>
      <w:sz w:val="22"/>
    </w:rPr>
  </w:style>
  <w:style w:type="paragraph" w:styleId="Revision">
    <w:name w:val="Revision"/>
    <w:hidden/>
    <w:uiPriority w:val="71"/>
    <w:rsid w:val="00A5398D"/>
    <w:rPr>
      <w:snapToGrid w:val="0"/>
      <w:kern w:val="28"/>
      <w:sz w:val="22"/>
    </w:rPr>
  </w:style>
  <w:style w:type="numbering" w:customStyle="1" w:styleId="Style1">
    <w:name w:val="Style1"/>
    <w:rsid w:val="00EB6A7F"/>
    <w:pPr>
      <w:numPr>
        <w:numId w:val="40"/>
      </w:numPr>
    </w:pPr>
  </w:style>
  <w:style w:type="character" w:customStyle="1" w:styleId="HeaderChar">
    <w:name w:val="Header Char"/>
    <w:basedOn w:val="DefaultParagraphFont"/>
    <w:link w:val="Header"/>
    <w:rsid w:val="00C55AD5"/>
    <w:rPr>
      <w:b/>
      <w:snapToGrid w:val="0"/>
      <w:kern w:val="28"/>
      <w:sz w:val="22"/>
    </w:rPr>
  </w:style>
  <w:style w:type="character" w:customStyle="1" w:styleId="FooterChar">
    <w:name w:val="Footer Char"/>
    <w:basedOn w:val="DefaultParagraphFont"/>
    <w:link w:val="Footer"/>
    <w:rsid w:val="00C55AD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99"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2F"/>
    <w:pPr>
      <w:widowControl w:val="0"/>
    </w:pPr>
    <w:rPr>
      <w:snapToGrid w:val="0"/>
      <w:kern w:val="28"/>
      <w:sz w:val="22"/>
    </w:rPr>
  </w:style>
  <w:style w:type="paragraph" w:styleId="Heading1">
    <w:name w:val="heading 1"/>
    <w:basedOn w:val="Normal"/>
    <w:next w:val="ParaNum"/>
    <w:link w:val="Heading1Char"/>
    <w:qFormat/>
    <w:rsid w:val="00465A2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65A2F"/>
    <w:pPr>
      <w:keepNext/>
      <w:numPr>
        <w:ilvl w:val="1"/>
        <w:numId w:val="2"/>
      </w:numPr>
      <w:spacing w:after="120"/>
      <w:outlineLvl w:val="1"/>
    </w:pPr>
    <w:rPr>
      <w:b/>
    </w:rPr>
  </w:style>
  <w:style w:type="paragraph" w:styleId="Heading3">
    <w:name w:val="heading 3"/>
    <w:basedOn w:val="Normal"/>
    <w:next w:val="ParaNum"/>
    <w:qFormat/>
    <w:rsid w:val="00465A2F"/>
    <w:pPr>
      <w:keepNext/>
      <w:numPr>
        <w:ilvl w:val="2"/>
        <w:numId w:val="2"/>
      </w:numPr>
      <w:tabs>
        <w:tab w:val="left" w:pos="2160"/>
      </w:tabs>
      <w:spacing w:after="120"/>
      <w:outlineLvl w:val="2"/>
    </w:pPr>
    <w:rPr>
      <w:b/>
    </w:rPr>
  </w:style>
  <w:style w:type="paragraph" w:styleId="Heading4">
    <w:name w:val="heading 4"/>
    <w:basedOn w:val="Normal"/>
    <w:next w:val="ParaNum"/>
    <w:qFormat/>
    <w:rsid w:val="00465A2F"/>
    <w:pPr>
      <w:keepNext/>
      <w:numPr>
        <w:ilvl w:val="3"/>
        <w:numId w:val="2"/>
      </w:numPr>
      <w:tabs>
        <w:tab w:val="left" w:pos="2880"/>
      </w:tabs>
      <w:spacing w:after="120"/>
      <w:outlineLvl w:val="3"/>
    </w:pPr>
    <w:rPr>
      <w:b/>
    </w:rPr>
  </w:style>
  <w:style w:type="paragraph" w:styleId="Heading5">
    <w:name w:val="heading 5"/>
    <w:basedOn w:val="Normal"/>
    <w:next w:val="ParaNum"/>
    <w:qFormat/>
    <w:rsid w:val="00465A2F"/>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465A2F"/>
    <w:pPr>
      <w:numPr>
        <w:ilvl w:val="5"/>
        <w:numId w:val="2"/>
      </w:numPr>
      <w:tabs>
        <w:tab w:val="left" w:pos="4320"/>
      </w:tabs>
      <w:spacing w:after="120"/>
      <w:outlineLvl w:val="5"/>
    </w:pPr>
    <w:rPr>
      <w:b/>
    </w:rPr>
  </w:style>
  <w:style w:type="paragraph" w:styleId="Heading7">
    <w:name w:val="heading 7"/>
    <w:basedOn w:val="Normal"/>
    <w:next w:val="ParaNum"/>
    <w:qFormat/>
    <w:rsid w:val="00465A2F"/>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465A2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465A2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65A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5A2F"/>
  </w:style>
  <w:style w:type="paragraph" w:customStyle="1" w:styleId="ParaNum">
    <w:name w:val="ParaNum"/>
    <w:basedOn w:val="Normal"/>
    <w:link w:val="ParaNumChar"/>
    <w:rsid w:val="00465A2F"/>
    <w:pPr>
      <w:numPr>
        <w:numId w:val="1"/>
      </w:numPr>
      <w:tabs>
        <w:tab w:val="clear" w:pos="1080"/>
        <w:tab w:val="num" w:pos="1440"/>
      </w:tabs>
      <w:spacing w:after="120"/>
    </w:pPr>
  </w:style>
  <w:style w:type="paragraph" w:styleId="EndnoteText">
    <w:name w:val="endnote text"/>
    <w:basedOn w:val="Normal"/>
    <w:semiHidden/>
    <w:rsid w:val="00465A2F"/>
    <w:rPr>
      <w:sz w:val="20"/>
    </w:rPr>
  </w:style>
  <w:style w:type="character" w:styleId="EndnoteReference">
    <w:name w:val="endnote reference"/>
    <w:semiHidden/>
    <w:rsid w:val="00465A2F"/>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Car"/>
    <w:link w:val="FootnoteTextChar1"/>
    <w:rsid w:val="00465A2F"/>
    <w:pPr>
      <w:spacing w:after="120"/>
    </w:pPr>
  </w:style>
  <w:style w:type="character" w:styleId="FootnoteReference">
    <w:name w:val="footnote reference"/>
    <w:aliases w:val="Style 4,Style 12,(NECG) Footnote Reference,Appel note de bas de p,Style 124,Style 13,o,fr,Style 3"/>
    <w:rsid w:val="00465A2F"/>
    <w:rPr>
      <w:rFonts w:ascii="Times New Roman" w:hAnsi="Times New Roman"/>
      <w:dstrike w:val="0"/>
      <w:color w:val="auto"/>
      <w:sz w:val="20"/>
      <w:vertAlign w:val="superscript"/>
    </w:rPr>
  </w:style>
  <w:style w:type="paragraph" w:styleId="TOC1">
    <w:name w:val="toc 1"/>
    <w:basedOn w:val="Normal"/>
    <w:next w:val="Normal"/>
    <w:semiHidden/>
    <w:rsid w:val="00465A2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65A2F"/>
    <w:pPr>
      <w:tabs>
        <w:tab w:val="left" w:pos="720"/>
        <w:tab w:val="right" w:leader="dot" w:pos="9360"/>
      </w:tabs>
      <w:suppressAutoHyphens/>
      <w:ind w:left="720" w:right="720" w:hanging="360"/>
    </w:pPr>
    <w:rPr>
      <w:noProof/>
    </w:rPr>
  </w:style>
  <w:style w:type="paragraph" w:styleId="TOC3">
    <w:name w:val="toc 3"/>
    <w:basedOn w:val="Normal"/>
    <w:next w:val="Normal"/>
    <w:semiHidden/>
    <w:rsid w:val="00465A2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65A2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65A2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65A2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65A2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65A2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65A2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65A2F"/>
    <w:pPr>
      <w:tabs>
        <w:tab w:val="right" w:pos="9360"/>
      </w:tabs>
      <w:suppressAutoHyphens/>
    </w:pPr>
  </w:style>
  <w:style w:type="character" w:customStyle="1" w:styleId="EquationCaption">
    <w:name w:val="_Equation Caption"/>
    <w:rsid w:val="00465A2F"/>
  </w:style>
  <w:style w:type="paragraph" w:styleId="Header">
    <w:name w:val="header"/>
    <w:basedOn w:val="Normal"/>
    <w:link w:val="HeaderChar"/>
    <w:autoRedefine/>
    <w:rsid w:val="00465A2F"/>
    <w:pPr>
      <w:tabs>
        <w:tab w:val="center" w:pos="4680"/>
        <w:tab w:val="right" w:pos="9360"/>
      </w:tabs>
    </w:pPr>
    <w:rPr>
      <w:b/>
    </w:rPr>
  </w:style>
  <w:style w:type="paragraph" w:styleId="Footer">
    <w:name w:val="footer"/>
    <w:basedOn w:val="Normal"/>
    <w:link w:val="FooterChar"/>
    <w:rsid w:val="00465A2F"/>
    <w:pPr>
      <w:tabs>
        <w:tab w:val="center" w:pos="4320"/>
        <w:tab w:val="right" w:pos="8640"/>
      </w:tabs>
    </w:pPr>
  </w:style>
  <w:style w:type="character" w:styleId="PageNumber">
    <w:name w:val="page number"/>
    <w:basedOn w:val="DefaultParagraphFont"/>
    <w:rsid w:val="00465A2F"/>
  </w:style>
  <w:style w:type="paragraph" w:styleId="BlockText">
    <w:name w:val="Block Text"/>
    <w:basedOn w:val="Normal"/>
    <w:rsid w:val="00465A2F"/>
    <w:pPr>
      <w:spacing w:after="240"/>
      <w:ind w:left="1440" w:right="1440"/>
    </w:pPr>
  </w:style>
  <w:style w:type="paragraph" w:customStyle="1" w:styleId="Paratitle">
    <w:name w:val="Para title"/>
    <w:basedOn w:val="Normal"/>
    <w:rsid w:val="00465A2F"/>
    <w:pPr>
      <w:tabs>
        <w:tab w:val="center" w:pos="9270"/>
      </w:tabs>
      <w:spacing w:after="240"/>
    </w:pPr>
    <w:rPr>
      <w:spacing w:val="-2"/>
    </w:rPr>
  </w:style>
  <w:style w:type="paragraph" w:customStyle="1" w:styleId="Bullet">
    <w:name w:val="Bullet"/>
    <w:basedOn w:val="Normal"/>
    <w:rsid w:val="00465A2F"/>
    <w:pPr>
      <w:tabs>
        <w:tab w:val="left" w:pos="2160"/>
      </w:tabs>
      <w:spacing w:after="220"/>
      <w:ind w:left="2160" w:hanging="720"/>
    </w:pPr>
  </w:style>
  <w:style w:type="paragraph" w:customStyle="1" w:styleId="TableFormat">
    <w:name w:val="TableFormat"/>
    <w:basedOn w:val="Bullet"/>
    <w:rsid w:val="00465A2F"/>
    <w:pPr>
      <w:tabs>
        <w:tab w:val="clear" w:pos="2160"/>
        <w:tab w:val="left" w:pos="5040"/>
      </w:tabs>
      <w:ind w:left="5040" w:hanging="3600"/>
    </w:pPr>
  </w:style>
  <w:style w:type="paragraph" w:customStyle="1" w:styleId="TOCTitle">
    <w:name w:val="TOC Title"/>
    <w:basedOn w:val="Normal"/>
    <w:rsid w:val="00465A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65A2F"/>
    <w:pPr>
      <w:jc w:val="center"/>
    </w:pPr>
    <w:rPr>
      <w:rFonts w:ascii="Times New Roman Bold" w:hAnsi="Times New Roman Bold"/>
      <w:b/>
      <w:bCs/>
      <w:caps/>
      <w:szCs w:val="22"/>
    </w:rPr>
  </w:style>
  <w:style w:type="character" w:styleId="Hyperlink">
    <w:name w:val="Hyperlink"/>
    <w:rsid w:val="00465A2F"/>
    <w:rPr>
      <w:color w:val="0000FF"/>
      <w:u w:val="single"/>
    </w:rPr>
  </w:style>
  <w:style w:type="paragraph" w:styleId="Title">
    <w:name w:val="Title"/>
    <w:basedOn w:val="Normal"/>
    <w:link w:val="TitleChar"/>
    <w:qFormat/>
    <w:rsid w:val="00835ED4"/>
    <w:pPr>
      <w:widowControl/>
      <w:tabs>
        <w:tab w:val="center" w:pos="4770"/>
      </w:tabs>
      <w:spacing w:line="226" w:lineRule="auto"/>
      <w:jc w:val="center"/>
    </w:pPr>
    <w:rPr>
      <w:b/>
      <w:snapToGrid/>
      <w:kern w:val="0"/>
      <w:lang w:val="x-none" w:eastAsia="x-none"/>
    </w:rPr>
  </w:style>
  <w:style w:type="character" w:customStyle="1" w:styleId="TitleChar">
    <w:name w:val="Title Char"/>
    <w:link w:val="Title"/>
    <w:rsid w:val="00835ED4"/>
    <w:rPr>
      <w:b/>
      <w:sz w:val="22"/>
    </w:rPr>
  </w:style>
  <w:style w:type="paragraph" w:styleId="BalloonText">
    <w:name w:val="Balloon Text"/>
    <w:basedOn w:val="Normal"/>
    <w:link w:val="BalloonTextChar"/>
    <w:rsid w:val="00CB74F9"/>
    <w:rPr>
      <w:rFonts w:ascii="Lucida Grande" w:hAnsi="Lucida Grande"/>
      <w:sz w:val="18"/>
      <w:szCs w:val="18"/>
      <w:lang w:val="x-none" w:eastAsia="x-none"/>
    </w:rPr>
  </w:style>
  <w:style w:type="character" w:customStyle="1" w:styleId="BalloonTextChar">
    <w:name w:val="Balloon Text Char"/>
    <w:link w:val="BalloonText"/>
    <w:rsid w:val="00835ED4"/>
    <w:rPr>
      <w:rFonts w:ascii="Lucida Grande" w:hAnsi="Lucida Grande"/>
      <w:snapToGrid w:val="0"/>
      <w:kern w:val="28"/>
      <w:sz w:val="18"/>
      <w:szCs w:val="18"/>
      <w:lang w:val="x-none" w:eastAsia="x-non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locked/>
    <w:rsid w:val="005818DB"/>
  </w:style>
  <w:style w:type="paragraph" w:customStyle="1" w:styleId="Paranum0">
    <w:name w:val="Paranum"/>
    <w:rsid w:val="005818DB"/>
    <w:pPr>
      <w:numPr>
        <w:numId w:val="3"/>
      </w:numPr>
      <w:tabs>
        <w:tab w:val="left" w:pos="1440"/>
      </w:tabs>
      <w:spacing w:after="240"/>
      <w:jc w:val="both"/>
    </w:pPr>
    <w:rPr>
      <w:sz w:val="22"/>
    </w:rPr>
  </w:style>
  <w:style w:type="paragraph" w:customStyle="1" w:styleId="par1">
    <w:name w:val="par1"/>
    <w:basedOn w:val="Normal"/>
    <w:link w:val="par1Char"/>
    <w:uiPriority w:val="99"/>
    <w:rsid w:val="00CB74F9"/>
    <w:pPr>
      <w:tabs>
        <w:tab w:val="num" w:pos="1080"/>
      </w:tabs>
      <w:ind w:firstLine="720"/>
    </w:pPr>
    <w:rPr>
      <w:lang w:val="x-none" w:eastAsia="x-none"/>
    </w:rPr>
  </w:style>
  <w:style w:type="character" w:customStyle="1" w:styleId="par1Char">
    <w:name w:val="par1 Char"/>
    <w:link w:val="par1"/>
    <w:uiPriority w:val="99"/>
    <w:locked/>
    <w:rsid w:val="00042570"/>
    <w:rPr>
      <w:snapToGrid w:val="0"/>
      <w:kern w:val="28"/>
      <w:sz w:val="22"/>
      <w:lang w:val="x-none" w:eastAsia="x-none"/>
    </w:rPr>
  </w:style>
  <w:style w:type="paragraph" w:customStyle="1" w:styleId="ColorfulList-Accent11">
    <w:name w:val="Colorful List - Accent 11"/>
    <w:basedOn w:val="Normal"/>
    <w:qFormat/>
    <w:rsid w:val="00CB74F9"/>
    <w:pPr>
      <w:widowControl/>
      <w:ind w:left="720"/>
    </w:pPr>
    <w:rPr>
      <w:snapToGrid/>
      <w:kern w:val="0"/>
      <w:sz w:val="24"/>
      <w:szCs w:val="24"/>
    </w:rPr>
  </w:style>
  <w:style w:type="character" w:customStyle="1" w:styleId="Heading1Char">
    <w:name w:val="Heading 1 Char"/>
    <w:link w:val="Heading1"/>
    <w:locked/>
    <w:rsid w:val="00C80F28"/>
    <w:rPr>
      <w:rFonts w:ascii="Times New Roman Bold" w:hAnsi="Times New Roman Bold"/>
      <w:b/>
      <w:caps/>
      <w:snapToGrid w:val="0"/>
      <w:kern w:val="28"/>
      <w:sz w:val="22"/>
    </w:rPr>
  </w:style>
  <w:style w:type="character" w:customStyle="1" w:styleId="ParaNumChar">
    <w:name w:val="ParaNum Char"/>
    <w:link w:val="ParaNum"/>
    <w:rsid w:val="00424074"/>
    <w:rPr>
      <w:snapToGrid w:val="0"/>
      <w:kern w:val="28"/>
      <w:sz w:val="22"/>
    </w:rPr>
  </w:style>
  <w:style w:type="paragraph" w:customStyle="1" w:styleId="Heading1A">
    <w:name w:val="Heading 1 A"/>
    <w:next w:val="Normal"/>
    <w:uiPriority w:val="99"/>
    <w:rsid w:val="00DC6C15"/>
    <w:pPr>
      <w:keepNext/>
      <w:suppressAutoHyphens/>
      <w:spacing w:after="120"/>
      <w:outlineLvl w:val="0"/>
    </w:pPr>
    <w:rPr>
      <w:rFonts w:ascii="Times New Roman Bold" w:eastAsia="Calibri" w:hAnsi="Times New Roman Bold"/>
      <w:caps/>
      <w:color w:val="000000"/>
      <w:sz w:val="24"/>
    </w:rPr>
  </w:style>
  <w:style w:type="paragraph" w:customStyle="1" w:styleId="MediumGrid21">
    <w:name w:val="Medium Grid 21"/>
    <w:uiPriority w:val="99"/>
    <w:qFormat/>
    <w:rsid w:val="00DC6C15"/>
    <w:rPr>
      <w:sz w:val="24"/>
      <w:szCs w:val="24"/>
    </w:rPr>
  </w:style>
  <w:style w:type="character" w:styleId="CommentReference">
    <w:name w:val="annotation reference"/>
    <w:uiPriority w:val="99"/>
    <w:rsid w:val="000E06E8"/>
    <w:rPr>
      <w:sz w:val="16"/>
      <w:szCs w:val="16"/>
    </w:rPr>
  </w:style>
  <w:style w:type="paragraph" w:styleId="CommentText">
    <w:name w:val="annotation text"/>
    <w:basedOn w:val="Normal"/>
    <w:link w:val="CommentTextChar"/>
    <w:uiPriority w:val="99"/>
    <w:rsid w:val="00CB74F9"/>
    <w:rPr>
      <w:sz w:val="20"/>
      <w:lang w:val="x-none" w:eastAsia="x-none"/>
    </w:rPr>
  </w:style>
  <w:style w:type="character" w:customStyle="1" w:styleId="CommentTextChar">
    <w:name w:val="Comment Text Char"/>
    <w:link w:val="CommentText"/>
    <w:uiPriority w:val="99"/>
    <w:rsid w:val="000E06E8"/>
    <w:rPr>
      <w:snapToGrid w:val="0"/>
      <w:kern w:val="28"/>
      <w:lang w:val="x-none" w:eastAsia="x-none"/>
    </w:rPr>
  </w:style>
  <w:style w:type="paragraph" w:styleId="CommentSubject">
    <w:name w:val="annotation subject"/>
    <w:basedOn w:val="CommentText"/>
    <w:next w:val="CommentText"/>
    <w:link w:val="CommentSubjectChar"/>
    <w:rsid w:val="00CB74F9"/>
    <w:rPr>
      <w:b/>
      <w:bCs/>
    </w:rPr>
  </w:style>
  <w:style w:type="character" w:customStyle="1" w:styleId="CommentSubjectChar">
    <w:name w:val="Comment Subject Char"/>
    <w:link w:val="CommentSubject"/>
    <w:rsid w:val="000E06E8"/>
    <w:rPr>
      <w:b/>
      <w:bCs/>
      <w:snapToGrid w:val="0"/>
      <w:kern w:val="28"/>
      <w:lang w:val="x-none" w:eastAsia="x-none"/>
    </w:rPr>
  </w:style>
  <w:style w:type="paragraph" w:customStyle="1" w:styleId="ColorfulShading-Accent11">
    <w:name w:val="Colorful Shading - Accent 11"/>
    <w:hidden/>
    <w:uiPriority w:val="71"/>
    <w:rsid w:val="00F60C09"/>
    <w:rPr>
      <w:snapToGrid w:val="0"/>
      <w:kern w:val="28"/>
      <w:sz w:val="22"/>
    </w:rPr>
  </w:style>
  <w:style w:type="paragraph" w:styleId="Revision">
    <w:name w:val="Revision"/>
    <w:hidden/>
    <w:uiPriority w:val="71"/>
    <w:rsid w:val="00A5398D"/>
    <w:rPr>
      <w:snapToGrid w:val="0"/>
      <w:kern w:val="28"/>
      <w:sz w:val="22"/>
    </w:rPr>
  </w:style>
  <w:style w:type="numbering" w:customStyle="1" w:styleId="Style1">
    <w:name w:val="Style1"/>
    <w:rsid w:val="00EB6A7F"/>
    <w:pPr>
      <w:numPr>
        <w:numId w:val="40"/>
      </w:numPr>
    </w:pPr>
  </w:style>
  <w:style w:type="character" w:customStyle="1" w:styleId="HeaderChar">
    <w:name w:val="Header Char"/>
    <w:basedOn w:val="DefaultParagraphFont"/>
    <w:link w:val="Header"/>
    <w:rsid w:val="00C55AD5"/>
    <w:rPr>
      <w:b/>
      <w:snapToGrid w:val="0"/>
      <w:kern w:val="28"/>
      <w:sz w:val="22"/>
    </w:rPr>
  </w:style>
  <w:style w:type="character" w:customStyle="1" w:styleId="FooterChar">
    <w:name w:val="Footer Char"/>
    <w:basedOn w:val="DefaultParagraphFont"/>
    <w:link w:val="Footer"/>
    <w:rsid w:val="00C55AD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2456">
      <w:bodyDiv w:val="1"/>
      <w:marLeft w:val="0"/>
      <w:marRight w:val="0"/>
      <w:marTop w:val="0"/>
      <w:marBottom w:val="0"/>
      <w:divBdr>
        <w:top w:val="none" w:sz="0" w:space="0" w:color="auto"/>
        <w:left w:val="none" w:sz="0" w:space="0" w:color="auto"/>
        <w:bottom w:val="none" w:sz="0" w:space="0" w:color="auto"/>
        <w:right w:val="none" w:sz="0" w:space="0" w:color="auto"/>
      </w:divBdr>
    </w:div>
    <w:div w:id="369114522">
      <w:bodyDiv w:val="1"/>
      <w:marLeft w:val="0"/>
      <w:marRight w:val="0"/>
      <w:marTop w:val="0"/>
      <w:marBottom w:val="0"/>
      <w:divBdr>
        <w:top w:val="none" w:sz="0" w:space="0" w:color="auto"/>
        <w:left w:val="none" w:sz="0" w:space="0" w:color="auto"/>
        <w:bottom w:val="none" w:sz="0" w:space="0" w:color="auto"/>
        <w:right w:val="none" w:sz="0" w:space="0" w:color="auto"/>
      </w:divBdr>
    </w:div>
    <w:div w:id="523135224">
      <w:bodyDiv w:val="1"/>
      <w:marLeft w:val="0"/>
      <w:marRight w:val="0"/>
      <w:marTop w:val="0"/>
      <w:marBottom w:val="0"/>
      <w:divBdr>
        <w:top w:val="none" w:sz="0" w:space="0" w:color="auto"/>
        <w:left w:val="none" w:sz="0" w:space="0" w:color="auto"/>
        <w:bottom w:val="none" w:sz="0" w:space="0" w:color="auto"/>
        <w:right w:val="none" w:sz="0" w:space="0" w:color="auto"/>
      </w:divBdr>
    </w:div>
    <w:div w:id="899899701">
      <w:bodyDiv w:val="1"/>
      <w:marLeft w:val="0"/>
      <w:marRight w:val="0"/>
      <w:marTop w:val="0"/>
      <w:marBottom w:val="0"/>
      <w:divBdr>
        <w:top w:val="none" w:sz="0" w:space="0" w:color="auto"/>
        <w:left w:val="none" w:sz="0" w:space="0" w:color="auto"/>
        <w:bottom w:val="none" w:sz="0" w:space="0" w:color="auto"/>
        <w:right w:val="none" w:sz="0" w:space="0" w:color="auto"/>
      </w:divBdr>
    </w:div>
    <w:div w:id="1346901121">
      <w:bodyDiv w:val="1"/>
      <w:marLeft w:val="0"/>
      <w:marRight w:val="0"/>
      <w:marTop w:val="0"/>
      <w:marBottom w:val="0"/>
      <w:divBdr>
        <w:top w:val="none" w:sz="0" w:space="0" w:color="auto"/>
        <w:left w:val="none" w:sz="0" w:space="0" w:color="auto"/>
        <w:bottom w:val="none" w:sz="0" w:space="0" w:color="auto"/>
        <w:right w:val="none" w:sz="0" w:space="0" w:color="auto"/>
      </w:divBdr>
    </w:div>
    <w:div w:id="1534535950">
      <w:bodyDiv w:val="1"/>
      <w:marLeft w:val="0"/>
      <w:marRight w:val="0"/>
      <w:marTop w:val="0"/>
      <w:marBottom w:val="0"/>
      <w:divBdr>
        <w:top w:val="none" w:sz="0" w:space="0" w:color="auto"/>
        <w:left w:val="none" w:sz="0" w:space="0" w:color="auto"/>
        <w:bottom w:val="none" w:sz="0" w:space="0" w:color="auto"/>
        <w:right w:val="none" w:sz="0" w:space="0" w:color="auto"/>
      </w:divBdr>
    </w:div>
    <w:div w:id="1884829178">
      <w:bodyDiv w:val="1"/>
      <w:marLeft w:val="0"/>
      <w:marRight w:val="0"/>
      <w:marTop w:val="0"/>
      <w:marBottom w:val="0"/>
      <w:divBdr>
        <w:top w:val="none" w:sz="0" w:space="0" w:color="auto"/>
        <w:left w:val="none" w:sz="0" w:space="0" w:color="auto"/>
        <w:bottom w:val="none" w:sz="0" w:space="0" w:color="auto"/>
        <w:right w:val="none" w:sz="0" w:space="0" w:color="auto"/>
      </w:divBdr>
    </w:div>
    <w:div w:id="2110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2279</Words>
  <Characters>12364</Characters>
  <Application>Microsoft Office Word</Application>
  <DocSecurity>0</DocSecurity>
  <Lines>237</Lines>
  <Paragraphs>86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14618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2014-04-25T14:13:00Z</cp:lastPrinted>
  <dcterms:created xsi:type="dcterms:W3CDTF">2016-07-28T14:41:00Z</dcterms:created>
  <dcterms:modified xsi:type="dcterms:W3CDTF">2016-07-28T14:41:00Z</dcterms:modified>
  <cp:category> </cp:category>
  <cp:contentStatus> </cp:contentStatus>
</cp:coreProperties>
</file>