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BD" w:rsidRDefault="002B58BD" w:rsidP="002B58BD">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B58BD" w:rsidRDefault="002B58BD" w:rsidP="002B58BD">
      <w:pPr>
        <w:pStyle w:val="StyleBoldCentered"/>
      </w:pPr>
      <w:r>
        <w:t>F</w:t>
      </w:r>
      <w:r>
        <w:rPr>
          <w:caps w:val="0"/>
        </w:rPr>
        <w:t>ederal Communications Commission</w:t>
      </w:r>
    </w:p>
    <w:p w:rsidR="002B58BD" w:rsidRDefault="002B58BD" w:rsidP="002B58BD">
      <w:pPr>
        <w:pStyle w:val="StyleBoldCentered"/>
      </w:pPr>
      <w:r>
        <w:rPr>
          <w:caps w:val="0"/>
        </w:rPr>
        <w:t>Washington, D.C. 20554</w:t>
      </w:r>
    </w:p>
    <w:p w:rsidR="002B58BD" w:rsidRDefault="002B58BD" w:rsidP="002B58BD"/>
    <w:p w:rsidR="002B58BD" w:rsidRDefault="002B58BD" w:rsidP="002B58BD"/>
    <w:tbl>
      <w:tblPr>
        <w:tblW w:w="0" w:type="auto"/>
        <w:tblLayout w:type="fixed"/>
        <w:tblLook w:val="0000" w:firstRow="0" w:lastRow="0" w:firstColumn="0" w:lastColumn="0" w:noHBand="0" w:noVBand="0"/>
      </w:tblPr>
      <w:tblGrid>
        <w:gridCol w:w="4698"/>
        <w:gridCol w:w="630"/>
        <w:gridCol w:w="4248"/>
      </w:tblGrid>
      <w:tr w:rsidR="002B58BD" w:rsidTr="009B7935">
        <w:tc>
          <w:tcPr>
            <w:tcW w:w="4698" w:type="dxa"/>
          </w:tcPr>
          <w:p w:rsidR="002B58BD" w:rsidRDefault="002B58BD" w:rsidP="009B7935">
            <w:pPr>
              <w:tabs>
                <w:tab w:val="center" w:pos="4680"/>
              </w:tabs>
              <w:suppressAutoHyphens/>
              <w:rPr>
                <w:spacing w:val="-2"/>
              </w:rPr>
            </w:pPr>
            <w:r>
              <w:rPr>
                <w:spacing w:val="-2"/>
              </w:rPr>
              <w:t>In the Matter of</w:t>
            </w:r>
          </w:p>
          <w:p w:rsidR="002B58BD" w:rsidRDefault="002B58BD" w:rsidP="009B7935">
            <w:pPr>
              <w:tabs>
                <w:tab w:val="center" w:pos="4680"/>
              </w:tabs>
              <w:suppressAutoHyphens/>
              <w:rPr>
                <w:spacing w:val="-2"/>
              </w:rPr>
            </w:pPr>
          </w:p>
          <w:p w:rsidR="002B58BD" w:rsidRPr="007115F7" w:rsidRDefault="002B58BD" w:rsidP="009B7935">
            <w:pPr>
              <w:tabs>
                <w:tab w:val="center" w:pos="4680"/>
              </w:tabs>
              <w:suppressAutoHyphens/>
              <w:rPr>
                <w:spacing w:val="-2"/>
              </w:rPr>
            </w:pPr>
            <w:r>
              <w:rPr>
                <w:spacing w:val="-2"/>
              </w:rPr>
              <w:t>Rates for Interstate Inmate Calling Services</w:t>
            </w:r>
          </w:p>
        </w:tc>
        <w:tc>
          <w:tcPr>
            <w:tcW w:w="630" w:type="dxa"/>
          </w:tcPr>
          <w:p w:rsidR="002B58BD" w:rsidRDefault="002B58BD" w:rsidP="009B7935">
            <w:pPr>
              <w:tabs>
                <w:tab w:val="center" w:pos="4680"/>
              </w:tabs>
              <w:suppressAutoHyphens/>
              <w:rPr>
                <w:b/>
                <w:spacing w:val="-2"/>
              </w:rPr>
            </w:pPr>
            <w:r>
              <w:rPr>
                <w:b/>
                <w:spacing w:val="-2"/>
              </w:rPr>
              <w:t>)</w:t>
            </w:r>
          </w:p>
          <w:p w:rsidR="002B58BD" w:rsidRDefault="002B58BD" w:rsidP="009B7935">
            <w:pPr>
              <w:tabs>
                <w:tab w:val="center" w:pos="4680"/>
              </w:tabs>
              <w:suppressAutoHyphens/>
              <w:rPr>
                <w:b/>
                <w:spacing w:val="-2"/>
              </w:rPr>
            </w:pPr>
            <w:r>
              <w:rPr>
                <w:b/>
                <w:spacing w:val="-2"/>
              </w:rPr>
              <w:t>)</w:t>
            </w:r>
          </w:p>
          <w:p w:rsidR="002B58BD" w:rsidRDefault="002B58BD" w:rsidP="009B7935">
            <w:pPr>
              <w:tabs>
                <w:tab w:val="center" w:pos="4680"/>
              </w:tabs>
              <w:suppressAutoHyphens/>
              <w:rPr>
                <w:b/>
                <w:spacing w:val="-2"/>
              </w:rPr>
            </w:pPr>
            <w:r>
              <w:rPr>
                <w:b/>
                <w:spacing w:val="-2"/>
              </w:rPr>
              <w:t>)</w:t>
            </w:r>
          </w:p>
          <w:p w:rsidR="002B58BD" w:rsidRDefault="002B58BD" w:rsidP="009B7935">
            <w:pPr>
              <w:tabs>
                <w:tab w:val="center" w:pos="4680"/>
              </w:tabs>
              <w:suppressAutoHyphens/>
              <w:rPr>
                <w:b/>
                <w:spacing w:val="-2"/>
              </w:rPr>
            </w:pPr>
            <w:r>
              <w:rPr>
                <w:b/>
                <w:spacing w:val="-2"/>
              </w:rPr>
              <w:t>)</w:t>
            </w:r>
          </w:p>
          <w:p w:rsidR="002B58BD" w:rsidRDefault="002B58BD" w:rsidP="009B7935">
            <w:pPr>
              <w:tabs>
                <w:tab w:val="center" w:pos="4680"/>
              </w:tabs>
              <w:suppressAutoHyphens/>
              <w:rPr>
                <w:spacing w:val="-2"/>
              </w:rPr>
            </w:pPr>
          </w:p>
        </w:tc>
        <w:tc>
          <w:tcPr>
            <w:tcW w:w="4248" w:type="dxa"/>
          </w:tcPr>
          <w:p w:rsidR="002B58BD" w:rsidRDefault="002B58BD" w:rsidP="009B7935">
            <w:pPr>
              <w:tabs>
                <w:tab w:val="center" w:pos="4680"/>
              </w:tabs>
              <w:suppressAutoHyphens/>
              <w:rPr>
                <w:spacing w:val="-2"/>
              </w:rPr>
            </w:pPr>
          </w:p>
          <w:p w:rsidR="002B58BD" w:rsidRDefault="002B58BD" w:rsidP="009B7935">
            <w:pPr>
              <w:pStyle w:val="TOAHeading"/>
              <w:tabs>
                <w:tab w:val="clear" w:pos="9360"/>
                <w:tab w:val="center" w:pos="4680"/>
              </w:tabs>
              <w:rPr>
                <w:spacing w:val="-2"/>
              </w:rPr>
            </w:pPr>
          </w:p>
          <w:p w:rsidR="002B58BD" w:rsidRDefault="002B58BD" w:rsidP="009B7935">
            <w:pPr>
              <w:tabs>
                <w:tab w:val="center" w:pos="4680"/>
              </w:tabs>
              <w:suppressAutoHyphens/>
              <w:rPr>
                <w:spacing w:val="-2"/>
              </w:rPr>
            </w:pPr>
            <w:r>
              <w:rPr>
                <w:spacing w:val="-2"/>
              </w:rPr>
              <w:t xml:space="preserve">WC Docket No. 12-375 </w:t>
            </w:r>
          </w:p>
        </w:tc>
      </w:tr>
    </w:tbl>
    <w:p w:rsidR="002B58BD" w:rsidRDefault="002B58BD" w:rsidP="002B58BD"/>
    <w:p w:rsidR="002B58BD" w:rsidRDefault="002B58BD" w:rsidP="002B58BD">
      <w:pPr>
        <w:pStyle w:val="StyleBoldCentered"/>
      </w:pPr>
      <w:r>
        <w:t>Order denying stay petitions</w:t>
      </w:r>
    </w:p>
    <w:p w:rsidR="002B58BD" w:rsidRDefault="002B58BD" w:rsidP="002B58BD">
      <w:pPr>
        <w:tabs>
          <w:tab w:val="left" w:pos="-720"/>
        </w:tabs>
        <w:suppressAutoHyphens/>
        <w:spacing w:line="227" w:lineRule="auto"/>
        <w:rPr>
          <w:spacing w:val="-2"/>
        </w:rPr>
      </w:pPr>
    </w:p>
    <w:p w:rsidR="002B58BD" w:rsidRDefault="002B58BD" w:rsidP="002B58BD">
      <w:pPr>
        <w:tabs>
          <w:tab w:val="left" w:pos="720"/>
          <w:tab w:val="right" w:pos="9360"/>
        </w:tabs>
        <w:suppressAutoHyphens/>
        <w:spacing w:line="227" w:lineRule="auto"/>
        <w:rPr>
          <w:spacing w:val="-2"/>
        </w:rPr>
      </w:pPr>
      <w:r>
        <w:rPr>
          <w:b/>
          <w:spacing w:val="-2"/>
        </w:rPr>
        <w:t xml:space="preserve">Adopted:  September 30, 2016 </w:t>
      </w:r>
      <w:r>
        <w:rPr>
          <w:b/>
          <w:spacing w:val="-2"/>
        </w:rPr>
        <w:tab/>
        <w:t>Released:  September 30, 2016</w:t>
      </w:r>
    </w:p>
    <w:p w:rsidR="002B58BD" w:rsidRDefault="002B58BD" w:rsidP="002B58BD"/>
    <w:p w:rsidR="002B58BD" w:rsidRDefault="002B58BD" w:rsidP="002B58BD">
      <w:pPr>
        <w:rPr>
          <w:spacing w:val="-2"/>
        </w:rPr>
      </w:pPr>
      <w:r>
        <w:t xml:space="preserve">By the </w:t>
      </w:r>
      <w:r>
        <w:rPr>
          <w:spacing w:val="-2"/>
        </w:rPr>
        <w:t>Chief, Wireline Competition Bureau:</w:t>
      </w:r>
    </w:p>
    <w:p w:rsidR="002B58BD" w:rsidRDefault="002B58BD" w:rsidP="002B58BD"/>
    <w:p w:rsidR="002B58BD" w:rsidRDefault="002B58BD" w:rsidP="002B58BD">
      <w:pPr>
        <w:pStyle w:val="Heading1"/>
      </w:pPr>
      <w:r>
        <w:t xml:space="preserve">INTRODUCTION </w:t>
      </w:r>
    </w:p>
    <w:p w:rsidR="002B58BD" w:rsidRDefault="002B58BD" w:rsidP="002B58BD">
      <w:pPr>
        <w:pStyle w:val="ParaNum"/>
      </w:pPr>
      <w:r>
        <w:t xml:space="preserve">Three inmate calling service (ICS) providers, Securus Technologies, Inc. (Securus), Telmate, LLC (Telmate), and Global Tel*Link Corporation (GTL), have each filed petitions for stay of the </w:t>
      </w:r>
      <w:r>
        <w:rPr>
          <w:i/>
        </w:rPr>
        <w:t xml:space="preserve">Reconsideration </w:t>
      </w:r>
      <w:r w:rsidRPr="00096264">
        <w:rPr>
          <w:i/>
        </w:rPr>
        <w:t>Order</w:t>
      </w:r>
      <w:r>
        <w:t>.</w:t>
      </w:r>
      <w:r>
        <w:rPr>
          <w:rStyle w:val="FootnoteReference"/>
        </w:rPr>
        <w:footnoteReference w:id="2"/>
      </w:r>
      <w:r>
        <w:t xml:space="preserve">  Additionally, the National Association of Regulatory Utility Commissioners, along with a number of states and sheriffs (collectively, State Petitioners) filed a petition for stay.</w:t>
      </w:r>
      <w:r>
        <w:rPr>
          <w:rStyle w:val="FootnoteReference"/>
        </w:rPr>
        <w:footnoteReference w:id="3"/>
      </w:r>
      <w:r>
        <w:t xml:space="preserve">  Two ICS providers and the Wright Petitioners have filed separate oppositions to the Petitions.</w:t>
      </w:r>
      <w:r>
        <w:rPr>
          <w:rStyle w:val="FootnoteReference"/>
        </w:rPr>
        <w:footnoteReference w:id="4"/>
      </w:r>
      <w:r>
        <w:t xml:space="preserve">  </w:t>
      </w:r>
      <w:r>
        <w:lastRenderedPageBreak/>
        <w:t>After considering the Petitions and the Oppositions, we deny all four petitions for the reasons set forth below.</w:t>
      </w:r>
      <w:r>
        <w:rPr>
          <w:rStyle w:val="FootnoteReference"/>
        </w:rPr>
        <w:footnoteReference w:id="5"/>
      </w:r>
      <w:r>
        <w:t xml:space="preserve"> </w:t>
      </w:r>
    </w:p>
    <w:p w:rsidR="002B58BD" w:rsidRDefault="002B58BD" w:rsidP="002B58BD">
      <w:pPr>
        <w:pStyle w:val="Heading1"/>
      </w:pPr>
      <w:r>
        <w:t xml:space="preserve">BACKGROUND </w:t>
      </w:r>
    </w:p>
    <w:p w:rsidR="002B58BD" w:rsidRDefault="002B58BD" w:rsidP="002B58BD">
      <w:pPr>
        <w:pStyle w:val="ParaNum"/>
      </w:pPr>
      <w:r>
        <w:t xml:space="preserve">In 2015, the Commission adopted the </w:t>
      </w:r>
      <w:r w:rsidRPr="001539AF">
        <w:rPr>
          <w:i/>
        </w:rPr>
        <w:t>2015 ICS Order</w:t>
      </w:r>
      <w:r>
        <w:t>, relying on its core authority over ICS rates to provide inmates and their families long-awaited relief from unfair, unjust, and unreasonable charges as part of its comprehensive reform of ICS.</w:t>
      </w:r>
      <w:r>
        <w:rPr>
          <w:rStyle w:val="FootnoteReference"/>
        </w:rPr>
        <w:footnoteReference w:id="6"/>
      </w:r>
      <w:r>
        <w:t xml:space="preserve">  The Commission’s approach included, </w:t>
      </w:r>
      <w:r>
        <w:rPr>
          <w:i/>
        </w:rPr>
        <w:t>inter alia</w:t>
      </w:r>
      <w:r>
        <w:t>: adopting tiered rate caps for both interstate and intrastate ICS calls; limiting and capping ancillary service charges; and establishing a periodic review of ICS reforms.</w:t>
      </w:r>
      <w:r>
        <w:rPr>
          <w:rStyle w:val="FootnoteReference"/>
        </w:rPr>
        <w:footnoteReference w:id="7"/>
      </w:r>
      <w:r>
        <w:t xml:space="preserve">  Notably, and most relevant to this Order, the Commission also declined to adopt a per-minute rate additive specifically to account for costs that facilities incur in connection with ICS.</w:t>
      </w:r>
      <w:r>
        <w:rPr>
          <w:rStyle w:val="FootnoteReference"/>
        </w:rPr>
        <w:footnoteReference w:id="8"/>
      </w:r>
      <w:r>
        <w:t xml:space="preserve">  </w:t>
      </w:r>
    </w:p>
    <w:p w:rsidR="002B58BD" w:rsidRDefault="002B58BD" w:rsidP="002B58BD">
      <w:pPr>
        <w:pStyle w:val="ParaNum"/>
      </w:pPr>
      <w:r>
        <w:t xml:space="preserve">Following the release of the </w:t>
      </w:r>
      <w:r>
        <w:rPr>
          <w:i/>
        </w:rPr>
        <w:t>2015 ICS Order</w:t>
      </w:r>
      <w:r>
        <w:t xml:space="preserve">, four ICS providers filed petitions asking the Commission to stay various provisions of the </w:t>
      </w:r>
      <w:r>
        <w:rPr>
          <w:i/>
        </w:rPr>
        <w:t>Order</w:t>
      </w:r>
      <w:r>
        <w:t>.</w:t>
      </w:r>
      <w:r>
        <w:rPr>
          <w:rStyle w:val="FootnoteReference"/>
        </w:rPr>
        <w:footnoteReference w:id="9"/>
      </w:r>
      <w:r>
        <w:t xml:space="preserve">  On January 22, 2016, the Wireline Competition Bureau (Bureau) issued an order denying the stay petitions of GTL, Securus, and Telmate.</w:t>
      </w:r>
      <w:r>
        <w:rPr>
          <w:rStyle w:val="FootnoteReference"/>
        </w:rPr>
        <w:footnoteReference w:id="10"/>
      </w:r>
      <w:r>
        <w:t xml:space="preserve">  After the Bureau issued its order denying the stay petitions, the providers sought a stay from the United States Court of Appeals for the District of Columbia Circuit (D.C. Circuit).  On March 7, 2016, the court stayed two provisions of the Commission’s ICS rules: 47 CFR § 64.6010 (setting caps on ICS calling rates that vary based on the size and type of facility being served) and 47 CFR § 64.6020(b)(2) (setting caps on charges and fees for single call services).</w:t>
      </w:r>
      <w:r>
        <w:rPr>
          <w:rStyle w:val="FootnoteReference"/>
        </w:rPr>
        <w:footnoteReference w:id="11"/>
      </w:r>
      <w:r>
        <w:t xml:space="preserve">  The D.C. Circuit’s </w:t>
      </w:r>
      <w:r>
        <w:rPr>
          <w:i/>
        </w:rPr>
        <w:t xml:space="preserve">March 7 Order </w:t>
      </w:r>
      <w:r>
        <w:t xml:space="preserve">denied motions for stay of </w:t>
      </w:r>
      <w:r>
        <w:lastRenderedPageBreak/>
        <w:t>the Commission’s ICS rules “in all other respects,”</w:t>
      </w:r>
      <w:r>
        <w:rPr>
          <w:rStyle w:val="FootnoteReference"/>
        </w:rPr>
        <w:footnoteReference w:id="12"/>
      </w:r>
      <w:r>
        <w:t xml:space="preserve"> permitting the bulk of the Commission’s reforms to become effective.   On March 23, 2016, the D.C. Circuit modified the stay imposed in the </w:t>
      </w:r>
      <w:r>
        <w:rPr>
          <w:i/>
        </w:rPr>
        <w:t xml:space="preserve">March 7 Order </w:t>
      </w:r>
      <w:r>
        <w:t>to provide that “47 CFR § 64.6030 (imposing interim rate caps)” be stayed as applied to “intrastate calling services.”</w:t>
      </w:r>
      <w:r>
        <w:rPr>
          <w:rStyle w:val="FootnoteReference"/>
        </w:rPr>
        <w:footnoteReference w:id="13"/>
      </w:r>
      <w:r>
        <w:t xml:space="preserve">  </w:t>
      </w:r>
    </w:p>
    <w:p w:rsidR="002B58BD" w:rsidRDefault="002B58BD" w:rsidP="002B58BD">
      <w:pPr>
        <w:pStyle w:val="ParaNum"/>
      </w:pPr>
      <w:r>
        <w:t xml:space="preserve">On January 19, 2016, Michael S. Hamden, an attorney who has represented prisoners and served as a corrections consultant, filed a Petition for Partial Reconsideration, seeking reconsideration of certain aspects of the </w:t>
      </w:r>
      <w:r w:rsidRPr="00D15404">
        <w:t>2015</w:t>
      </w:r>
      <w:r w:rsidRPr="001539AF">
        <w:rPr>
          <w:i/>
        </w:rPr>
        <w:t xml:space="preserve"> ICS Order</w:t>
      </w:r>
      <w:r>
        <w:t>.</w:t>
      </w:r>
      <w:r>
        <w:rPr>
          <w:rStyle w:val="FootnoteReference"/>
        </w:rPr>
        <w:footnoteReference w:id="14"/>
      </w:r>
      <w:r>
        <w:t xml:space="preserve">  In particular, Hamden asked the Commission to reconsider its decision not to prohibit providers from paying site commissions</w:t>
      </w:r>
      <w:r>
        <w:rPr>
          <w:rStyle w:val="FootnoteReference"/>
        </w:rPr>
        <w:footnoteReference w:id="15"/>
      </w:r>
      <w:r>
        <w:t xml:space="preserve"> or, in the alternative, to mandate a “modest, per-minute facility cost recovery fee that would be added to the rate caps.”</w:t>
      </w:r>
      <w:r>
        <w:rPr>
          <w:rStyle w:val="FootnoteReference"/>
        </w:rPr>
        <w:footnoteReference w:id="16"/>
      </w:r>
      <w:r>
        <w:t xml:space="preserve">  Multiple parties submitted responses and oppositions to the Hamden Petition, including ICS providers, facilities, and the Wright Petitioners.</w:t>
      </w:r>
      <w:r>
        <w:rPr>
          <w:rStyle w:val="FootnoteReference"/>
        </w:rPr>
        <w:footnoteReference w:id="17"/>
      </w:r>
      <w:r>
        <w:t xml:space="preserve"> </w:t>
      </w:r>
    </w:p>
    <w:p w:rsidR="002B58BD" w:rsidRDefault="002B58BD" w:rsidP="002B58BD">
      <w:pPr>
        <w:pStyle w:val="ParaNum"/>
      </w:pPr>
      <w:r>
        <w:t>On August 4, 2016, the Commission addressed the Hamden Petition, granting it in part and denying it in part.</w:t>
      </w:r>
      <w:r>
        <w:rPr>
          <w:rStyle w:val="FootnoteReference"/>
        </w:rPr>
        <w:footnoteReference w:id="18"/>
      </w:r>
      <w:r>
        <w:t xml:space="preserve">  Specifically, the Commission granted the Hamden Petition to the extent that it sought an increase in the ICS rate caps to expressly account for reasonable facility costs and to the extent that it sought clarification of the definitions of the terms “Mandatory Taxes” and “Mandatory Fees.”</w:t>
      </w:r>
      <w:r>
        <w:rPr>
          <w:rStyle w:val="FootnoteReference"/>
        </w:rPr>
        <w:footnoteReference w:id="19"/>
      </w:r>
      <w:r>
        <w:t xml:space="preserve">  The Commission denied Hamden’s Petition in all other respects.</w:t>
      </w:r>
      <w:r>
        <w:rPr>
          <w:rStyle w:val="FootnoteReference"/>
        </w:rPr>
        <w:footnoteReference w:id="20"/>
      </w:r>
    </w:p>
    <w:p w:rsidR="002B58BD" w:rsidRDefault="002B58BD" w:rsidP="002B58BD">
      <w:pPr>
        <w:pStyle w:val="ParaNum"/>
      </w:pPr>
      <w:r>
        <w:t>In granting Hamden’s request to expressly account for reasonable facility costs, the Commission carefully considered the record developed in response to the Hamden Petition, as well as the record in the underlying proceeding, and arguments presented in the litigation before the D.C. Circuit.</w:t>
      </w:r>
      <w:r>
        <w:rPr>
          <w:rStyle w:val="FootnoteReference"/>
        </w:rPr>
        <w:footnoteReference w:id="21"/>
      </w:r>
      <w:r>
        <w:t xml:space="preserve">  As a result of this review, the </w:t>
      </w:r>
      <w:r w:rsidDel="0068384F">
        <w:t xml:space="preserve">Commission </w:t>
      </w:r>
      <w:r>
        <w:t>increased the rate caps for debit and prepaid ICS calls to $0.31 per minute for jails with an average daily population (ADP) below 350, $0.21 per minute for jails with an ADP between 350 and 999, $0.19 per minute for jails with an ADP of 1,000 or more, $0.13 per minute for prisons.</w:t>
      </w:r>
      <w:r>
        <w:rPr>
          <w:rStyle w:val="FootnoteReference"/>
        </w:rPr>
        <w:footnoteReference w:id="22"/>
      </w:r>
      <w:r>
        <w:t xml:space="preserve">  It also increased the rate caps for collect calls by a commensurate amount.</w:t>
      </w:r>
      <w:r>
        <w:rPr>
          <w:rStyle w:val="FootnoteReference"/>
        </w:rPr>
        <w:footnoteReference w:id="23"/>
      </w:r>
      <w:r>
        <w:t xml:space="preserve">  The Commission found that the revised rate caps will “adequately ensure that rates for ICS consumers will be fair, just, and reasonable.”</w:t>
      </w:r>
      <w:r>
        <w:rPr>
          <w:rStyle w:val="FootnoteReference"/>
        </w:rPr>
        <w:footnoteReference w:id="24"/>
      </w:r>
      <w:r>
        <w:t xml:space="preserve">  The </w:t>
      </w:r>
      <w:r>
        <w:rPr>
          <w:i/>
        </w:rPr>
        <w:t>Reconsideration Order</w:t>
      </w:r>
      <w:r w:rsidRPr="00177011">
        <w:rPr>
          <w:i/>
        </w:rPr>
        <w:t xml:space="preserve"> </w:t>
      </w:r>
      <w:r>
        <w:t>does not limit providers’ flexibility to decide whether to pay site commissions and, if so, how much to pay.</w:t>
      </w:r>
      <w:r>
        <w:rPr>
          <w:rStyle w:val="FootnoteReference"/>
        </w:rPr>
        <w:footnoteReference w:id="25"/>
      </w:r>
    </w:p>
    <w:p w:rsidR="002B58BD" w:rsidRDefault="002B58BD" w:rsidP="002B58BD">
      <w:pPr>
        <w:pStyle w:val="ParaNum"/>
      </w:pPr>
      <w:r>
        <w:t xml:space="preserve">On August 25, 2016, Securus filed a petition for stay of the </w:t>
      </w:r>
      <w:r>
        <w:rPr>
          <w:i/>
        </w:rPr>
        <w:t>Reconsideration Order</w:t>
      </w:r>
      <w:r>
        <w:t>.</w:t>
      </w:r>
      <w:r>
        <w:rPr>
          <w:rStyle w:val="FootnoteReference"/>
        </w:rPr>
        <w:footnoteReference w:id="26"/>
      </w:r>
      <w:r>
        <w:t xml:space="preserve">  Telmate, GTL, and the State Petitioners filed petitions shortly thereafter, on August 29, September 1, and September 2, 2016 respectively.</w:t>
      </w:r>
      <w:r>
        <w:rPr>
          <w:rStyle w:val="FootnoteReference"/>
        </w:rPr>
        <w:footnoteReference w:id="27"/>
      </w:r>
      <w:r>
        <w:t xml:space="preserve">  The Petitioners generally challenge the procedural soundness of the </w:t>
      </w:r>
      <w:r>
        <w:rPr>
          <w:i/>
        </w:rPr>
        <w:t>Reconsideration Order</w:t>
      </w:r>
      <w:r>
        <w:t>,</w:t>
      </w:r>
      <w:r>
        <w:rPr>
          <w:rStyle w:val="FootnoteReference"/>
        </w:rPr>
        <w:footnoteReference w:id="28"/>
      </w:r>
      <w:r>
        <w:t xml:space="preserve"> the sufficiency of the revised rate caps,</w:t>
      </w:r>
      <w:r>
        <w:rPr>
          <w:rStyle w:val="FootnoteReference"/>
        </w:rPr>
        <w:footnoteReference w:id="29"/>
      </w:r>
      <w:r>
        <w:t xml:space="preserve"> the Commission’s authority to set intrastate rate caps,</w:t>
      </w:r>
      <w:r>
        <w:rPr>
          <w:rStyle w:val="FootnoteReference"/>
        </w:rPr>
        <w:footnoteReference w:id="30"/>
      </w:r>
      <w:r>
        <w:t xml:space="preserve"> and the Commission’s treatment of site commissions,</w:t>
      </w:r>
      <w:r>
        <w:rPr>
          <w:rStyle w:val="FootnoteReference"/>
        </w:rPr>
        <w:footnoteReference w:id="31"/>
      </w:r>
      <w:r>
        <w:t xml:space="preserve"> among other things.  </w:t>
      </w:r>
      <w:r w:rsidRPr="00C240EC">
        <w:t xml:space="preserve">The Wright Petitioners, ICSolutions, and NCIC oppose the stay petitions, arguing that the Petitioners have failed to </w:t>
      </w:r>
      <w:r>
        <w:t>meet any of the requirements needed to justify a stay</w:t>
      </w:r>
      <w:r w:rsidRPr="00C240EC">
        <w:t>.</w:t>
      </w:r>
      <w:r w:rsidRPr="00C240EC">
        <w:rPr>
          <w:rStyle w:val="FootnoteReference"/>
        </w:rPr>
        <w:footnoteReference w:id="32"/>
      </w:r>
      <w:r w:rsidDel="0037478C">
        <w:t xml:space="preserve"> </w:t>
      </w:r>
    </w:p>
    <w:p w:rsidR="002B58BD" w:rsidRDefault="002B58BD" w:rsidP="002B58BD">
      <w:pPr>
        <w:pStyle w:val="ParaNum"/>
      </w:pPr>
      <w:r>
        <w:t xml:space="preserve">As described below, we find that the Petitioners have failed to demonstrate that they will suffer irreparable harm if the </w:t>
      </w:r>
      <w:r>
        <w:rPr>
          <w:i/>
        </w:rPr>
        <w:t xml:space="preserve">Reconsideration Order </w:t>
      </w:r>
      <w:r>
        <w:t xml:space="preserve">is not stayed.  Nor have they persuaded us that they are likely to succeed on the merits or that a stay would be in the public interest.  To the contrary, we find that other parties—particularly ICS consumers—will be harmed if the </w:t>
      </w:r>
      <w:r>
        <w:rPr>
          <w:i/>
        </w:rPr>
        <w:t xml:space="preserve">Reconsideration Order </w:t>
      </w:r>
      <w:r>
        <w:t xml:space="preserve">is stayed.  Accordingly, we deny Petitioners’ requests. </w:t>
      </w:r>
    </w:p>
    <w:p w:rsidR="002B58BD" w:rsidRDefault="002B58BD" w:rsidP="002B58BD">
      <w:pPr>
        <w:pStyle w:val="Heading1"/>
      </w:pPr>
      <w:r>
        <w:t xml:space="preserve">Discussion </w:t>
      </w:r>
    </w:p>
    <w:p w:rsidR="002B58BD" w:rsidRDefault="002B58BD" w:rsidP="002B58BD">
      <w:pPr>
        <w:pStyle w:val="ParaNum"/>
      </w:pPr>
      <w:r>
        <w:t>To qualify for the extraordinary remedy of a stay, a petitioner must show that: (1) it is likely to prevail on the merits; (2) it will suffer irreparable harm absent the grant of preliminary relief; (3) other parties will not be harmed if the stay is granted; and (4) the public interest would favor grant of the stay.</w:t>
      </w:r>
      <w:r>
        <w:rPr>
          <w:rStyle w:val="FootnoteReference"/>
        </w:rPr>
        <w:footnoteReference w:id="33"/>
      </w:r>
      <w:r>
        <w:t xml:space="preserve">  For the reasons described below, the Petitioners have failed to carry their burden of proving any of the relevant factors.  </w:t>
      </w:r>
    </w:p>
    <w:p w:rsidR="002B58BD" w:rsidRDefault="002B58BD" w:rsidP="002B58BD">
      <w:pPr>
        <w:pStyle w:val="Heading2"/>
      </w:pPr>
      <w:r>
        <w:t>Petitioners Are Unlikely to Prevail on the Merits</w:t>
      </w:r>
    </w:p>
    <w:p w:rsidR="002B58BD" w:rsidRDefault="002B58BD" w:rsidP="002B58BD">
      <w:pPr>
        <w:pStyle w:val="ParaNum"/>
      </w:pPr>
      <w:r>
        <w:t xml:space="preserve">Petitioners have failed to demonstrate that they are likely to succeed on the merits.  As an initial matter, we note that Petitioners largely reiterate arguments they raised previously and which </w:t>
      </w:r>
      <w:r w:rsidRPr="00D34477">
        <w:t>we</w:t>
      </w:r>
      <w:r>
        <w:t xml:space="preserve"> disposed of in our order denying petitions seeking stays of the </w:t>
      </w:r>
      <w:r>
        <w:rPr>
          <w:i/>
        </w:rPr>
        <w:t xml:space="preserve">2015 </w:t>
      </w:r>
      <w:r w:rsidRPr="00D34477">
        <w:rPr>
          <w:i/>
        </w:rPr>
        <w:t>ICS O</w:t>
      </w:r>
      <w:r w:rsidRPr="005024D4">
        <w:rPr>
          <w:i/>
        </w:rPr>
        <w:t>rder</w:t>
      </w:r>
      <w:r>
        <w:rPr>
          <w:i/>
        </w:rPr>
        <w:t xml:space="preserve">.  </w:t>
      </w:r>
      <w:r w:rsidRPr="00BF3C7F">
        <w:t>We do not</w:t>
      </w:r>
      <w:r>
        <w:rPr>
          <w:i/>
        </w:rPr>
        <w:t xml:space="preserve"> </w:t>
      </w:r>
      <w:r>
        <w:t>address those arguments again here, but instead rely on our previous analysis.</w:t>
      </w:r>
      <w:r>
        <w:rPr>
          <w:rStyle w:val="FootnoteReference"/>
        </w:rPr>
        <w:footnoteReference w:id="34"/>
      </w:r>
      <w:r>
        <w:t xml:space="preserve">  Moreover, despite the Petitioners’ claims to the contrary, the </w:t>
      </w:r>
      <w:r>
        <w:rPr>
          <w:i/>
        </w:rPr>
        <w:t xml:space="preserve">Reconsideration Order </w:t>
      </w:r>
      <w:r w:rsidRPr="00A23D61">
        <w:t xml:space="preserve">is procedurally </w:t>
      </w:r>
      <w:r>
        <w:t xml:space="preserve">sound; </w:t>
      </w:r>
      <w:r w:rsidRPr="00C240EC">
        <w:t xml:space="preserve">the </w:t>
      </w:r>
      <w:r w:rsidRPr="00C240EC">
        <w:rPr>
          <w:i/>
        </w:rPr>
        <w:t>Reconsideration Order</w:t>
      </w:r>
      <w:r w:rsidRPr="00C240EC">
        <w:t xml:space="preserve"> </w:t>
      </w:r>
      <w:r>
        <w:t>does not dictate how providers spend their ICS revenues</w:t>
      </w:r>
      <w:r w:rsidRPr="00C240EC">
        <w:t>;</w:t>
      </w:r>
      <w:r w:rsidRPr="000C05C3">
        <w:rPr>
          <w:b/>
        </w:rPr>
        <w:t xml:space="preserve"> </w:t>
      </w:r>
      <w:r w:rsidRPr="00A5027D">
        <w:t xml:space="preserve">the Commission relied on data from credible sources to determine facilities’ </w:t>
      </w:r>
      <w:r w:rsidRPr="00C240EC">
        <w:t xml:space="preserve">ICS-related </w:t>
      </w:r>
      <w:r w:rsidRPr="00A5027D">
        <w:t>costs;</w:t>
      </w:r>
      <w:r w:rsidRPr="00C240EC">
        <w:rPr>
          <w:b/>
        </w:rPr>
        <w:t xml:space="preserve"> </w:t>
      </w:r>
      <w:r w:rsidRPr="00A5027D">
        <w:t>the revised rate caps allow providers to collect significantly more revenue than they could under the original rate caps;</w:t>
      </w:r>
      <w:r w:rsidRPr="00C240EC">
        <w:rPr>
          <w:b/>
        </w:rPr>
        <w:t xml:space="preserve"> </w:t>
      </w:r>
      <w:r>
        <w:t xml:space="preserve">site commissions are clearly distinguishable from taxes and mandatory fees; </w:t>
      </w:r>
      <w:r w:rsidRPr="00A5027D">
        <w:t xml:space="preserve">and the Court’s previous stay orders </w:t>
      </w:r>
      <w:r>
        <w:t xml:space="preserve">are not determinative of </w:t>
      </w:r>
      <w:r w:rsidRPr="00A5027D">
        <w:t xml:space="preserve">the Petitioners’ likelihood of success in appealing the </w:t>
      </w:r>
      <w:r w:rsidRPr="00A5027D">
        <w:rPr>
          <w:i/>
        </w:rPr>
        <w:t>2016 Reconsideration Order</w:t>
      </w:r>
      <w:r>
        <w:t xml:space="preserve">.  Accordingly, the Petitioners are unlikely to prevail on the merits of any of their claims. </w:t>
      </w:r>
    </w:p>
    <w:p w:rsidR="002B58BD" w:rsidRDefault="002B58BD" w:rsidP="002B58BD">
      <w:pPr>
        <w:pStyle w:val="Heading3"/>
      </w:pPr>
      <w:r>
        <w:t xml:space="preserve">The </w:t>
      </w:r>
      <w:r>
        <w:rPr>
          <w:i/>
        </w:rPr>
        <w:t xml:space="preserve">Reconsideration Order </w:t>
      </w:r>
      <w:r w:rsidRPr="006B2C26">
        <w:t xml:space="preserve">is Procedurally </w:t>
      </w:r>
      <w:r>
        <w:t>Sound</w:t>
      </w:r>
      <w:r w:rsidRPr="006B2C26">
        <w:t xml:space="preserve"> </w:t>
      </w:r>
    </w:p>
    <w:p w:rsidR="002B58BD" w:rsidRPr="00EF2261" w:rsidRDefault="002B58BD" w:rsidP="00691870">
      <w:pPr>
        <w:pStyle w:val="ParaNum"/>
      </w:pPr>
      <w:r>
        <w:t xml:space="preserve">Telmate contends that the </w:t>
      </w:r>
      <w:r>
        <w:rPr>
          <w:i/>
        </w:rPr>
        <w:t>Reconsideration Order</w:t>
      </w:r>
      <w:r>
        <w:t xml:space="preserve"> is “procedurally defective.”</w:t>
      </w:r>
      <w:r>
        <w:rPr>
          <w:rStyle w:val="FootnoteReference"/>
        </w:rPr>
        <w:footnoteReference w:id="35"/>
      </w:r>
      <w:r>
        <w:t xml:space="preserve">  Specifically, Telmate argues Hamden did not explicitly request the actions the Commission took in the Order, rendering it “invalid.”</w:t>
      </w:r>
      <w:r>
        <w:rPr>
          <w:rStyle w:val="FootnoteReference"/>
        </w:rPr>
        <w:footnoteReference w:id="36"/>
      </w:r>
      <w:r>
        <w:t xml:space="preserve">  Telmate’s argument appears to be premised on the flawed notion that, in considering a petition for reconsideration, the Commission must either adopt the precise relief the petitioner has requested or deny the petition.  Not so.  Nothing in the Commission’s rules restricts it to such a binary choice.</w:t>
      </w:r>
      <w:r>
        <w:rPr>
          <w:rStyle w:val="FootnoteReference"/>
        </w:rPr>
        <w:footnoteReference w:id="37"/>
      </w:r>
      <w:r>
        <w:t xml:space="preserve">  Hamden’s Petition for Reconsideration requested that the Commission prohibit providers from paying site commissions, or, in the alternative, impose a “modest, per-minute facility cost recovery fee that would be added to the rate caps.”</w:t>
      </w:r>
      <w:r>
        <w:rPr>
          <w:rStyle w:val="FootnoteReference"/>
        </w:rPr>
        <w:footnoteReference w:id="38"/>
      </w:r>
      <w:r>
        <w:t xml:space="preserve">  As discussed above, the Commission considered Hamden’s request and other relevant evidence, and ultimately decided to amend the ICS rate caps to “better allow providers to cover costs facilities may incur that are reasonably related to the provision of ICS.”</w:t>
      </w:r>
      <w:r>
        <w:rPr>
          <w:rStyle w:val="FootnoteReference"/>
        </w:rPr>
        <w:footnoteReference w:id="39"/>
      </w:r>
      <w:r>
        <w:t xml:space="preserve">  The Commission did not prohibit site commissions;</w:t>
      </w:r>
      <w:r>
        <w:rPr>
          <w:rStyle w:val="FootnoteReference"/>
        </w:rPr>
        <w:footnoteReference w:id="40"/>
      </w:r>
      <w:r>
        <w:t xml:space="preserve"> it also did not restrict payments by ICS providers to correctional facilities to a specific amount mandated by the Commission, as Hamden and others may have preferred.  The Commission’s action nevertheless responded to Hamden’s proposal that the Commission allow providers to collect additional revenue from consumers of ICS to ensure that rates for inmate calls are high enough to cover facility-incurred costs.</w:t>
      </w:r>
      <w:r>
        <w:rPr>
          <w:rStyle w:val="FootnoteReference"/>
        </w:rPr>
        <w:footnoteReference w:id="41"/>
      </w:r>
      <w:r>
        <w:t xml:space="preserve">  Furthermore, the Commission clearly had the discretion to modify its rates in response to the Hamden Petition, because the revised rates are a “logical outgrowth” of the Hamden Petition as well as the underlying rulemaking that resulted in the previous rates, and the Commission gave a reasoned explanation for its action that was supported by the record in the broader, ongoing inmate calling proceeding.</w:t>
      </w:r>
      <w:r w:rsidDel="003D00A4">
        <w:rPr>
          <w:rStyle w:val="FootnoteReference"/>
        </w:rPr>
        <w:t xml:space="preserve"> </w:t>
      </w:r>
      <w:r w:rsidDel="00F8735B">
        <w:t xml:space="preserve"> </w:t>
      </w:r>
      <w:r>
        <w:t xml:space="preserve"> In any event, the Commission’s decision to consider the Hamden Petition but grant only part of the relief requested</w:t>
      </w:r>
      <w:r w:rsidDel="00893C77">
        <w:t xml:space="preserve"> </w:t>
      </w:r>
      <w:r>
        <w:t>does not render</w:t>
      </w:r>
      <w:r w:rsidDel="00893C77">
        <w:t xml:space="preserve"> the </w:t>
      </w:r>
      <w:r>
        <w:t xml:space="preserve">Commission’s order procedurally improper.  Thus, Telmate is unlikely to prevail on its claim that the </w:t>
      </w:r>
      <w:r w:rsidRPr="00F8735B">
        <w:rPr>
          <w:i/>
        </w:rPr>
        <w:t xml:space="preserve">Reconsideration Order </w:t>
      </w:r>
      <w:r>
        <w:t>is “procedurally defective.”</w:t>
      </w:r>
    </w:p>
    <w:p w:rsidR="002B58BD" w:rsidRDefault="002B58BD" w:rsidP="002B58BD">
      <w:pPr>
        <w:pStyle w:val="Heading3"/>
      </w:pPr>
      <w:r>
        <w:t xml:space="preserve">The Revised Rate Caps Better Allow ICS Providers to Recover their Costs of Providing ICS </w:t>
      </w:r>
    </w:p>
    <w:p w:rsidR="002B58BD" w:rsidRPr="00A5026F" w:rsidRDefault="002B58BD" w:rsidP="002B58BD">
      <w:pPr>
        <w:pStyle w:val="ParaNum"/>
      </w:pPr>
      <w:r>
        <w:t>The Petitioners generally argue that the FCC’s rate caps are impermissibly below providers’ costs.</w:t>
      </w:r>
      <w:r>
        <w:rPr>
          <w:rStyle w:val="FootnoteReference"/>
        </w:rPr>
        <w:footnoteReference w:id="42"/>
      </w:r>
      <w:r>
        <w:t xml:space="preserve">  To the extent that Petitioners reassert their opposition to the Commission’s decision to set rate caps in the </w:t>
      </w:r>
      <w:r>
        <w:rPr>
          <w:i/>
        </w:rPr>
        <w:t xml:space="preserve">2015 ICS Order </w:t>
      </w:r>
      <w:r>
        <w:t>based on providers’ average costs, we note that the Bureau has already addressed these arguments, and do not address them here again here.</w:t>
      </w:r>
      <w:r>
        <w:rPr>
          <w:rStyle w:val="FootnoteReference"/>
        </w:rPr>
        <w:footnoteReference w:id="43"/>
      </w:r>
      <w:r>
        <w:t xml:space="preserve">  We do, however, address three versions of this argument that are relevant to the revised rate caps adopted in the </w:t>
      </w:r>
      <w:r>
        <w:rPr>
          <w:i/>
        </w:rPr>
        <w:t>Reconsideration Order</w:t>
      </w:r>
      <w:r>
        <w:t xml:space="preserve">, including arguments that the rate caps are too low because: (1) all of the increased revenue permitted under the revised rate caps will go to facilities; (2) the Commission never asked providers for data on ICS-related costs incurred by facilities; and (3) the revised rate caps add “mere pennies” to the 2015 rates.   </w:t>
      </w:r>
    </w:p>
    <w:p w:rsidR="002B58BD" w:rsidRPr="00136619" w:rsidRDefault="002B58BD" w:rsidP="002B58BD">
      <w:pPr>
        <w:pStyle w:val="ParaNum"/>
      </w:pPr>
      <w:r>
        <w:rPr>
          <w:i/>
        </w:rPr>
        <w:t>The Reconsideration Order Does Not Dictate How Providers Spend Their ICS Revenues</w:t>
      </w:r>
      <w:r w:rsidRPr="00143B6B">
        <w:t>.</w:t>
      </w:r>
      <w:r>
        <w:t xml:space="preserve">  Securus and Telmate argue that “all” additional revenue from the rate cap increases adopted in the </w:t>
      </w:r>
      <w:r>
        <w:rPr>
          <w:i/>
        </w:rPr>
        <w:t xml:space="preserve">Reconsideration Order </w:t>
      </w:r>
      <w:r>
        <w:t>will go to facilities, not the providers</w:t>
      </w:r>
      <w:r w:rsidRPr="007F76A1">
        <w:t>.</w:t>
      </w:r>
      <w:r w:rsidRPr="007F76A1">
        <w:rPr>
          <w:rStyle w:val="FootnoteReference"/>
        </w:rPr>
        <w:footnoteReference w:id="44"/>
      </w:r>
      <w:r w:rsidRPr="007F76A1">
        <w:t xml:space="preserve"> </w:t>
      </w:r>
      <w:r>
        <w:t xml:space="preserve"> These arguments ignore the plain language of the </w:t>
      </w:r>
      <w:r>
        <w:rPr>
          <w:i/>
        </w:rPr>
        <w:t>Reconsideration Order</w:t>
      </w:r>
      <w:r>
        <w:t>, which made clear that nothing in the Commission’s rules restricts a provider’s discretion to distribute or keep “whatever revenue it collects under the adopted rate caps.”</w:t>
      </w:r>
      <w:r>
        <w:rPr>
          <w:rStyle w:val="FootnoteReference"/>
        </w:rPr>
        <w:footnoteReference w:id="45"/>
      </w:r>
      <w:r>
        <w:t xml:space="preserve">  The Commission did not mandate that any – much less all – of the rate increases permitted under the revised caps must be shared with facilities.  Instead, the Commission continued to leave it to the parties to negotiate any payments to facilities.  Thus, if “all of the ‘new’ revenue under the 2016 rates” goes to facilities, as Telmate contends,</w:t>
      </w:r>
      <w:r>
        <w:rPr>
          <w:rStyle w:val="FootnoteReference"/>
        </w:rPr>
        <w:footnoteReference w:id="46"/>
      </w:r>
      <w:r>
        <w:t xml:space="preserve"> that will be because a provider chose to make such payments as part of its negotiations with the facilities, and not because of any Commission action or requirement.  </w:t>
      </w:r>
    </w:p>
    <w:p w:rsidR="002B58BD" w:rsidRDefault="002B58BD" w:rsidP="002B58BD">
      <w:pPr>
        <w:pStyle w:val="ParaNum"/>
      </w:pPr>
      <w:r>
        <w:rPr>
          <w:i/>
        </w:rPr>
        <w:t xml:space="preserve"> The Commission Relied on Credible Data in Determining Facilities’ ICS-related Costs</w:t>
      </w:r>
      <w:r>
        <w:t>.  Telmate and Securus question the credibility of the data the Commission relied on in setting the revised rate caps.</w:t>
      </w:r>
      <w:r>
        <w:rPr>
          <w:rStyle w:val="FootnoteReference"/>
        </w:rPr>
        <w:footnoteReference w:id="47"/>
      </w:r>
      <w:r>
        <w:t xml:space="preserve">  Telmate asserts that the Commission’s analysis of providers’ ability to meet their costs under the revised rate caps is flawed, in part because providers did not report the portion, if any, of site commission payments that directly reimburse facilities for their ICS costs.</w:t>
      </w:r>
      <w:r>
        <w:rPr>
          <w:rStyle w:val="FootnoteReference"/>
        </w:rPr>
        <w:footnoteReference w:id="48"/>
      </w:r>
      <w:r>
        <w:t xml:space="preserve">  This argument ignores the fact that the Commission received data on the costs facilities incur in connection with ICS from multiple sources, including providers and – notably – the facilities themselves.</w:t>
      </w:r>
      <w:r>
        <w:rPr>
          <w:rStyle w:val="FootnoteReference"/>
        </w:rPr>
        <w:footnoteReference w:id="49"/>
      </w:r>
      <w:r>
        <w:t xml:space="preserve">  As the Commission explained, it took this information into account when it reconsidered its rate caps in order to “better reflect the costs that facilities incur that are reasonably related to the provision of ICS.”</w:t>
      </w:r>
      <w:r>
        <w:rPr>
          <w:rStyle w:val="FootnoteReference"/>
        </w:rPr>
        <w:footnoteReference w:id="50"/>
      </w:r>
      <w:r>
        <w:t xml:space="preserve">  Securus further disputes the Commission’s reliance on NSA’s proposal in setting the revised rate caps, arguing that the “NSA proposal was a good deal higher than what the FCC has adopted. . . .”</w:t>
      </w:r>
      <w:r>
        <w:rPr>
          <w:rStyle w:val="FootnoteReference"/>
        </w:rPr>
        <w:footnoteReference w:id="51"/>
      </w:r>
      <w:r>
        <w:t xml:space="preserve">  Securus’s argument relies on raw data from the NSA survey.</w:t>
      </w:r>
      <w:r>
        <w:rPr>
          <w:rStyle w:val="FootnoteReference"/>
        </w:rPr>
        <w:footnoteReference w:id="52"/>
      </w:r>
      <w:r>
        <w:t xml:space="preserve">  As the Commission noted in the </w:t>
      </w:r>
      <w:r w:rsidRPr="00067899">
        <w:rPr>
          <w:i/>
        </w:rPr>
        <w:t>Reconsideration Order</w:t>
      </w:r>
      <w:r>
        <w:t>, NSA itself reasonably elected to discount its raw survey data in estimating jails’ actual costs.</w:t>
      </w:r>
      <w:r>
        <w:rPr>
          <w:rStyle w:val="FootnoteReference"/>
        </w:rPr>
        <w:footnoteReference w:id="53"/>
      </w:r>
      <w:r>
        <w:t xml:space="preserve">  After explaining that NSA treated its survey data as “inputs” that it refined to generate more reliable estimates of facilities’ reasonable costs, the Commission found NSA’s ranges credible, particularly given that the NSA and Baker/Wood analyses arrived at similar conclusions.</w:t>
      </w:r>
      <w:r>
        <w:rPr>
          <w:rStyle w:val="FootnoteReference"/>
        </w:rPr>
        <w:footnoteReference w:id="54"/>
      </w:r>
      <w:r>
        <w:t xml:space="preserve"> </w:t>
      </w:r>
      <w:r w:rsidRPr="00067899">
        <w:t xml:space="preserve"> </w:t>
      </w:r>
      <w:r>
        <w:t>Thus, contrary to Telmate and Securus’s assertions, the Commission reasonably relied on data from NSA and other credible sources to determine the costs that facilities may incur in connection with ICS.</w:t>
      </w:r>
    </w:p>
    <w:p w:rsidR="002B58BD" w:rsidRDefault="002B58BD" w:rsidP="002B58BD">
      <w:pPr>
        <w:pStyle w:val="ParaNum"/>
        <w:tabs>
          <w:tab w:val="left" w:pos="2340"/>
        </w:tabs>
      </w:pPr>
      <w:r>
        <w:rPr>
          <w:i/>
        </w:rPr>
        <w:t>The Revised Rate Caps Allow Providers to Collect Significant Additional Revenue</w:t>
      </w:r>
      <w:r>
        <w:t xml:space="preserve">.  Finally, Securus and Telmate argue that the revised rate caps remain too low and do not cover providers’ costs, despite the fact that the revised rate caps are higher than those adopted in the </w:t>
      </w:r>
      <w:r>
        <w:rPr>
          <w:i/>
        </w:rPr>
        <w:t>2015 ICS Order</w:t>
      </w:r>
      <w:r>
        <w:t>.</w:t>
      </w:r>
      <w:r>
        <w:rPr>
          <w:rStyle w:val="FootnoteReference"/>
        </w:rPr>
        <w:footnoteReference w:id="55"/>
      </w:r>
      <w:r>
        <w:t xml:space="preserve">  Securus contends that “with respect to ICS providers, the FCC has simply re-adopted” the 2015 rate caps.”</w:t>
      </w:r>
      <w:r>
        <w:rPr>
          <w:rStyle w:val="FootnoteReference"/>
        </w:rPr>
        <w:footnoteReference w:id="56"/>
      </w:r>
      <w:r>
        <w:t xml:space="preserve">  These arguments are based on an apparent misreading of the </w:t>
      </w:r>
      <w:r>
        <w:rPr>
          <w:i/>
        </w:rPr>
        <w:t xml:space="preserve">Reconsideration </w:t>
      </w:r>
      <w:r w:rsidRPr="002C221F">
        <w:rPr>
          <w:i/>
        </w:rPr>
        <w:t>Order</w:t>
      </w:r>
      <w:r>
        <w:t>.</w:t>
      </w:r>
      <w:r>
        <w:rPr>
          <w:rStyle w:val="FootnoteReference"/>
        </w:rPr>
        <w:footnoteReference w:id="57"/>
      </w:r>
      <w:r>
        <w:t xml:space="preserve">  The </w:t>
      </w:r>
      <w:r>
        <w:rPr>
          <w:i/>
        </w:rPr>
        <w:t xml:space="preserve">Reconsideration Order </w:t>
      </w:r>
      <w:r>
        <w:t>increased the 2015 rate caps by $0.02 per minute for prisons, by $0.05 per minute for larger jails, and by $0.09 per minute for the smallest jails.</w:t>
      </w:r>
      <w:r>
        <w:rPr>
          <w:rStyle w:val="FootnoteReference"/>
        </w:rPr>
        <w:footnoteReference w:id="58"/>
      </w:r>
      <w:r>
        <w:t xml:space="preserve">  These increases may be measured in “mere pennies” per minute, but they are substantial percentage increases over the previously adopted rate caps and add up to more than $150 million dollars per year in increased revenues for ICS providers.</w:t>
      </w:r>
      <w:r>
        <w:rPr>
          <w:rStyle w:val="FootnoteReference"/>
        </w:rPr>
        <w:footnoteReference w:id="59"/>
      </w:r>
      <w:r>
        <w:t xml:space="preserve">  Regardless of the way the increased revenue is allocated between providers and facilities, the revised rate caps allow for a substantial new pool of money for providers to recoup their costs.</w:t>
      </w:r>
      <w:r>
        <w:rPr>
          <w:rStyle w:val="FootnoteReference"/>
        </w:rPr>
        <w:footnoteReference w:id="60"/>
      </w:r>
      <w:r>
        <w:t xml:space="preserve">  To the extent Securus and Telmate are arguing that the rate cap increase must go to facilities, this is incorrect for the reasons previously stated.</w:t>
      </w:r>
      <w:r>
        <w:rPr>
          <w:rStyle w:val="FootnoteReference"/>
        </w:rPr>
        <w:footnoteReference w:id="61"/>
      </w:r>
      <w:r>
        <w:t xml:space="preserve">  The indisputable fact is that the revised rate caps adopted in the </w:t>
      </w:r>
      <w:r>
        <w:rPr>
          <w:i/>
        </w:rPr>
        <w:t>Reconsideration Order</w:t>
      </w:r>
      <w:r>
        <w:t xml:space="preserve"> enable providers to generate more revenue than they could have under the rate caps adopted in the </w:t>
      </w:r>
      <w:r>
        <w:rPr>
          <w:i/>
        </w:rPr>
        <w:t>2015 ICS Order</w:t>
      </w:r>
      <w:r>
        <w:t>.</w:t>
      </w:r>
      <w:r>
        <w:rPr>
          <w:rStyle w:val="FootnoteReference"/>
        </w:rPr>
        <w:footnoteReference w:id="62"/>
      </w:r>
      <w:r>
        <w:t xml:space="preserve">  Accordingly, claims that providers are no better off under the revised rate caps are baseless.</w:t>
      </w:r>
    </w:p>
    <w:p w:rsidR="002B58BD" w:rsidRPr="005173CD" w:rsidRDefault="002B58BD" w:rsidP="002B58BD">
      <w:pPr>
        <w:pStyle w:val="Heading3"/>
      </w:pPr>
      <w:r>
        <w:t>Site Commissions Are Negotiated Payments, Not Mandatory Taxes or Fees</w:t>
      </w:r>
    </w:p>
    <w:p w:rsidR="002B58BD" w:rsidRDefault="002B58BD" w:rsidP="002B58BD">
      <w:pPr>
        <w:pStyle w:val="ParaNum"/>
      </w:pPr>
      <w:r>
        <w:t>Several Petitioners</w:t>
      </w:r>
      <w:r w:rsidDel="00835588">
        <w:t xml:space="preserve"> </w:t>
      </w:r>
      <w:r>
        <w:t>raise various objections to the Commission’s treatment of site commissions.</w:t>
      </w:r>
      <w:r>
        <w:rPr>
          <w:rStyle w:val="FootnoteReference"/>
        </w:rPr>
        <w:footnoteReference w:id="63"/>
      </w:r>
      <w:r>
        <w:t xml:space="preserve">  Most of these objections are not new and were already addressed in the </w:t>
      </w:r>
      <w:r w:rsidRPr="00FC460E">
        <w:rPr>
          <w:i/>
        </w:rPr>
        <w:t>Order Denying 2015 Stay Petitions</w:t>
      </w:r>
      <w:r>
        <w:t xml:space="preserve"> and, therefore, are not addressed here.</w:t>
      </w:r>
      <w:r>
        <w:rPr>
          <w:rStyle w:val="FootnoteReference"/>
        </w:rPr>
        <w:footnoteReference w:id="64"/>
      </w:r>
      <w:r>
        <w:t xml:space="preserve">  Insofar as GTL now argues, however, that ICS providers should be allowed to recover site commission payments from consumers, in part because state and local governments often require site commission payments as “a condition precedent to a service arrangement between the facilities they govern and an ICS provider,”</w:t>
      </w:r>
      <w:r>
        <w:rPr>
          <w:rStyle w:val="FootnoteReference"/>
        </w:rPr>
        <w:footnoteReference w:id="65"/>
      </w:r>
      <w:r>
        <w:t xml:space="preserve"> we address that contention below.  </w:t>
      </w:r>
    </w:p>
    <w:p w:rsidR="002B58BD" w:rsidRPr="001866FD" w:rsidRDefault="002B58BD" w:rsidP="002B58BD">
      <w:pPr>
        <w:pStyle w:val="ParaNum"/>
        <w:widowControl/>
      </w:pPr>
      <w:r>
        <w:t>We are unpersuaded by GTL’s argument.  GTL attempts to equate site commissions with mandatory taxes and fees, which providers are permitted to pass through to consumers.</w:t>
      </w:r>
      <w:r>
        <w:rPr>
          <w:rStyle w:val="FootnoteReference"/>
        </w:rPr>
        <w:footnoteReference w:id="66"/>
      </w:r>
      <w:r>
        <w:t xml:space="preserve">  This is a false equivalency, however.  Taxes and regulatory fees are binding legal requirements that compel a class of entities to remit specified amounts to governmental bodies.</w:t>
      </w:r>
      <w:r>
        <w:rPr>
          <w:rStyle w:val="FootnoteReference"/>
        </w:rPr>
        <w:footnoteReference w:id="67"/>
      </w:r>
      <w:r>
        <w:t xml:space="preserve">  Site commissions, on the other hand, are </w:t>
      </w:r>
      <w:r>
        <w:rPr>
          <w:i/>
        </w:rPr>
        <w:t xml:space="preserve">not </w:t>
      </w:r>
      <w:r w:rsidRPr="005A5DC0">
        <w:t>mandated</w:t>
      </w:r>
      <w:r>
        <w:t xml:space="preserve"> by law, except in one </w:t>
      </w:r>
      <w:r w:rsidDel="00FC460E">
        <w:t>state</w:t>
      </w:r>
      <w:r>
        <w:t>.</w:t>
      </w:r>
      <w:r>
        <w:rPr>
          <w:rStyle w:val="FootnoteReference"/>
        </w:rPr>
        <w:footnoteReference w:id="68"/>
      </w:r>
      <w:r>
        <w:t xml:space="preserve">  Rather, site commissions are an invention of the ICS industry,</w:t>
      </w:r>
      <w:r>
        <w:rPr>
          <w:rStyle w:val="FootnoteReference"/>
        </w:rPr>
        <w:footnoteReference w:id="69"/>
      </w:r>
      <w:r>
        <w:t xml:space="preserve"> offered as an incentive to encourage facilities to enter a contract with a particular provider – usually the one willing to offer the highest payment.</w:t>
      </w:r>
      <w:r>
        <w:rPr>
          <w:rStyle w:val="FootnoteReference"/>
        </w:rPr>
        <w:footnoteReference w:id="70"/>
      </w:r>
      <w:r>
        <w:t xml:space="preserve">  These negotiated payments – originally initiated by the providers themselves – are clearly distinguishable from taxes and fees that are unilaterally imposed by a government body.</w:t>
      </w:r>
      <w:r>
        <w:rPr>
          <w:rStyle w:val="FootnoteReference"/>
        </w:rPr>
        <w:footnoteReference w:id="71"/>
      </w:r>
      <w:r>
        <w:t xml:space="preserve">  It is well established that “the obligation to pay taxes does not rest on any contract.”</w:t>
      </w:r>
      <w:r>
        <w:rPr>
          <w:rStyle w:val="FootnoteReference"/>
        </w:rPr>
        <w:footnoteReference w:id="72"/>
      </w:r>
      <w:r>
        <w:t xml:space="preserve">  Providers should not be able to pass the costs of site commissions – which some parties refer to as “kickbacks”</w:t>
      </w:r>
      <w:r>
        <w:rPr>
          <w:rStyle w:val="FootnoteReference"/>
        </w:rPr>
        <w:footnoteReference w:id="73"/>
      </w:r>
      <w:r>
        <w:t xml:space="preserve"> – on to consumers, particularly given that ICS consumers generally</w:t>
      </w:r>
      <w:r w:rsidDel="00C02D3D">
        <w:t xml:space="preserve"> </w:t>
      </w:r>
      <w:r>
        <w:t>have no alternative to the single ICS provider serving an inmate’s facility.</w:t>
      </w:r>
      <w:r>
        <w:rPr>
          <w:rStyle w:val="FootnoteReference"/>
        </w:rPr>
        <w:footnoteReference w:id="74"/>
      </w:r>
    </w:p>
    <w:p w:rsidR="002B58BD" w:rsidRDefault="002B58BD" w:rsidP="002B58BD">
      <w:pPr>
        <w:pStyle w:val="Heading3"/>
      </w:pPr>
      <w:r>
        <w:t xml:space="preserve">Site Commissions Are Contractual Payments that Providers Enter into Willingly </w:t>
      </w:r>
    </w:p>
    <w:p w:rsidR="002B58BD" w:rsidRDefault="002B58BD" w:rsidP="002B58BD">
      <w:pPr>
        <w:pStyle w:val="ParaNum"/>
      </w:pPr>
      <w:r>
        <w:t xml:space="preserve">Securus contends that the Commission acted unreasonably by failing to take providers’ existing “contractual site commission” obligations into consideration when setting the revised rate caps in the </w:t>
      </w:r>
      <w:r>
        <w:rPr>
          <w:i/>
        </w:rPr>
        <w:t>Reconsideration Order</w:t>
      </w:r>
      <w:r>
        <w:t>.</w:t>
      </w:r>
      <w:r>
        <w:rPr>
          <w:rStyle w:val="FootnoteReference"/>
        </w:rPr>
        <w:footnoteReference w:id="75"/>
      </w:r>
      <w:r>
        <w:t xml:space="preserve">  Securus’s position can be distilled into two basic arguments: first, that the revised rate caps should have covered Securus’s fixed site commission payments, known as “Minimum Annual Guarantees”; and second, that it was unreasonable for the Commission to “ignore the market reality” that Securus has been unable to reduce or eliminate its Minimum Annual Guarantee payments because correctional facilities refuse to renegotiate site commissions.</w:t>
      </w:r>
      <w:r>
        <w:rPr>
          <w:rStyle w:val="FootnoteReference"/>
        </w:rPr>
        <w:footnoteReference w:id="76"/>
      </w:r>
      <w:r>
        <w:t xml:space="preserve">  Securus is unlikely to prevail on the merits of either of these arguments.  </w:t>
      </w:r>
    </w:p>
    <w:p w:rsidR="002B58BD" w:rsidRDefault="002B58BD" w:rsidP="002B58BD">
      <w:pPr>
        <w:pStyle w:val="ParaNum"/>
      </w:pPr>
      <w:r>
        <w:t>With respect to Securus’s first argument, we have already addressed claims that site commissions should be included as costs under the rate caps,</w:t>
      </w:r>
      <w:r>
        <w:rPr>
          <w:rStyle w:val="FootnoteReference"/>
        </w:rPr>
        <w:footnoteReference w:id="77"/>
      </w:r>
      <w:r>
        <w:t xml:space="preserve"> and note that the revised rate caps allow providers to collect significant additional revenue, which Securus could choose to put towards covering the costs of its existing Minimum Annual Guarantee payments.</w:t>
      </w:r>
      <w:r>
        <w:rPr>
          <w:rStyle w:val="FootnoteReference"/>
        </w:rPr>
        <w:footnoteReference w:id="78"/>
      </w:r>
      <w:r>
        <w:t xml:space="preserve">  Moreover, Securus likely has additional revenue from permissible ancillary fees that Securus did not include in its analysis,</w:t>
      </w:r>
      <w:r>
        <w:rPr>
          <w:rStyle w:val="FootnoteReference"/>
        </w:rPr>
        <w:footnoteReference w:id="79"/>
      </w:r>
      <w:r>
        <w:t xml:space="preserve"> which may also offset some of the costs of covering the costs of fixed site commission payments.  </w:t>
      </w:r>
    </w:p>
    <w:p w:rsidR="002B58BD" w:rsidRPr="009F4837" w:rsidRDefault="002B58BD" w:rsidP="002B58BD">
      <w:pPr>
        <w:pStyle w:val="ParaNum"/>
      </w:pPr>
      <w:r>
        <w:t>With respect to Securus’s second argument, there is evidence in the record that Securus itself ignores the “reality” of the ICS market.  As Securus explains, in negotiating Minimum Annual Guarantees, it must contractually guarantee that a facility will receive a certain amount of money annually, regardless of the amount of revenue generated at that facility.</w:t>
      </w:r>
      <w:r>
        <w:rPr>
          <w:rStyle w:val="FootnoteReference"/>
        </w:rPr>
        <w:footnoteReference w:id="80"/>
      </w:r>
      <w:r>
        <w:t xml:space="preserve">  In other words, Securus has been entering into contracts with facilities for fixed payments even though it has known, or should have known, since at least 2012, that ICS rates, and thus ICS-derived revenues, could change at any time.</w:t>
      </w:r>
      <w:r>
        <w:rPr>
          <w:rStyle w:val="FootnoteReference"/>
        </w:rPr>
        <w:footnoteReference w:id="81"/>
      </w:r>
      <w:r>
        <w:t xml:space="preserve">  Securus claims that it has not been able to reduce or eliminate those terms,</w:t>
      </w:r>
      <w:r>
        <w:rPr>
          <w:rStyle w:val="FootnoteReference"/>
        </w:rPr>
        <w:footnoteReference w:id="82"/>
      </w:r>
      <w:r>
        <w:t xml:space="preserve"> but this is simply a contractual dispute between the parties.  Securus also suggests that</w:t>
      </w:r>
      <w:r w:rsidDel="00130601">
        <w:t xml:space="preserve"> </w:t>
      </w:r>
      <w:r>
        <w:t>it may be unable to meet contractually binding Minimum Annual Guarantees.</w:t>
      </w:r>
      <w:r>
        <w:rPr>
          <w:rStyle w:val="FootnoteReference"/>
        </w:rPr>
        <w:footnoteReference w:id="83"/>
      </w:r>
      <w:r>
        <w:t xml:space="preserve">  Yet, evidence in the record suggests that Securus continues to offer substantial Minimum Annual Guarantees.</w:t>
      </w:r>
      <w:r>
        <w:rPr>
          <w:rStyle w:val="FootnoteReference"/>
        </w:rPr>
        <w:footnoteReference w:id="84"/>
      </w:r>
      <w:r>
        <w:t xml:space="preserve">  For example, just 14 days before Securus filed its Stay Petition, it submitted a response before the Georgia Department of Administrative Services defending the award of a contract in which Securus committed to make guaranteed payments of $19.6 million over four years.</w:t>
      </w:r>
      <w:r>
        <w:rPr>
          <w:rStyle w:val="FootnoteReference"/>
        </w:rPr>
        <w:footnoteReference w:id="85"/>
      </w:r>
      <w:r>
        <w:t xml:space="preserve">  Given that Securus’s obligations to pay Minimum Annual Guarantees appear to be a “problem” of its own making, it is unlikely to prevail on claims that such guaranteed payments support a stay of the Commission’s revised rate caps. </w:t>
      </w:r>
    </w:p>
    <w:p w:rsidR="002B58BD" w:rsidRDefault="002B58BD" w:rsidP="002B58BD">
      <w:pPr>
        <w:pStyle w:val="Heading3"/>
      </w:pPr>
      <w:r>
        <w:t xml:space="preserve">The Court’s Previous Stay Orders Are Not Determinative of the Petitioners’ Likelihood of Success </w:t>
      </w:r>
    </w:p>
    <w:p w:rsidR="002B58BD" w:rsidRPr="00BA1BA3" w:rsidRDefault="002B58BD" w:rsidP="002B58BD">
      <w:pPr>
        <w:pStyle w:val="ParaNum"/>
        <w:widowControl/>
      </w:pPr>
      <w:r>
        <w:t xml:space="preserve">Petitioners argue that the D.C. Circuit’s previous actions signal that it is likely to stay the </w:t>
      </w:r>
      <w:r>
        <w:rPr>
          <w:i/>
        </w:rPr>
        <w:t>2016 ICS Reconsideration</w:t>
      </w:r>
      <w:r>
        <w:t>.</w:t>
      </w:r>
      <w:r>
        <w:rPr>
          <w:rStyle w:val="FootnoteReference"/>
        </w:rPr>
        <w:footnoteReference w:id="86"/>
      </w:r>
      <w:r>
        <w:t xml:space="preserve">  The State Petitioners even go as far as to claim that the court has expressed “grave reservations” about aspects of the Commission’s </w:t>
      </w:r>
      <w:r>
        <w:rPr>
          <w:i/>
        </w:rPr>
        <w:t>2015 ICS Order</w:t>
      </w:r>
      <w:r>
        <w:t xml:space="preserve">, and argue that if the Commission does not stay the </w:t>
      </w:r>
      <w:r>
        <w:rPr>
          <w:i/>
        </w:rPr>
        <w:t>Reconsideration Order</w:t>
      </w:r>
      <w:r>
        <w:t>, it will “cast disrespect on both the federal courts and on the States as sovereigns.”</w:t>
      </w:r>
      <w:r>
        <w:rPr>
          <w:rStyle w:val="FootnoteReference"/>
        </w:rPr>
        <w:footnoteReference w:id="87"/>
      </w:r>
      <w:r>
        <w:t xml:space="preserve">  Petitioners are correct that the D.C. Circuit stayed three provisions of the Commission’s 2015 ICS rules </w:t>
      </w:r>
      <w:r w:rsidDel="00B3266C">
        <w:t xml:space="preserve">in </w:t>
      </w:r>
      <w:r>
        <w:t>two separate orders.</w:t>
      </w:r>
      <w:r>
        <w:rPr>
          <w:rStyle w:val="FootnoteReference"/>
        </w:rPr>
        <w:footnoteReference w:id="88"/>
      </w:r>
      <w:r>
        <w:t xml:space="preserve">  Contrary to Petitioners’ arguments, however, the Court provided no comment or explanation “to suggest the rationale behind the stay of the rates in the </w:t>
      </w:r>
      <w:r>
        <w:rPr>
          <w:i/>
        </w:rPr>
        <w:t>2015 Order</w:t>
      </w:r>
      <w:r>
        <w:t>.”</w:t>
      </w:r>
      <w:r>
        <w:rPr>
          <w:rStyle w:val="FootnoteReference"/>
        </w:rPr>
        <w:footnoteReference w:id="89"/>
      </w:r>
      <w:r>
        <w:t xml:space="preserve">  Moreover, the Court declined to stay any other portion of the Commission’s ICS reforms.</w:t>
      </w:r>
      <w:r>
        <w:rPr>
          <w:rStyle w:val="FootnoteReference"/>
        </w:rPr>
        <w:footnoteReference w:id="90"/>
      </w:r>
      <w:r>
        <w:t xml:space="preserve">  Thus, as the Wright Petitioners aptly explain, it is “impossible to accurately determine why the Court of Appeals granted a stay.”</w:t>
      </w:r>
      <w:r>
        <w:rPr>
          <w:rStyle w:val="FootnoteReference"/>
        </w:rPr>
        <w:footnoteReference w:id="91"/>
      </w:r>
      <w:r>
        <w:t xml:space="preserve">  Petitioners’ prior success in</w:t>
      </w:r>
      <w:r w:rsidDel="00EC4B40">
        <w:t xml:space="preserve"> </w:t>
      </w:r>
      <w:r>
        <w:t>obtaining a stay of a different, but related, order does not mean they are likely to succeed on the merits of the arguments presented in the newest stay petitions.  The Petitioners previously complained that the rate caps were too low to cover their costs, and that the Commission acted unreasonably when it recognized the possibility that facilities incur legitimate costs in providing access to ICS but then declined to separately account for such costs when calculating the rate caps.</w:t>
      </w:r>
      <w:r>
        <w:rPr>
          <w:rStyle w:val="FootnoteReference"/>
        </w:rPr>
        <w:footnoteReference w:id="92"/>
      </w:r>
      <w:r>
        <w:t xml:space="preserve">  Those may have been the arguments that moved the Court of Appeals to grant a stay, but they lack force against the </w:t>
      </w:r>
      <w:r>
        <w:rPr>
          <w:i/>
        </w:rPr>
        <w:t>Reconsideration Order</w:t>
      </w:r>
      <w:r>
        <w:t>.</w:t>
      </w:r>
      <w:r>
        <w:rPr>
          <w:rStyle w:val="FootnoteReference"/>
        </w:rPr>
        <w:footnoteReference w:id="93"/>
      </w:r>
      <w:r>
        <w:t xml:space="preserve">  </w:t>
      </w:r>
    </w:p>
    <w:p w:rsidR="002B58BD" w:rsidRDefault="002B58BD" w:rsidP="002B58BD">
      <w:pPr>
        <w:pStyle w:val="Heading2"/>
      </w:pPr>
      <w:r>
        <w:t xml:space="preserve">Petitioners Will Not Suffer Irreparable Injury Absent a Stay </w:t>
      </w:r>
    </w:p>
    <w:p w:rsidR="002B58BD" w:rsidRDefault="002B58BD" w:rsidP="002B58BD">
      <w:pPr>
        <w:pStyle w:val="ParaNum"/>
      </w:pPr>
      <w:r>
        <w:t xml:space="preserve">The Petitioners have failed to prove that they will suffer irreparable injury absent a grant of their stay petitions.  Many of the Petitioners’ arguments were already addressed in the </w:t>
      </w:r>
      <w:r w:rsidRPr="00FC460E">
        <w:rPr>
          <w:i/>
        </w:rPr>
        <w:t>Order Denying 2015 Stay Petitions</w:t>
      </w:r>
      <w:r>
        <w:t xml:space="preserve"> and, therefore, are not addressed here.</w:t>
      </w:r>
      <w:r>
        <w:rPr>
          <w:rStyle w:val="FootnoteReference"/>
        </w:rPr>
        <w:footnoteReference w:id="94"/>
      </w:r>
      <w:r>
        <w:t xml:space="preserve">  We reject Petitioners’ additional claims of irreparable harm for the reasons described below. </w:t>
      </w:r>
    </w:p>
    <w:p w:rsidR="002B58BD" w:rsidRPr="007C7AFE" w:rsidRDefault="002B58BD" w:rsidP="002B58BD">
      <w:pPr>
        <w:pStyle w:val="ParaNum"/>
      </w:pPr>
      <w:r>
        <w:rPr>
          <w:i/>
        </w:rPr>
        <w:t>Petitioners Failed to Carry Their Burden of Proving Irreparable Harm.</w:t>
      </w:r>
      <w:r>
        <w:t xml:space="preserve"> </w:t>
      </w:r>
      <w:r w:rsidDel="00FC2B10">
        <w:t xml:space="preserve"> </w:t>
      </w:r>
      <w:r>
        <w:t xml:space="preserve">The Petitioners all claim that they will suffer irreparable harm if the </w:t>
      </w:r>
      <w:r>
        <w:rPr>
          <w:i/>
        </w:rPr>
        <w:t xml:space="preserve">Reconsideration Order </w:t>
      </w:r>
      <w:r>
        <w:t>is not stayed.</w:t>
      </w:r>
      <w:r>
        <w:rPr>
          <w:rStyle w:val="FootnoteReference"/>
        </w:rPr>
        <w:footnoteReference w:id="95"/>
      </w:r>
      <w:r>
        <w:t xml:space="preserve">  None of them have carried their burden of proving they will suffer irreparable injury, however. </w:t>
      </w:r>
    </w:p>
    <w:p w:rsidR="002B58BD" w:rsidRPr="007C7AFE" w:rsidRDefault="002B58BD" w:rsidP="002B58BD">
      <w:pPr>
        <w:pStyle w:val="ParaNum"/>
      </w:pPr>
      <w:r>
        <w:t>First, unspecific and unsupported claims of potential lost revenue do not constitute irreparable harm.</w:t>
      </w:r>
      <w:r>
        <w:rPr>
          <w:rStyle w:val="FootnoteReference"/>
        </w:rPr>
        <w:footnoteReference w:id="96"/>
      </w:r>
      <w:r>
        <w:t xml:space="preserve">  Here, Securus and Telmate each offer conclusory affidavits from executives of their respective companies stating that they will experience unrecoverable revenue losses if the </w:t>
      </w:r>
      <w:r>
        <w:rPr>
          <w:i/>
        </w:rPr>
        <w:t xml:space="preserve">Reconsideration Order </w:t>
      </w:r>
      <w:r>
        <w:t>takes effect.</w:t>
      </w:r>
      <w:r>
        <w:rPr>
          <w:rStyle w:val="FootnoteReference"/>
        </w:rPr>
        <w:footnoteReference w:id="97"/>
      </w:r>
      <w:r>
        <w:t xml:space="preserve">  Their affidavits, however, provide no analysis or supporting evidence of their costs to support their arguments that they will not be fairly compensated.</w:t>
      </w:r>
      <w:r>
        <w:rPr>
          <w:rStyle w:val="FootnoteReference"/>
        </w:rPr>
        <w:footnoteReference w:id="98"/>
      </w:r>
      <w:r>
        <w:t xml:space="preserve">  GTL and the State Petitioners’ arguments are even less convincing.</w:t>
      </w:r>
      <w:r>
        <w:rPr>
          <w:rStyle w:val="FootnoteReference"/>
        </w:rPr>
        <w:footnoteReference w:id="99"/>
      </w:r>
      <w:r>
        <w:t xml:space="preserve">  Neither GTL nor the State Petitioners provide affidavits, or any details about the extent of the harm that they expect to face.  Instead, they offer only generalized statements that amount to nothing more than speculation.</w:t>
      </w:r>
      <w:r>
        <w:rPr>
          <w:rStyle w:val="FootnoteReference"/>
        </w:rPr>
        <w:footnoteReference w:id="100"/>
      </w:r>
      <w:r>
        <w:t xml:space="preserve">  Without providing access to the Petitioners’ underlying calculations or an explanation of their analysis, Petitioners fail to demonstrate that their alleged injury is “certain” or “great.”  </w:t>
      </w:r>
    </w:p>
    <w:p w:rsidR="002B58BD" w:rsidRPr="007C7AFE" w:rsidRDefault="002B58BD" w:rsidP="002B58BD">
      <w:pPr>
        <w:pStyle w:val="ParaNum"/>
      </w:pPr>
      <w:r>
        <w:t xml:space="preserve">Second, even if the Petitioners had submitted specific and supported claims proving they will face revenue losses as a result of the </w:t>
      </w:r>
      <w:r>
        <w:rPr>
          <w:i/>
        </w:rPr>
        <w:t>Reconsideration Order</w:t>
      </w:r>
      <w:r>
        <w:t xml:space="preserve">, the harms they allege do not constitute irreparable harm.  The Petitioners essentially argue that because the </w:t>
      </w:r>
      <w:r>
        <w:rPr>
          <w:i/>
        </w:rPr>
        <w:t xml:space="preserve">Reconsideration Order </w:t>
      </w:r>
      <w:r>
        <w:t>did not adopt the relief they would have preferred, they will suffer irreparable harm.</w:t>
      </w:r>
      <w:r>
        <w:rPr>
          <w:rStyle w:val="FootnoteReference"/>
        </w:rPr>
        <w:footnoteReference w:id="101"/>
      </w:r>
      <w:r>
        <w:t xml:space="preserve">  Moreover, as the Wright Petitioners point out, the Petitioners attempt to stay an order curbing excessive ICS rates by pointing to the decrease in their excessive ICS profits as their justification for the stay.</w:t>
      </w:r>
      <w:r>
        <w:rPr>
          <w:rStyle w:val="FootnoteReference"/>
        </w:rPr>
        <w:footnoteReference w:id="102"/>
      </w:r>
      <w:r>
        <w:t xml:space="preserve">  These arguments are insufficient to demonstrate irreparable harm.  The Commission is tasked with the responsibility of ensuring that ICS rates are fair, just, and reasonable.</w:t>
      </w:r>
      <w:r>
        <w:rPr>
          <w:rStyle w:val="FootnoteReference"/>
        </w:rPr>
        <w:footnoteReference w:id="103"/>
      </w:r>
      <w:r>
        <w:t xml:space="preserve">  The actions necessary to accomplish this, as ICSolutions notes, will rarely “satisfy all interested participants.”</w:t>
      </w:r>
      <w:r w:rsidRPr="00367B65">
        <w:rPr>
          <w:rStyle w:val="FootnoteReference"/>
        </w:rPr>
        <w:t xml:space="preserve"> </w:t>
      </w:r>
      <w:r>
        <w:rPr>
          <w:rStyle w:val="FootnoteReference"/>
        </w:rPr>
        <w:footnoteReference w:id="104"/>
      </w:r>
      <w:r>
        <w:t xml:space="preserve">  However, a potential loss of revenue alone does not entitle a party to a stay of a regulation, particularly when the regulation in question is aimed at curbing the party’s excessive rates.</w:t>
      </w:r>
      <w:r>
        <w:rPr>
          <w:rStyle w:val="FootnoteReference"/>
        </w:rPr>
        <w:footnoteReference w:id="105"/>
      </w:r>
      <w:r>
        <w:t xml:space="preserve">  </w:t>
      </w:r>
    </w:p>
    <w:p w:rsidR="002B58BD" w:rsidRPr="007C7AFE" w:rsidRDefault="002B58BD" w:rsidP="002B58BD">
      <w:pPr>
        <w:pStyle w:val="ParaNum"/>
      </w:pPr>
      <w:r w:rsidRPr="008718A5">
        <w:rPr>
          <w:i/>
        </w:rPr>
        <w:t>Providers Entered Into Contracts Willingly</w:t>
      </w:r>
      <w:r>
        <w:t>.</w:t>
      </w:r>
      <w:r w:rsidRPr="008718A5">
        <w:rPr>
          <w:i/>
        </w:rPr>
        <w:t xml:space="preserve"> </w:t>
      </w:r>
      <w:r>
        <w:rPr>
          <w:i/>
        </w:rPr>
        <w:t xml:space="preserve"> </w:t>
      </w:r>
      <w:r>
        <w:t xml:space="preserve">Securus, Telmate, and GTL also argue that the revised rate caps adopted in the </w:t>
      </w:r>
      <w:r w:rsidRPr="007C7AFE">
        <w:rPr>
          <w:i/>
        </w:rPr>
        <w:t>Reconsideration</w:t>
      </w:r>
      <w:r>
        <w:rPr>
          <w:i/>
        </w:rPr>
        <w:t xml:space="preserve"> Order</w:t>
      </w:r>
      <w:r>
        <w:t xml:space="preserve"> will require them to renegotiate their contracts with facilities, and claim that various costs associated with this process</w:t>
      </w:r>
      <w:r>
        <w:rPr>
          <w:i/>
        </w:rPr>
        <w:t xml:space="preserve"> </w:t>
      </w:r>
      <w:r>
        <w:t>will cause irreparable harm.</w:t>
      </w:r>
      <w:r>
        <w:rPr>
          <w:rStyle w:val="FootnoteReference"/>
        </w:rPr>
        <w:footnoteReference w:id="106"/>
      </w:r>
      <w:r>
        <w:t xml:space="preserve">  We reject these claims for the reasons explained below.  </w:t>
      </w:r>
      <w:r>
        <w:rPr>
          <w:i/>
        </w:rPr>
        <w:t xml:space="preserve"> </w:t>
      </w:r>
    </w:p>
    <w:p w:rsidR="002B58BD" w:rsidRPr="007C7AFE" w:rsidRDefault="002B58BD" w:rsidP="002B58BD">
      <w:pPr>
        <w:pStyle w:val="ParaNum"/>
      </w:pPr>
      <w:r>
        <w:t>Securus, Telmate, and GTL argue that renegotiating contracts will cause them to incur unreimbursable compliance costs, loss of goodwill, and “deal fatigue.”</w:t>
      </w:r>
      <w:r>
        <w:rPr>
          <w:rStyle w:val="FootnoteReference"/>
        </w:rPr>
        <w:footnoteReference w:id="107"/>
      </w:r>
      <w:r>
        <w:t xml:space="preserve">  Similar to Petitioners’ claims of lost revenues, discussed above, Securus, Telmate, and GTL’s arguments that renegotiating contracts will lead to compliance and negotiation costs are neither specific enough nor sufficiently supported</w:t>
      </w:r>
      <w:r w:rsidDel="008D38A5">
        <w:t xml:space="preserve"> </w:t>
      </w:r>
      <w:r>
        <w:t>to justify a claim of irreparable harm.</w:t>
      </w:r>
      <w:r>
        <w:rPr>
          <w:rStyle w:val="FootnoteReference"/>
        </w:rPr>
        <w:footnoteReference w:id="108"/>
      </w:r>
      <w:r>
        <w:t xml:space="preserve">  These claims are speculative, at best, and are the type of ‘“blanket, unsubstantiated allegations of harm’ that may not be used to grant a stay.”</w:t>
      </w:r>
      <w:r>
        <w:rPr>
          <w:rStyle w:val="FootnoteReference"/>
        </w:rPr>
        <w:footnoteReference w:id="109"/>
      </w:r>
      <w:r>
        <w:rPr>
          <w:i/>
        </w:rPr>
        <w:t xml:space="preserve">  </w:t>
      </w:r>
      <w:r>
        <w:t>We also note that providers willingly entered into their contracts with facilities, with the knowledge that the Commission was undertaking comprehensive ICS reform and that regulations could change, in ways that might affect those contracts.</w:t>
      </w:r>
      <w:r>
        <w:rPr>
          <w:rStyle w:val="FootnoteReference"/>
        </w:rPr>
        <w:footnoteReference w:id="110"/>
      </w:r>
      <w:r>
        <w:t xml:space="preserve">  </w:t>
      </w:r>
    </w:p>
    <w:p w:rsidR="002B58BD" w:rsidRDefault="002B58BD" w:rsidP="002B58BD">
      <w:pPr>
        <w:pStyle w:val="Heading2"/>
      </w:pPr>
      <w:r>
        <w:t xml:space="preserve">Granting the Requested Stays Would Result in Harm to Third Parties </w:t>
      </w:r>
    </w:p>
    <w:p w:rsidR="002B58BD" w:rsidRDefault="002B58BD" w:rsidP="002B58BD">
      <w:pPr>
        <w:pStyle w:val="ParaNum"/>
      </w:pPr>
      <w:r>
        <w:t xml:space="preserve">The Petitioners argue that third parties will not be harmed if the Commission grants their stay petitions because those parties will be protected by the interim rate caps currently in effect.  We reject these claims, however, and find that staying the </w:t>
      </w:r>
      <w:r>
        <w:rPr>
          <w:i/>
        </w:rPr>
        <w:t>Reconsideration Order</w:t>
      </w:r>
      <w:r w:rsidRPr="0036378D">
        <w:rPr>
          <w:i/>
        </w:rPr>
        <w:t xml:space="preserve"> </w:t>
      </w:r>
      <w:r>
        <w:t>would harm third parties, including inmates and their families, who rely on ICS to communicate with each other.</w:t>
      </w:r>
      <w:r>
        <w:rPr>
          <w:rStyle w:val="FootnoteReference"/>
        </w:rPr>
        <w:footnoteReference w:id="111"/>
      </w:r>
      <w:r>
        <w:t xml:space="preserve">  Although the interim rate caps adopted in the </w:t>
      </w:r>
      <w:r>
        <w:rPr>
          <w:i/>
        </w:rPr>
        <w:t xml:space="preserve">2013 ICS Order </w:t>
      </w:r>
      <w:r>
        <w:t xml:space="preserve">ameliorated some of the harm caused by unfair, unjust, and unreasonable ICS calling rates, those interim caps apply only to interstate traffic.  This severely limits the scope of the relief, because over 80 percent of ICS calls are </w:t>
      </w:r>
      <w:r>
        <w:rPr>
          <w:i/>
        </w:rPr>
        <w:t>intra</w:t>
      </w:r>
      <w:r>
        <w:t>state.</w:t>
      </w:r>
      <w:r>
        <w:rPr>
          <w:rStyle w:val="FootnoteReference"/>
        </w:rPr>
        <w:footnoteReference w:id="112"/>
      </w:r>
      <w:r>
        <w:t xml:space="preserve">  Moreover, the interim rate caps are still higher than the rate caps for most tiers, even after the Commission’s decision to increase those rate caps in the </w:t>
      </w:r>
      <w:r>
        <w:rPr>
          <w:i/>
        </w:rPr>
        <w:t>Reconsideration Order.</w:t>
      </w:r>
      <w:r w:rsidRPr="007C7AFE">
        <w:rPr>
          <w:rStyle w:val="FootnoteReference"/>
        </w:rPr>
        <w:footnoteReference w:id="113"/>
      </w:r>
      <w:r w:rsidRPr="007C7AFE">
        <w:t xml:space="preserve"> </w:t>
      </w:r>
      <w:r>
        <w:t xml:space="preserve"> Thus, many consumers are paying rates above what the Commission has found to be fair, just, and reasonable even for those calls that are currently subject to the interim rate caps.</w:t>
      </w:r>
      <w:r>
        <w:rPr>
          <w:rStyle w:val="FootnoteReference"/>
        </w:rPr>
        <w:footnoteReference w:id="114"/>
      </w:r>
      <w:r>
        <w:t xml:space="preserve">  </w:t>
      </w:r>
    </w:p>
    <w:p w:rsidR="002B58BD" w:rsidRDefault="002B58BD" w:rsidP="002B58BD">
      <w:pPr>
        <w:pStyle w:val="Heading2"/>
      </w:pPr>
      <w:r>
        <w:t>The Public Interest Does Not Support a Grant</w:t>
      </w:r>
    </w:p>
    <w:p w:rsidR="002B58BD" w:rsidRDefault="002B58BD" w:rsidP="002B58BD">
      <w:pPr>
        <w:pStyle w:val="ParaNum"/>
      </w:pPr>
      <w:r>
        <w:t>The Petitioners have failed to prove that the public interest supports grants of their stay petitions. We reject their arguments for the reasons described below.</w:t>
      </w:r>
    </w:p>
    <w:p w:rsidR="002B58BD" w:rsidRDefault="002B58BD" w:rsidP="002B58BD">
      <w:pPr>
        <w:pStyle w:val="ParaNum"/>
      </w:pPr>
      <w:r>
        <w:rPr>
          <w:i/>
        </w:rPr>
        <w:t>The Adopted Rate Caps Serve the Public Interest</w:t>
      </w:r>
      <w:r>
        <w:t>.  Petitioners’ contentions that a stay will benefit the public interest contradict evidence in the record of the urgent need to reform the ICS market.</w:t>
      </w:r>
      <w:r>
        <w:rPr>
          <w:rStyle w:val="FootnoteReference"/>
        </w:rPr>
        <w:footnoteReference w:id="115"/>
      </w:r>
      <w:r>
        <w:t xml:space="preserve">  Staying the reforms adopted in the </w:t>
      </w:r>
      <w:r>
        <w:rPr>
          <w:i/>
        </w:rPr>
        <w:t>Reconsideration Order</w:t>
      </w:r>
      <w:r>
        <w:t xml:space="preserve"> would delay relief to inmates, their families, and loved ones, who depend on ICS to maintain contact and who would continue to be harmed by excessive ICS rates.  As noted, the interim rates currently in effect do not apply to intrastate calls.  Thus, without the reforms adopted in the </w:t>
      </w:r>
      <w:r>
        <w:rPr>
          <w:i/>
        </w:rPr>
        <w:t>Reconsideration Order</w:t>
      </w:r>
      <w:r>
        <w:t>, intrastate rates in most states will remain at egregiously high levels in most of the country.</w:t>
      </w:r>
      <w:r>
        <w:rPr>
          <w:rStyle w:val="FootnoteReference"/>
        </w:rPr>
        <w:footnoteReference w:id="116"/>
      </w:r>
      <w:r>
        <w:t xml:space="preserve">  Accordingly, we agree with the Wright Petitioners that there will be “overwhelmingly positive public interest benefits arising from” implementation of the </w:t>
      </w:r>
      <w:r>
        <w:rPr>
          <w:i/>
        </w:rPr>
        <w:t>Reconsideration Order</w:t>
      </w:r>
      <w:r>
        <w:t xml:space="preserve"> and “[a]ny delay …would be, in fact, counter to the public interest.”</w:t>
      </w:r>
      <w:r>
        <w:rPr>
          <w:rStyle w:val="FootnoteReference"/>
        </w:rPr>
        <w:footnoteReference w:id="117"/>
      </w:r>
    </w:p>
    <w:p w:rsidR="002B58BD" w:rsidRPr="0006026F" w:rsidRDefault="002B58BD" w:rsidP="002B58BD">
      <w:pPr>
        <w:pStyle w:val="ParaNum"/>
      </w:pPr>
      <w:r>
        <w:rPr>
          <w:i/>
        </w:rPr>
        <w:t>The Public Interest Extends Beyond the Conservation of Judicial Resources</w:t>
      </w:r>
      <w:r>
        <w:t>.</w:t>
      </w:r>
      <w:r>
        <w:rPr>
          <w:i/>
        </w:rPr>
        <w:t xml:space="preserve"> </w:t>
      </w:r>
      <w:r>
        <w:t xml:space="preserve"> Securus and Telmate argue that the public interest is served by the conservation of judicial resources.</w:t>
      </w:r>
      <w:r>
        <w:rPr>
          <w:rStyle w:val="FootnoteReference"/>
        </w:rPr>
        <w:footnoteReference w:id="118"/>
      </w:r>
      <w:r>
        <w:t xml:space="preserve">  While conserving judicial resources is an important public interest consideration, so too is ensuring that consumers have access to fair, just, and reasonable rates under sections 201 and 276 of Communications Act.  Moreover, the latter involves statutory mandates that the Commission is charged with enforcing.</w:t>
      </w:r>
      <w:r>
        <w:rPr>
          <w:rStyle w:val="FootnoteReference"/>
        </w:rPr>
        <w:footnoteReference w:id="119"/>
      </w:r>
      <w:r>
        <w:t xml:space="preserve">  If the </w:t>
      </w:r>
      <w:r>
        <w:rPr>
          <w:i/>
        </w:rPr>
        <w:t xml:space="preserve">Reconsideration Order </w:t>
      </w:r>
      <w:r>
        <w:t>is stayed, intrastate rates, in particular, will be unfairly high.</w:t>
      </w:r>
      <w:r>
        <w:rPr>
          <w:rStyle w:val="FootnoteReference"/>
        </w:rPr>
        <w:footnoteReference w:id="120"/>
      </w:r>
      <w:r>
        <w:t xml:space="preserve">  As the Wright Petitioners point out, “[a]ny delay in the effectiveness of the Recon Order would delay immediate relief to millions of ICS customers currently being charged excessive ICS intrastate rates, who have seen their ICS expenses </w:t>
      </w:r>
      <w:r w:rsidRPr="00312121">
        <w:t>increase</w:t>
      </w:r>
      <w:r>
        <w:t xml:space="preserve"> due to the actions of Telmate and other ICS providers.”</w:t>
      </w:r>
      <w:r>
        <w:rPr>
          <w:rStyle w:val="FootnoteReference"/>
        </w:rPr>
        <w:footnoteReference w:id="121"/>
      </w:r>
      <w:r>
        <w:t xml:space="preserve">  Thus, while we agree that judicial resources are a public interest concern, the record before us demonstrates that the public interest would be served best by capping ICS rates at fair, just, and reasonable levels without delay.</w:t>
      </w:r>
      <w:r>
        <w:rPr>
          <w:rStyle w:val="FootnoteReference"/>
        </w:rPr>
        <w:footnoteReference w:id="122"/>
      </w:r>
      <w:r>
        <w:t xml:space="preserve"> </w:t>
      </w:r>
    </w:p>
    <w:p w:rsidR="002B58BD" w:rsidRDefault="002B58BD" w:rsidP="002B58BD">
      <w:pPr>
        <w:pStyle w:val="Heading1"/>
      </w:pPr>
      <w:r>
        <w:t>Securus’s motion to strike</w:t>
      </w:r>
    </w:p>
    <w:p w:rsidR="002B58BD" w:rsidRDefault="002B58BD" w:rsidP="002B58BD">
      <w:pPr>
        <w:pStyle w:val="ParaNum"/>
      </w:pPr>
      <w:r>
        <w:t>Securus has filed a motion to strike those parts of NCIC’s Opposition that address Securus’s Stay Petition.</w:t>
      </w:r>
      <w:r>
        <w:rPr>
          <w:rStyle w:val="FootnoteReference"/>
        </w:rPr>
        <w:footnoteReference w:id="123"/>
      </w:r>
      <w:r>
        <w:t xml:space="preserve">  In support of its motion, Securus points out that NCIC’s Opposition was filed “out of time.”</w:t>
      </w:r>
      <w:r>
        <w:rPr>
          <w:rStyle w:val="FootnoteReference"/>
        </w:rPr>
        <w:footnoteReference w:id="124"/>
      </w:r>
      <w:r>
        <w:t xml:space="preserve">  While Securus is correct that NCIC filed its Opposition after the deadline for oppositions had passed, we note that this proceeding has been designated “permit but disclose,” meaning that parties are permitted to submit </w:t>
      </w:r>
      <w:r>
        <w:rPr>
          <w:i/>
        </w:rPr>
        <w:t xml:space="preserve">ex parte </w:t>
      </w:r>
      <w:r>
        <w:t>presentations into the record.</w:t>
      </w:r>
      <w:r>
        <w:rPr>
          <w:rStyle w:val="FootnoteReference"/>
        </w:rPr>
        <w:footnoteReference w:id="125"/>
      </w:r>
      <w:r>
        <w:t xml:space="preserve">  We find that treating NCIC’s late-filed Opposition as a permissible </w:t>
      </w:r>
      <w:r>
        <w:rPr>
          <w:i/>
        </w:rPr>
        <w:t>ex parte</w:t>
      </w:r>
      <w:r>
        <w:t xml:space="preserve"> filing would “best conduce to the proper dispatch of business and to the ends of justice.”</w:t>
      </w:r>
      <w:r>
        <w:rPr>
          <w:rStyle w:val="FootnoteReference"/>
        </w:rPr>
        <w:footnoteReference w:id="126"/>
      </w:r>
      <w:r>
        <w:t xml:space="preserve">  In making this finding, we recognize that NCIC’s Opposition is not limited to Securus’s Stay Petition.  Rather, NCIC’s filing is explicitly directed at all four stay petitions.</w:t>
      </w:r>
      <w:r>
        <w:rPr>
          <w:rStyle w:val="FootnoteReference"/>
        </w:rPr>
        <w:footnoteReference w:id="127"/>
      </w:r>
      <w:r>
        <w:t xml:space="preserve"> </w:t>
      </w:r>
    </w:p>
    <w:p w:rsidR="002B58BD" w:rsidRPr="0006026F" w:rsidRDefault="002B58BD" w:rsidP="002B58BD">
      <w:pPr>
        <w:pStyle w:val="ParaNum"/>
        <w:widowControl/>
      </w:pPr>
      <w:r>
        <w:t>We agree with Securus that it would have been better for NCIC to acknowledge that its filing was “out of time” and provide an explanation for its untimely filing.</w:t>
      </w:r>
      <w:r>
        <w:rPr>
          <w:rStyle w:val="FootnoteReference"/>
        </w:rPr>
        <w:footnoteReference w:id="128"/>
      </w:r>
      <w:r>
        <w:t xml:space="preserve">  We also recognize, however, that NCIC could have entered its arguments into the record without any dispute if it had simply styled its submission as an </w:t>
      </w:r>
      <w:r>
        <w:rPr>
          <w:i/>
        </w:rPr>
        <w:t xml:space="preserve">ex parte </w:t>
      </w:r>
      <w:r>
        <w:t>filing rather than an Opposition.  In this particular instance, we find that “the ends of justice” would not be served by letting form trump substance.  In reaching this decision, we consider the fact that Securus had sufficient time to file a substantive response to NCIC’s filing, had it chosen to do so.</w:t>
      </w:r>
      <w:r>
        <w:rPr>
          <w:rStyle w:val="FootnoteReference"/>
        </w:rPr>
        <w:footnoteReference w:id="129"/>
      </w:r>
      <w:r>
        <w:t xml:space="preserve">  We also consider the benefit of having as fulsome a record as possible regarding the issues raised in the stay petitions, particularly given the relatively small number of parties that weighed in on either side of the issue.  Finally, we note that Securus is not prejudiced by our decision not to strike NCIC’s Opposition, because even if we were to grant the Motion to Strike, we still would deny all of the stay petitions, including the one filed by Securus.</w:t>
      </w:r>
      <w:r>
        <w:rPr>
          <w:rStyle w:val="FootnoteReference"/>
        </w:rPr>
        <w:footnoteReference w:id="130"/>
      </w:r>
      <w:r>
        <w:t xml:space="preserve">  We therefore deny Securus’s Motion to Strike.  </w:t>
      </w:r>
    </w:p>
    <w:p w:rsidR="002B58BD" w:rsidRDefault="002B58BD" w:rsidP="002B58BD">
      <w:pPr>
        <w:pStyle w:val="Heading1"/>
      </w:pPr>
      <w:r>
        <w:t xml:space="preserve">Ordering clauses </w:t>
      </w:r>
    </w:p>
    <w:p w:rsidR="002B58BD" w:rsidRDefault="002B58BD" w:rsidP="00691870">
      <w:pPr>
        <w:pStyle w:val="ParaNum"/>
        <w:widowControl/>
      </w:pPr>
      <w:r>
        <w:t xml:space="preserve">Accordingly, IT IS ORDERED, pursuant to the authority contained in sections 1, 4(i), 4(j), 201, 225, 276, and 303(r) of the Communications Act of 1934, as amended, 47 U.S.C. §§ 151, 154(i)-(j), 201, 225, 276, and 303(r) and the authority delegated pursuant to section 0.91 and 0.291 of the </w:t>
      </w:r>
      <w:r w:rsidR="00D1023A">
        <w:t>Commission’s rules, 47 CFR</w:t>
      </w:r>
      <w:r>
        <w:t xml:space="preserve"> §§ 0.91 and 0.291, this Order Denying Stay Petitions in WC Docket No. 12-375 IS ADOPTED.</w:t>
      </w:r>
    </w:p>
    <w:p w:rsidR="002B58BD" w:rsidRPr="00D81D47" w:rsidRDefault="002B58BD" w:rsidP="002B58BD">
      <w:pPr>
        <w:pStyle w:val="ParaNum"/>
      </w:pPr>
      <w:r>
        <w:t xml:space="preserve">IT IS </w:t>
      </w:r>
      <w:r w:rsidRPr="00C240EC">
        <w:rPr>
          <w:rStyle w:val="Emphasis"/>
        </w:rPr>
        <w:t>FURTHER</w:t>
      </w:r>
      <w:r>
        <w:t xml:space="preserve"> ORDERED, </w:t>
      </w:r>
      <w:r w:rsidRPr="00D81D47">
        <w:rPr>
          <w:szCs w:val="22"/>
        </w:rPr>
        <w:t xml:space="preserve">that the </w:t>
      </w:r>
      <w:r w:rsidRPr="00D81D47">
        <w:rPr>
          <w:rFonts w:eastAsia="Calibri"/>
          <w:szCs w:val="22"/>
        </w:rPr>
        <w:t xml:space="preserve">Securus Technologies, Inc. Petition for Partial Stay of Order on Reconsideration </w:t>
      </w:r>
      <w:r w:rsidRPr="0012453C">
        <w:rPr>
          <w:rFonts w:eastAsia="Calibri"/>
        </w:rPr>
        <w:t>Pending</w:t>
      </w:r>
      <w:r w:rsidRPr="00D81D47">
        <w:rPr>
          <w:rFonts w:eastAsia="Calibri"/>
          <w:szCs w:val="22"/>
        </w:rPr>
        <w:t xml:space="preserve"> Appeal, the </w:t>
      </w:r>
      <w:r w:rsidRPr="00D81D47">
        <w:rPr>
          <w:rFonts w:eastAsia="Calibri"/>
          <w:color w:val="000000"/>
          <w:szCs w:val="22"/>
        </w:rPr>
        <w:t>Petition of Telmate, LLC for Stay Pending Judicial Review, the Petition of Global Tel*Link for Stay Pending Judicial Review, and the Petition for Stay Pending Judicial Review of Order on Reconsideration by the States of Oklahoma, Arizona, Arkansas, Indiana, Louisiana, Kansas, Missouri, Nevada, Wisconsin, The Oklahoma Sheriffs’ Association, The Indiana Sheriffs’ Association, Oklahoma County Sheriff John Whetsel, Marion County Sheriff’s Office, Lake County Sheriffs’ Department, and The National Association of Regulatory Utility Commissioners</w:t>
      </w:r>
      <w:r>
        <w:rPr>
          <w:rFonts w:eastAsia="Calibri"/>
          <w:color w:val="000000"/>
          <w:szCs w:val="22"/>
        </w:rPr>
        <w:t xml:space="preserve"> ARE DENIED. </w:t>
      </w:r>
    </w:p>
    <w:p w:rsidR="002B58BD" w:rsidRDefault="002B58BD" w:rsidP="002B58BD">
      <w:pPr>
        <w:pStyle w:val="ParaNum"/>
      </w:pPr>
      <w:r>
        <w:t xml:space="preserve">It is FURTHER ORDERED, that Securus’s </w:t>
      </w:r>
      <w:r w:rsidRPr="008B55C5">
        <w:t>Motion to Strike, In Part, Opposition to Petitions for Stay</w:t>
      </w:r>
      <w:r>
        <w:t xml:space="preserve"> is DENIED.</w:t>
      </w:r>
    </w:p>
    <w:p w:rsidR="002B58BD" w:rsidRDefault="002B58BD" w:rsidP="002B58BD">
      <w:pPr>
        <w:pStyle w:val="ParaNum"/>
        <w:numPr>
          <w:ilvl w:val="0"/>
          <w:numId w:val="0"/>
        </w:numPr>
        <w:spacing w:after="0"/>
        <w:ind w:left="4320"/>
      </w:pPr>
      <w:r>
        <w:t>FEDERAL COMMUNICATIONS COMMISSION</w:t>
      </w:r>
    </w:p>
    <w:p w:rsidR="002B58BD" w:rsidRDefault="002B58BD" w:rsidP="002B58BD">
      <w:pPr>
        <w:pStyle w:val="ParaNum"/>
        <w:numPr>
          <w:ilvl w:val="0"/>
          <w:numId w:val="0"/>
        </w:numPr>
        <w:spacing w:after="0"/>
        <w:ind w:left="4320"/>
      </w:pPr>
    </w:p>
    <w:p w:rsidR="002B58BD" w:rsidRDefault="002B58BD" w:rsidP="002B58BD">
      <w:pPr>
        <w:pStyle w:val="ParaNum"/>
        <w:numPr>
          <w:ilvl w:val="0"/>
          <w:numId w:val="0"/>
        </w:numPr>
        <w:spacing w:after="0"/>
        <w:ind w:left="4320"/>
      </w:pPr>
    </w:p>
    <w:p w:rsidR="002B58BD" w:rsidRDefault="002B58BD" w:rsidP="002B58BD">
      <w:pPr>
        <w:pStyle w:val="ParaNum"/>
        <w:numPr>
          <w:ilvl w:val="0"/>
          <w:numId w:val="0"/>
        </w:numPr>
        <w:spacing w:after="0"/>
        <w:ind w:left="4320"/>
      </w:pPr>
    </w:p>
    <w:p w:rsidR="002B58BD" w:rsidRDefault="002B58BD" w:rsidP="002B58BD">
      <w:pPr>
        <w:pStyle w:val="ParaNum"/>
        <w:numPr>
          <w:ilvl w:val="0"/>
          <w:numId w:val="0"/>
        </w:numPr>
        <w:spacing w:after="0"/>
        <w:ind w:left="4320"/>
      </w:pPr>
    </w:p>
    <w:p w:rsidR="002B58BD" w:rsidRPr="00D81D47" w:rsidRDefault="002B58BD" w:rsidP="002B58BD">
      <w:pPr>
        <w:pStyle w:val="ParaNum"/>
        <w:numPr>
          <w:ilvl w:val="0"/>
          <w:numId w:val="0"/>
        </w:numPr>
        <w:ind w:left="4320"/>
      </w:pPr>
      <w:r>
        <w:t>Matthew S. DelNero</w:t>
      </w:r>
      <w:r>
        <w:br/>
        <w:t>Chief</w:t>
      </w:r>
      <w:r>
        <w:br/>
        <w:t xml:space="preserve">Wireline Competition Bureau </w:t>
      </w:r>
    </w:p>
    <w:p w:rsidR="002C00E8" w:rsidRPr="002B58BD" w:rsidRDefault="002C00E8" w:rsidP="002B58BD"/>
    <w:sectPr w:rsidR="002C00E8" w:rsidRPr="002B58B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BA" w:rsidRDefault="00B548BA">
      <w:pPr>
        <w:spacing w:line="20" w:lineRule="exact"/>
      </w:pPr>
    </w:p>
  </w:endnote>
  <w:endnote w:type="continuationSeparator" w:id="0">
    <w:p w:rsidR="00B548BA" w:rsidRDefault="00B548BA">
      <w:r>
        <w:t xml:space="preserve"> </w:t>
      </w:r>
    </w:p>
  </w:endnote>
  <w:endnote w:type="continuationNotice" w:id="1">
    <w:p w:rsidR="00B548BA" w:rsidRDefault="00B548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25BB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BA" w:rsidRDefault="00B548BA">
      <w:r>
        <w:separator/>
      </w:r>
    </w:p>
  </w:footnote>
  <w:footnote w:type="continuationSeparator" w:id="0">
    <w:p w:rsidR="00B548BA" w:rsidRDefault="00B548BA" w:rsidP="00C721AC">
      <w:pPr>
        <w:spacing w:before="120"/>
        <w:rPr>
          <w:sz w:val="20"/>
        </w:rPr>
      </w:pPr>
      <w:r>
        <w:rPr>
          <w:sz w:val="20"/>
        </w:rPr>
        <w:t xml:space="preserve">(Continued from previous page)  </w:t>
      </w:r>
      <w:r>
        <w:rPr>
          <w:sz w:val="20"/>
        </w:rPr>
        <w:separator/>
      </w:r>
    </w:p>
  </w:footnote>
  <w:footnote w:type="continuationNotice" w:id="1">
    <w:p w:rsidR="00B548BA" w:rsidRDefault="00B548BA" w:rsidP="00C721AC">
      <w:pPr>
        <w:jc w:val="right"/>
        <w:rPr>
          <w:sz w:val="20"/>
        </w:rPr>
      </w:pPr>
      <w:r>
        <w:rPr>
          <w:sz w:val="20"/>
        </w:rPr>
        <w:t>(continued….)</w:t>
      </w:r>
    </w:p>
  </w:footnote>
  <w:footnote w:id="2">
    <w:p w:rsidR="002B58BD" w:rsidRPr="00A42474" w:rsidRDefault="002B58BD" w:rsidP="002B58BD">
      <w:pPr>
        <w:pStyle w:val="FootnoteText"/>
        <w:rPr>
          <w:rFonts w:eastAsia="Calibri"/>
        </w:rPr>
      </w:pPr>
      <w:r w:rsidRPr="00A42474">
        <w:rPr>
          <w:rStyle w:val="FootnoteReference"/>
        </w:rPr>
        <w:footnoteRef/>
      </w:r>
      <w:r w:rsidRPr="00A42474">
        <w:t xml:space="preserve"> </w:t>
      </w:r>
      <w:r w:rsidRPr="00A42474">
        <w:rPr>
          <w:i/>
        </w:rPr>
        <w:t xml:space="preserve">See </w:t>
      </w:r>
      <w:r w:rsidRPr="00A42474">
        <w:rPr>
          <w:rFonts w:eastAsia="Calibri"/>
        </w:rPr>
        <w:t xml:space="preserve">Securus Technologies, Inc. Petition for Partial Stay of Order on Reconsideration Pending Appeal, WC Docket No. 12-375 (filed Aug. 25, 2016), </w:t>
      </w:r>
      <w:hyperlink r:id="rId1" w:history="1">
        <w:r w:rsidRPr="00A42474">
          <w:rPr>
            <w:rFonts w:eastAsia="Calibri"/>
            <w:color w:val="0563C1"/>
            <w:u w:val="single"/>
          </w:rPr>
          <w:t>https://www.fcc.gov/ecfs/filing/1082584697325/document/1082584697325ba5d</w:t>
        </w:r>
      </w:hyperlink>
      <w:r w:rsidRPr="00A42474">
        <w:rPr>
          <w:rFonts w:eastAsia="Calibri"/>
        </w:rPr>
        <w:t xml:space="preserve"> (Securus Stay Petition); </w:t>
      </w:r>
      <w:r w:rsidRPr="00A42474">
        <w:rPr>
          <w:rFonts w:eastAsia="Calibri"/>
          <w:color w:val="000000"/>
        </w:rPr>
        <w:t xml:space="preserve">Petition of Telmate, LLC for Stay Pending Judicial Review, WC Docket No. 12-375 (filed Aug. 29, 2016), </w:t>
      </w:r>
      <w:hyperlink r:id="rId2" w:history="1">
        <w:r w:rsidRPr="00A42474">
          <w:rPr>
            <w:rFonts w:eastAsia="Calibri"/>
            <w:color w:val="0563C1"/>
            <w:u w:val="single"/>
          </w:rPr>
          <w:t>https://www.fcc.gov/ecfs/filing/10829590427949/document/1082959042794985fe</w:t>
        </w:r>
      </w:hyperlink>
      <w:r w:rsidRPr="00A42474">
        <w:rPr>
          <w:rFonts w:eastAsia="Calibri"/>
          <w:color w:val="000000"/>
        </w:rPr>
        <w:t xml:space="preserve"> (Telmate Stay Petition); Petition of Global Tel*Link for Stay Pending Judicial Review, WC Docket No. 12-375 (filed Sept. 1, 2016), </w:t>
      </w:r>
      <w:hyperlink r:id="rId3" w:history="1">
        <w:r w:rsidRPr="00A42474">
          <w:rPr>
            <w:rFonts w:eastAsia="Calibri"/>
            <w:color w:val="0563C1"/>
            <w:u w:val="single"/>
          </w:rPr>
          <w:t>https://www.fcc.gov/ecfs/filing/10901346524862/document/10901346524862d3b4</w:t>
        </w:r>
      </w:hyperlink>
      <w:r w:rsidRPr="00A42474">
        <w:rPr>
          <w:rFonts w:eastAsia="Calibri"/>
          <w:color w:val="000000"/>
        </w:rPr>
        <w:t xml:space="preserve"> (GTL Stay Petition); </w:t>
      </w:r>
      <w:r w:rsidRPr="00A42474">
        <w:rPr>
          <w:rFonts w:eastAsia="Calibri"/>
          <w:i/>
          <w:color w:val="000000"/>
        </w:rPr>
        <w:t xml:space="preserve">see also </w:t>
      </w:r>
      <w:r w:rsidRPr="00A42474">
        <w:rPr>
          <w:rFonts w:eastAsia="Calibri"/>
          <w:i/>
        </w:rPr>
        <w:t>Rates for Interstate Inmate Calling Services</w:t>
      </w:r>
      <w:r w:rsidRPr="00A42474">
        <w:rPr>
          <w:rFonts w:eastAsia="Calibri"/>
        </w:rPr>
        <w:t>, WC Docket No. 12-375, Order on Reconsideration, FCC 16-102 (2016) (</w:t>
      </w:r>
      <w:r w:rsidRPr="00A42474">
        <w:rPr>
          <w:rFonts w:eastAsia="Calibri"/>
          <w:i/>
        </w:rPr>
        <w:t>Reconsideration Order</w:t>
      </w:r>
      <w:r w:rsidRPr="00A42474">
        <w:rPr>
          <w:rFonts w:eastAsia="Calibri"/>
        </w:rPr>
        <w:t xml:space="preserve">). </w:t>
      </w:r>
    </w:p>
  </w:footnote>
  <w:footnote w:id="3">
    <w:p w:rsidR="002B58BD" w:rsidRPr="00A42474" w:rsidRDefault="002B58BD" w:rsidP="002B58BD">
      <w:pPr>
        <w:pStyle w:val="FootnoteText"/>
        <w:rPr>
          <w:rFonts w:eastAsia="Calibri"/>
          <w:color w:val="000000"/>
        </w:rPr>
      </w:pPr>
      <w:r w:rsidRPr="00A42474">
        <w:rPr>
          <w:rStyle w:val="FootnoteReference"/>
        </w:rPr>
        <w:footnoteRef/>
      </w:r>
      <w:r w:rsidRPr="00A42474">
        <w:t xml:space="preserve"> </w:t>
      </w:r>
      <w:r w:rsidRPr="00A42474">
        <w:rPr>
          <w:rFonts w:eastAsia="Calibri"/>
          <w:color w:val="000000"/>
        </w:rPr>
        <w:t xml:space="preserve">Petition for Stay Pending Judicial Review of Order on Reconsideration by the States of Oklahoma, Arizona, Arkansas, Indiana, Louisiana, Kansas, Missouri, Nevada, Wisconsin, The Oklahoma Sheriffs’ Association, The Indiana Sheriffs’ Association, Oklahoma County Sheriff John Whetsel, Marion County Sheriff’s Office, Lake County Sheriffs’ Department, and The National Association of Regulatory Utility Commissioners, WC Docket No. 12-375 (filed Sept. 2, 2016), </w:t>
      </w:r>
      <w:hyperlink r:id="rId4" w:history="1">
        <w:r w:rsidRPr="00A42474">
          <w:rPr>
            <w:rFonts w:eastAsia="Calibri"/>
            <w:color w:val="0563C1"/>
            <w:u w:val="single"/>
          </w:rPr>
          <w:t>https://www.fcc.gov/ecfs/filing/1090279096421/document/10902790964217a75</w:t>
        </w:r>
      </w:hyperlink>
      <w:r w:rsidRPr="00A42474">
        <w:rPr>
          <w:rFonts w:eastAsia="Calibri"/>
          <w:color w:val="000000"/>
        </w:rPr>
        <w:t xml:space="preserve"> (State Petitioners Stay Petition). </w:t>
      </w:r>
    </w:p>
  </w:footnote>
  <w:footnote w:id="4">
    <w:p w:rsidR="002B58BD" w:rsidRPr="00A42474" w:rsidRDefault="002B58BD" w:rsidP="002B58BD">
      <w:pPr>
        <w:pStyle w:val="FootnoteText"/>
        <w:rPr>
          <w:rFonts w:eastAsia="Calibri"/>
          <w:color w:val="000000"/>
        </w:rPr>
      </w:pPr>
      <w:r w:rsidRPr="00A42474">
        <w:rPr>
          <w:rStyle w:val="FootnoteReference"/>
        </w:rPr>
        <w:footnoteRef/>
      </w:r>
      <w:r w:rsidRPr="00A42474">
        <w:t xml:space="preserve"> </w:t>
      </w:r>
      <w:r w:rsidRPr="00A42474">
        <w:rPr>
          <w:i/>
        </w:rPr>
        <w:t xml:space="preserve">See </w:t>
      </w:r>
      <w:r w:rsidRPr="00A42474">
        <w:rPr>
          <w:rFonts w:eastAsia="Calibri"/>
          <w:color w:val="000000"/>
        </w:rPr>
        <w:t xml:space="preserve">Inmate Calling Solutions, LLC Opposition to Securus Technologies, Inc.’s Petition for Stay, WC Docket No. 12-375 (filed Sept. 1, 2016), </w:t>
      </w:r>
      <w:hyperlink r:id="rId5" w:history="1">
        <w:r w:rsidRPr="00A42474">
          <w:rPr>
            <w:rFonts w:eastAsia="Calibri"/>
            <w:color w:val="0563C1"/>
            <w:u w:val="single"/>
          </w:rPr>
          <w:t>https://www.fcc.gov/ecfs/filing/10901942828738/document/1090194282873896c4</w:t>
        </w:r>
      </w:hyperlink>
      <w:r w:rsidRPr="00A42474">
        <w:rPr>
          <w:rFonts w:eastAsia="Calibri"/>
          <w:color w:val="000000"/>
        </w:rPr>
        <w:t xml:space="preserve"> (ICSolutions Opposition); Network Communications International Corp. Opposition to Petitions for Stay, WC Docket No. 12-375 (filed Sept. 14, 2016) (NCIC Opposition), </w:t>
      </w:r>
      <w:hyperlink r:id="rId6" w:history="1">
        <w:r w:rsidRPr="00A42474">
          <w:rPr>
            <w:rStyle w:val="Hyperlink"/>
            <w:rFonts w:eastAsia="Calibri"/>
          </w:rPr>
          <w:t>https://www.fcc.gov/ecfs/filing/1091461041225/document/10914610412251fe4</w:t>
        </w:r>
      </w:hyperlink>
      <w:r w:rsidRPr="00A42474">
        <w:rPr>
          <w:rFonts w:eastAsia="Calibri"/>
          <w:color w:val="000000"/>
        </w:rPr>
        <w:t xml:space="preserve">; Wright Petitioners’ Opposition to Petition for Partial Stay, WC Docket No. 12-375 (filed Sept. 1, 2016), </w:t>
      </w:r>
      <w:hyperlink r:id="rId7" w:history="1">
        <w:r w:rsidRPr="00A42474">
          <w:rPr>
            <w:rFonts w:eastAsia="Calibri"/>
            <w:color w:val="0563C1"/>
            <w:u w:val="single"/>
          </w:rPr>
          <w:t>https://www.fcc.gov/ecfs/filing/10901065457517/document/10901065457517aa39</w:t>
        </w:r>
      </w:hyperlink>
      <w:r w:rsidRPr="00A42474">
        <w:rPr>
          <w:rFonts w:eastAsia="Calibri"/>
          <w:color w:val="000000"/>
        </w:rPr>
        <w:t xml:space="preserve"> (Wright Opposition to Securus Petition); Wright Petitioners’ Opposition to Petition for Partial Stay, WC Docket No. 12-375 (filed Sept. 6, 2016), </w:t>
      </w:r>
      <w:hyperlink r:id="rId8" w:history="1">
        <w:r w:rsidRPr="00A42474">
          <w:rPr>
            <w:rFonts w:eastAsia="Calibri"/>
            <w:color w:val="0563C1"/>
            <w:u w:val="single"/>
          </w:rPr>
          <w:t>https://www.fcc.gov/ecfs/filing/1090673344753/document/1090673344753998d</w:t>
        </w:r>
      </w:hyperlink>
      <w:r w:rsidRPr="00A42474">
        <w:rPr>
          <w:rFonts w:eastAsia="Calibri"/>
          <w:color w:val="000000"/>
        </w:rPr>
        <w:t xml:space="preserve"> (Wright Opposition to Telmate Petition); Wright Petitioners’ Opposition to Petition for Partial Stay, WC Docket No. 12-375 (filed Sept. 8, 2016), </w:t>
      </w:r>
      <w:hyperlink r:id="rId9" w:history="1">
        <w:r w:rsidRPr="00A42474">
          <w:rPr>
            <w:rFonts w:eastAsia="Calibri"/>
            <w:color w:val="0563C1"/>
            <w:u w:val="single"/>
          </w:rPr>
          <w:t>https://www.fcc.gov/ecfs/filing/109081995804638/document/109081995804638456a</w:t>
        </w:r>
      </w:hyperlink>
      <w:r w:rsidRPr="00A42474">
        <w:rPr>
          <w:rFonts w:eastAsia="Calibri"/>
          <w:color w:val="000000"/>
        </w:rPr>
        <w:t xml:space="preserve"> (Wright Opposition to GTL Petition); Wright Petitioners’ Opposition to Petition for Partial Stay by State and Local Government Petitioners, WC Docket No. 12-375 (filed Sept. 9, 2016), </w:t>
      </w:r>
      <w:hyperlink r:id="rId10" w:history="1">
        <w:r w:rsidRPr="00A42474">
          <w:rPr>
            <w:rFonts w:eastAsia="Calibri"/>
            <w:color w:val="0563C1"/>
            <w:u w:val="single"/>
          </w:rPr>
          <w:t>https://www.fcc.gov/ecfs/filing/109091858522281/document/1090918585222811782</w:t>
        </w:r>
      </w:hyperlink>
      <w:r w:rsidRPr="00A42474">
        <w:rPr>
          <w:rFonts w:eastAsia="Calibri"/>
          <w:color w:val="000000"/>
        </w:rPr>
        <w:t xml:space="preserve"> (Wright Opposition to States’ Petition). </w:t>
      </w:r>
    </w:p>
  </w:footnote>
  <w:footnote w:id="5">
    <w:p w:rsidR="002B58BD" w:rsidRPr="00A42474" w:rsidRDefault="002B58BD" w:rsidP="002B58BD">
      <w:pPr>
        <w:pStyle w:val="FootnoteText"/>
      </w:pPr>
      <w:r w:rsidRPr="00A42474">
        <w:rPr>
          <w:rStyle w:val="FootnoteReference"/>
        </w:rPr>
        <w:footnoteRef/>
      </w:r>
      <w:r w:rsidRPr="00A42474">
        <w:t xml:space="preserve"> </w:t>
      </w:r>
      <w:r w:rsidRPr="00A42474">
        <w:rPr>
          <w:rFonts w:eastAsia="Calibri"/>
          <w:color w:val="000000"/>
        </w:rPr>
        <w:t xml:space="preserve">Securus filed a Motion to Strike the NCIC Opposition with regard to “any statements or arguments directed to the Securus Petition.”  </w:t>
      </w:r>
      <w:r w:rsidRPr="00A42474">
        <w:t xml:space="preserve">Securus Technologies, Inc. Motion to Strike, In Part, Opposition to Petitions for Stay, WC Docket No. 12-375 (filed Sept. 14, 2016), </w:t>
      </w:r>
      <w:hyperlink r:id="rId11" w:history="1">
        <w:r w:rsidRPr="00A42474">
          <w:rPr>
            <w:rStyle w:val="Hyperlink"/>
          </w:rPr>
          <w:t>https://www.fcc.gov/ecfs/filing/10914025510873/document/10914025510873c0bc</w:t>
        </w:r>
      </w:hyperlink>
      <w:r w:rsidRPr="00A42474">
        <w:rPr>
          <w:rStyle w:val="Hyperlink"/>
        </w:rPr>
        <w:t xml:space="preserve"> </w:t>
      </w:r>
      <w:r w:rsidRPr="00A42474">
        <w:rPr>
          <w:rStyle w:val="Hyperlink"/>
          <w:color w:val="auto"/>
          <w:u w:val="none"/>
        </w:rPr>
        <w:t>(Motion to Strike)</w:t>
      </w:r>
      <w:r w:rsidRPr="00A42474">
        <w:t>.  We deny Securus’s Motion to Strike for reasons explained below.</w:t>
      </w:r>
    </w:p>
  </w:footnote>
  <w:footnote w:id="6">
    <w:p w:rsidR="002B58BD" w:rsidRPr="00A42474" w:rsidRDefault="002B58BD" w:rsidP="002B58BD">
      <w:pPr>
        <w:pStyle w:val="FootnoteText"/>
      </w:pPr>
      <w:r w:rsidRPr="00A42474">
        <w:rPr>
          <w:rStyle w:val="FootnoteReference"/>
        </w:rPr>
        <w:footnoteRef/>
      </w:r>
      <w:r w:rsidRPr="00A42474">
        <w:t xml:space="preserve"> </w:t>
      </w:r>
      <w:r w:rsidRPr="00A42474">
        <w:rPr>
          <w:rFonts w:eastAsia="Calibri"/>
          <w:i/>
        </w:rPr>
        <w:t>See</w:t>
      </w:r>
      <w:r w:rsidRPr="00A42474">
        <w:rPr>
          <w:rFonts w:eastAsia="Calibri"/>
        </w:rPr>
        <w:t xml:space="preserve"> </w:t>
      </w:r>
      <w:r w:rsidRPr="00A42474">
        <w:rPr>
          <w:rFonts w:eastAsia="Calibri"/>
          <w:i/>
        </w:rPr>
        <w:t>2015 ICS Order</w:t>
      </w:r>
      <w:r w:rsidRPr="00A42474">
        <w:rPr>
          <w:rFonts w:eastAsia="Calibri"/>
        </w:rPr>
        <w:t xml:space="preserve">, 30 FCC Rcd at 12769, para. 9; </w:t>
      </w:r>
      <w:r w:rsidRPr="00A42474">
        <w:rPr>
          <w:rFonts w:eastAsia="Calibri"/>
          <w:i/>
        </w:rPr>
        <w:t xml:space="preserve">id. </w:t>
      </w:r>
      <w:r w:rsidRPr="00A42474">
        <w:rPr>
          <w:rFonts w:eastAsia="Calibri"/>
        </w:rPr>
        <w:t>at 12822, para. 124 (noting the Commission was focusing on its “core ratemaking authority in reforming ICS . . . .”).</w:t>
      </w:r>
    </w:p>
  </w:footnote>
  <w:footnote w:id="7">
    <w:p w:rsidR="002B58BD" w:rsidRPr="00A42474" w:rsidRDefault="002B58BD" w:rsidP="002B58BD">
      <w:pPr>
        <w:pStyle w:val="FootnoteText"/>
        <w:rPr>
          <w:rFonts w:eastAsia="Calibri"/>
          <w:color w:val="000000"/>
        </w:rPr>
      </w:pPr>
      <w:r w:rsidRPr="00A42474">
        <w:rPr>
          <w:rStyle w:val="FootnoteReference"/>
        </w:rPr>
        <w:footnoteRef/>
      </w:r>
      <w:r w:rsidRPr="00A42474">
        <w:t xml:space="preserve"> </w:t>
      </w:r>
      <w:r w:rsidRPr="00A42474">
        <w:rPr>
          <w:i/>
        </w:rPr>
        <w:t xml:space="preserve">See generally </w:t>
      </w:r>
      <w:r w:rsidRPr="00B84FEE">
        <w:rPr>
          <w:rFonts w:eastAsia="Calibri"/>
          <w:i/>
          <w:iCs/>
        </w:rPr>
        <w:t>id</w:t>
      </w:r>
      <w:r>
        <w:rPr>
          <w:rFonts w:eastAsia="Calibri"/>
          <w:iCs/>
        </w:rPr>
        <w:t xml:space="preserve">. </w:t>
      </w:r>
      <w:r w:rsidRPr="00B84FEE">
        <w:rPr>
          <w:rFonts w:eastAsia="Calibri"/>
        </w:rPr>
        <w:t>The</w:t>
      </w:r>
      <w:r w:rsidRPr="00A42474">
        <w:rPr>
          <w:rFonts w:eastAsia="Calibri"/>
        </w:rPr>
        <w:t xml:space="preserve"> </w:t>
      </w:r>
      <w:r w:rsidRPr="00A42474">
        <w:rPr>
          <w:rFonts w:eastAsia="Calibri"/>
          <w:i/>
        </w:rPr>
        <w:t xml:space="preserve">2015 ICS Order </w:t>
      </w:r>
      <w:r w:rsidRPr="00A42474">
        <w:rPr>
          <w:rFonts w:eastAsia="Calibri"/>
        </w:rPr>
        <w:t xml:space="preserve">provides a detailed history of this proceeding through October 2015.  </w:t>
      </w:r>
      <w:r w:rsidRPr="00A42474">
        <w:rPr>
          <w:rFonts w:eastAsia="Calibri"/>
          <w:i/>
        </w:rPr>
        <w:t>See</w:t>
      </w:r>
      <w:r w:rsidRPr="00A42474">
        <w:rPr>
          <w:rFonts w:eastAsia="Calibri"/>
        </w:rPr>
        <w:t xml:space="preserve"> </w:t>
      </w:r>
      <w:r>
        <w:rPr>
          <w:rFonts w:eastAsia="Calibri"/>
          <w:i/>
        </w:rPr>
        <w:t xml:space="preserve">id. </w:t>
      </w:r>
      <w:r w:rsidRPr="00A42474">
        <w:rPr>
          <w:rFonts w:eastAsia="Calibri"/>
        </w:rPr>
        <w:t>at 12771-74, paras. 12-19</w:t>
      </w:r>
      <w:r>
        <w:rPr>
          <w:rFonts w:eastAsia="Calibri"/>
        </w:rPr>
        <w:t>.</w:t>
      </w:r>
      <w:r w:rsidR="00AD6784">
        <w:rPr>
          <w:rFonts w:eastAsia="Calibri"/>
        </w:rPr>
        <w:t xml:space="preserve">  </w:t>
      </w:r>
      <w:r w:rsidRPr="00A42474">
        <w:rPr>
          <w:rFonts w:eastAsia="Calibri"/>
        </w:rPr>
        <w:t>We do not repeat this history here, but incorporate that description by reference.</w:t>
      </w:r>
    </w:p>
  </w:footnote>
  <w:footnote w:id="8">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Pr>
          <w:rFonts w:eastAsia="Calibri"/>
          <w:i/>
          <w:iCs/>
        </w:rPr>
        <w:t>Reconsideration Order</w:t>
      </w:r>
      <w:r>
        <w:rPr>
          <w:rFonts w:eastAsia="Calibri"/>
        </w:rPr>
        <w:t xml:space="preserve"> at para. 7</w:t>
      </w:r>
      <w:r w:rsidRPr="00A42474">
        <w:rPr>
          <w:rFonts w:eastAsia="Calibri"/>
        </w:rPr>
        <w:t xml:space="preserve">; </w:t>
      </w:r>
      <w:r w:rsidRPr="00A42474">
        <w:rPr>
          <w:rFonts w:eastAsia="Calibri"/>
          <w:i/>
        </w:rPr>
        <w:t>see also 2015 ICS Order</w:t>
      </w:r>
      <w:r>
        <w:rPr>
          <w:rFonts w:eastAsia="Calibri"/>
        </w:rPr>
        <w:t>, 30 FCC Rcd</w:t>
      </w:r>
      <w:r w:rsidRPr="00A42474">
        <w:rPr>
          <w:rFonts w:eastAsia="Calibri"/>
          <w:i/>
        </w:rPr>
        <w:t xml:space="preserve"> </w:t>
      </w:r>
      <w:r w:rsidRPr="00A42474">
        <w:rPr>
          <w:rFonts w:eastAsia="Calibri"/>
        </w:rPr>
        <w:t>at 12853, para. 139 (explaining that facilities’ legitimate ICS-related</w:t>
      </w:r>
      <w:r>
        <w:rPr>
          <w:rFonts w:eastAsia="Calibri"/>
        </w:rPr>
        <w:t xml:space="preserve"> costs</w:t>
      </w:r>
      <w:r w:rsidRPr="00A42474">
        <w:rPr>
          <w:rFonts w:eastAsia="Calibri"/>
        </w:rPr>
        <w:t xml:space="preserve"> were “already built into our rate cap calculations and should not be recovered through an ‘additive’ to the ICS rates.”).  The Commission excluded site commission payments from the costs used to set the rate caps, but left it up to individual providers to decide whether, and, how much, to pay facilities in connection with ICS.  The only limitation was that providers’ rates had to comply with the applicable rate caps, regardless of whether they paid any site commissions.  </w:t>
      </w:r>
      <w:r w:rsidRPr="00A42474">
        <w:rPr>
          <w:rFonts w:eastAsia="Calibri"/>
          <w:i/>
        </w:rPr>
        <w:t xml:space="preserve">See </w:t>
      </w:r>
      <w:r>
        <w:rPr>
          <w:rFonts w:eastAsia="Calibri"/>
          <w:i/>
        </w:rPr>
        <w:t>id</w:t>
      </w:r>
      <w:r>
        <w:rPr>
          <w:rFonts w:eastAsia="Calibri"/>
        </w:rPr>
        <w:t>.</w:t>
      </w:r>
      <w:r w:rsidRPr="00A42474">
        <w:rPr>
          <w:rFonts w:eastAsia="Calibri"/>
          <w:i/>
        </w:rPr>
        <w:t xml:space="preserve"> </w:t>
      </w:r>
      <w:r w:rsidRPr="00A42474">
        <w:rPr>
          <w:rFonts w:eastAsia="Calibri"/>
        </w:rPr>
        <w:t>at 12827, para. 128.</w:t>
      </w:r>
    </w:p>
  </w:footnote>
  <w:footnote w:id="9">
    <w:p w:rsidR="002B58BD" w:rsidRPr="00A42474" w:rsidRDefault="002B58BD" w:rsidP="002B58BD">
      <w:pPr>
        <w:pStyle w:val="FootnoteText"/>
        <w:rPr>
          <w:color w:val="000000"/>
        </w:rPr>
      </w:pPr>
      <w:r w:rsidRPr="00A42474">
        <w:rPr>
          <w:rStyle w:val="FootnoteReference"/>
        </w:rPr>
        <w:footnoteRef/>
      </w:r>
      <w:r w:rsidRPr="00A42474">
        <w:t xml:space="preserve"> </w:t>
      </w:r>
      <w:r w:rsidRPr="00A42474">
        <w:rPr>
          <w:i/>
          <w:iCs/>
        </w:rPr>
        <w:t xml:space="preserve">See </w:t>
      </w:r>
      <w:r w:rsidRPr="00A42474">
        <w:t>Petition of Global Tel*Link for Stay Pending Judicial Review, WC Docket No. 12-375 (filed Dec. 22, 2015), http://apps.fcc.gov/ecfs/comment/view?id=60001361606 (GTL</w:t>
      </w:r>
      <w:r>
        <w:t xml:space="preserve"> 2015</w:t>
      </w:r>
      <w:r w:rsidRPr="00A42474">
        <w:t xml:space="preserve"> Stay Petition); Securus Technologies, Inc. Petition for Partial Stay of Second Report and Order Pending Appeal (FCC 15-136), WC Docket No. 12-375 (filed Dec. 22, 2015) http://apps.fcc.gov/ecfs/comment/view?id=60001361748 (Securus</w:t>
      </w:r>
      <w:r>
        <w:t xml:space="preserve"> 2015</w:t>
      </w:r>
      <w:r w:rsidRPr="00A42474">
        <w:t xml:space="preserve"> Stay Petition); Petition of Telmate, LLC for Stay Pending Judicial Review, WC Docket No. 12-375 (filed Jan. 6, 2016), http://apps.fcc.gov/ecfs/comment/view?id=60001372226 (Telmate </w:t>
      </w:r>
      <w:r>
        <w:t xml:space="preserve">2015 </w:t>
      </w:r>
      <w:r w:rsidRPr="00A42474">
        <w:t xml:space="preserve">Stay Petition); </w:t>
      </w:r>
      <w:r w:rsidRPr="00A42474">
        <w:rPr>
          <w:color w:val="000000"/>
        </w:rPr>
        <w:t xml:space="preserve">Petition of CenturyLink for Stay Pending Judicial Review, WC Docket No. 12-375 (filed Jan. 22, 2016), </w:t>
      </w:r>
      <w:hyperlink r:id="rId12" w:history="1">
        <w:r w:rsidRPr="00A42474">
          <w:rPr>
            <w:rStyle w:val="Hyperlink"/>
          </w:rPr>
          <w:t>http://apps.fcc.gov/ecfs/comment/view?id=60001389462</w:t>
        </w:r>
      </w:hyperlink>
      <w:r w:rsidRPr="00A42474">
        <w:rPr>
          <w:color w:val="367FFF"/>
        </w:rPr>
        <w:t xml:space="preserve"> </w:t>
      </w:r>
      <w:r w:rsidRPr="00A42474">
        <w:rPr>
          <w:color w:val="000000"/>
        </w:rPr>
        <w:t xml:space="preserve">(CenturyLink </w:t>
      </w:r>
      <w:r>
        <w:rPr>
          <w:color w:val="000000"/>
        </w:rPr>
        <w:t xml:space="preserve">2015 </w:t>
      </w:r>
      <w:r w:rsidRPr="00A42474">
        <w:rPr>
          <w:color w:val="000000"/>
        </w:rPr>
        <w:t>Stay Petition).</w:t>
      </w:r>
    </w:p>
  </w:footnote>
  <w:footnote w:id="10">
    <w:p w:rsidR="002B58BD" w:rsidRPr="00A42474" w:rsidRDefault="002B58BD" w:rsidP="002B58BD">
      <w:pPr>
        <w:pStyle w:val="FootnoteText"/>
      </w:pPr>
      <w:r w:rsidRPr="00A42474">
        <w:rPr>
          <w:rStyle w:val="FootnoteReference"/>
        </w:rPr>
        <w:footnoteRef/>
      </w:r>
      <w:r w:rsidRPr="00A42474">
        <w:t xml:space="preserve"> </w:t>
      </w:r>
      <w:r w:rsidRPr="00A42474">
        <w:rPr>
          <w:i/>
          <w:iCs/>
        </w:rPr>
        <w:t>Rates for Interstate Inmate Calling Services</w:t>
      </w:r>
      <w:r w:rsidRPr="00A42474">
        <w:t>, WC Docket No. 12-375, Order Denying Stay Petitions, 31 FCC Rcd 261 (WCB 2016) (</w:t>
      </w:r>
      <w:r w:rsidRPr="00A42474">
        <w:rPr>
          <w:i/>
          <w:iCs/>
        </w:rPr>
        <w:t>Order Denying 2015 Stay Petitions</w:t>
      </w:r>
      <w:r w:rsidRPr="00A42474">
        <w:t xml:space="preserve">). </w:t>
      </w:r>
      <w:r>
        <w:t xml:space="preserve"> </w:t>
      </w:r>
      <w:r w:rsidRPr="00A42474">
        <w:t xml:space="preserve">CenturyLink did not file its petition until the day the Bureau released its order, and filed suit in federal court shortly thereafter. </w:t>
      </w:r>
      <w:r>
        <w:t xml:space="preserve"> </w:t>
      </w:r>
      <w:r w:rsidRPr="00A42474">
        <w:rPr>
          <w:i/>
          <w:iCs/>
        </w:rPr>
        <w:t xml:space="preserve">See </w:t>
      </w:r>
      <w:r w:rsidRPr="00A42474">
        <w:t>CenturyLink Stay Petition (filed January 22, 2016); Motion of CenturyLink Public Communications, Inc. for Partial Stay Pending Judicial Review, USCA Case #15-1461, Document #1597573 (filed Feb. 5, 2016).</w:t>
      </w:r>
    </w:p>
  </w:footnote>
  <w:footnote w:id="11">
    <w:p w:rsidR="002B58BD" w:rsidRPr="00A42474" w:rsidRDefault="002B58BD" w:rsidP="002B58BD">
      <w:pPr>
        <w:pStyle w:val="FootnoteText"/>
        <w:rPr>
          <w:i/>
          <w:iCs/>
        </w:rPr>
      </w:pPr>
      <w:r w:rsidRPr="00A42474">
        <w:rPr>
          <w:rStyle w:val="FootnoteReference"/>
        </w:rPr>
        <w:footnoteRef/>
      </w:r>
      <w:r w:rsidRPr="00A42474">
        <w:t xml:space="preserve"> </w:t>
      </w:r>
      <w:r w:rsidRPr="00A42474">
        <w:rPr>
          <w:i/>
          <w:iCs/>
        </w:rPr>
        <w:t>See Global Tel*Link v. FCC</w:t>
      </w:r>
      <w:r w:rsidRPr="00A42474">
        <w:t>, No. 15-1451 (D.C. Cir. Mar. 7, 2016) (</w:t>
      </w:r>
      <w:r w:rsidRPr="00A42474">
        <w:rPr>
          <w:i/>
          <w:iCs/>
        </w:rPr>
        <w:t>March 7 Order</w:t>
      </w:r>
      <w:r w:rsidRPr="00A42474">
        <w:t xml:space="preserve">); </w:t>
      </w:r>
      <w:r w:rsidRPr="00A42474">
        <w:rPr>
          <w:i/>
          <w:iCs/>
        </w:rPr>
        <w:t>see also Wireline Competition Bureau Addresses Applicable Rates for Inmate Calling Services and Effective Dates for Provisions of the Inmate Calling Services Second Report and Order</w:t>
      </w:r>
      <w:r w:rsidRPr="00A42474">
        <w:t>, Public Notice, DA 16-280 (WCB 2016).</w:t>
      </w:r>
    </w:p>
  </w:footnote>
  <w:footnote w:id="12">
    <w:p w:rsidR="002B58BD" w:rsidRPr="00A42474" w:rsidRDefault="002B58BD" w:rsidP="002B58BD">
      <w:pPr>
        <w:pStyle w:val="FootnoteText"/>
      </w:pPr>
      <w:r w:rsidRPr="00A42474">
        <w:rPr>
          <w:rStyle w:val="FootnoteReference"/>
        </w:rPr>
        <w:footnoteRef/>
      </w:r>
      <w:r w:rsidRPr="00A42474">
        <w:t xml:space="preserve"> </w:t>
      </w:r>
      <w:r w:rsidRPr="00A42474">
        <w:rPr>
          <w:i/>
          <w:iCs/>
        </w:rPr>
        <w:t xml:space="preserve">March 7 Order </w:t>
      </w:r>
      <w:r w:rsidRPr="00A42474">
        <w:t>at 2.</w:t>
      </w:r>
    </w:p>
  </w:footnote>
  <w:footnote w:id="13">
    <w:p w:rsidR="002B58BD" w:rsidRPr="00464E77" w:rsidRDefault="002B58BD" w:rsidP="002B58BD">
      <w:pPr>
        <w:pStyle w:val="ParaNum"/>
        <w:numPr>
          <w:ilvl w:val="0"/>
          <w:numId w:val="0"/>
        </w:numPr>
        <w:rPr>
          <w:i/>
          <w:iCs/>
          <w:sz w:val="20"/>
        </w:rPr>
      </w:pPr>
      <w:r w:rsidRPr="00A42474">
        <w:rPr>
          <w:rStyle w:val="FootnoteReference"/>
        </w:rPr>
        <w:footnoteRef/>
      </w:r>
      <w:r w:rsidRPr="00464E77">
        <w:rPr>
          <w:sz w:val="20"/>
        </w:rPr>
        <w:t xml:space="preserve"> </w:t>
      </w:r>
      <w:r w:rsidRPr="00A42474">
        <w:rPr>
          <w:i/>
          <w:iCs/>
          <w:sz w:val="20"/>
        </w:rPr>
        <w:t>See Global Tel*Link v. FCC</w:t>
      </w:r>
      <w:r w:rsidRPr="00A42474">
        <w:rPr>
          <w:sz w:val="20"/>
        </w:rPr>
        <w:t>, No. 15-1451 (D.C. Cir. Mar. 23, 2016) (</w:t>
      </w:r>
      <w:r w:rsidRPr="00A42474">
        <w:rPr>
          <w:i/>
          <w:iCs/>
          <w:sz w:val="20"/>
        </w:rPr>
        <w:t>March 23 Order</w:t>
      </w:r>
      <w:r w:rsidRPr="00A42474">
        <w:rPr>
          <w:sz w:val="20"/>
        </w:rPr>
        <w:t xml:space="preserve">); </w:t>
      </w:r>
      <w:r w:rsidRPr="00A42474">
        <w:rPr>
          <w:i/>
          <w:iCs/>
          <w:sz w:val="20"/>
        </w:rPr>
        <w:t>see also Wireline Competition Bureau Updates Applicable Rates for Inmate Calling Services</w:t>
      </w:r>
      <w:r w:rsidRPr="00A42474">
        <w:rPr>
          <w:sz w:val="20"/>
        </w:rPr>
        <w:t xml:space="preserve">, Public Notice, DA 16-332 (WCB Mar. 29, 2016).  Petitioners filed opening briefs with the D.C. Circuit on June 6, 2016.  </w:t>
      </w:r>
      <w:r w:rsidRPr="00A42474">
        <w:rPr>
          <w:i/>
          <w:sz w:val="20"/>
        </w:rPr>
        <w:t xml:space="preserve">See </w:t>
      </w:r>
      <w:r w:rsidRPr="00A42474">
        <w:rPr>
          <w:sz w:val="20"/>
        </w:rPr>
        <w:t xml:space="preserve">Joint Br. For ICS Carrier Pet’rs, </w:t>
      </w:r>
      <w:r w:rsidRPr="00A42474">
        <w:rPr>
          <w:i/>
          <w:sz w:val="20"/>
        </w:rPr>
        <w:t>Global Tel*Link</w:t>
      </w:r>
      <w:r w:rsidRPr="00A42474">
        <w:rPr>
          <w:sz w:val="20"/>
        </w:rPr>
        <w:t xml:space="preserve">, Doc. No. 1617174 (D.C. Cir. filed June 6, 2016); Br. Of State and Local Gov’t Pet’rs, </w:t>
      </w:r>
      <w:r w:rsidRPr="00A42474">
        <w:rPr>
          <w:i/>
          <w:sz w:val="20"/>
        </w:rPr>
        <w:t>Global Tel*Link</w:t>
      </w:r>
      <w:r w:rsidRPr="00A42474">
        <w:rPr>
          <w:sz w:val="20"/>
        </w:rPr>
        <w:t xml:space="preserve">, Doc. No. 1617181 (D.C. Cir. </w:t>
      </w:r>
      <w:r>
        <w:rPr>
          <w:sz w:val="20"/>
        </w:rPr>
        <w:t>filed</w:t>
      </w:r>
      <w:r w:rsidRPr="00A42474">
        <w:rPr>
          <w:sz w:val="20"/>
        </w:rPr>
        <w:t xml:space="preserve"> June 6, 2016).  On July 20, the Commission moved the Court to place the appeal in abeyance pending the adoption of the </w:t>
      </w:r>
      <w:r w:rsidRPr="00A42474">
        <w:rPr>
          <w:i/>
          <w:sz w:val="20"/>
        </w:rPr>
        <w:t>Reconsideration Order</w:t>
      </w:r>
      <w:r w:rsidRPr="00A42474">
        <w:rPr>
          <w:sz w:val="20"/>
        </w:rPr>
        <w:t xml:space="preserve">.  Mot. of Resp’ts to Hold Cases in Abeyance, </w:t>
      </w:r>
      <w:r w:rsidRPr="00A42474">
        <w:rPr>
          <w:i/>
          <w:sz w:val="20"/>
        </w:rPr>
        <w:t>Global Tel*Link</w:t>
      </w:r>
      <w:r w:rsidRPr="00A42474">
        <w:rPr>
          <w:sz w:val="20"/>
        </w:rPr>
        <w:t xml:space="preserve">, No. 1625782 (D.C. Cir. filed July 20, 2016).  On August 19, the Court denied </w:t>
      </w:r>
      <w:r>
        <w:rPr>
          <w:sz w:val="20"/>
        </w:rPr>
        <w:t xml:space="preserve">the </w:t>
      </w:r>
      <w:r w:rsidRPr="00A42474">
        <w:rPr>
          <w:sz w:val="20"/>
        </w:rPr>
        <w:t xml:space="preserve">Commission’s abeyance motion and ordered that briefing resume.  Order, </w:t>
      </w:r>
      <w:r w:rsidRPr="00A42474">
        <w:rPr>
          <w:i/>
          <w:sz w:val="20"/>
        </w:rPr>
        <w:t>Global Tel*Link</w:t>
      </w:r>
      <w:r w:rsidRPr="00A42474">
        <w:rPr>
          <w:sz w:val="20"/>
        </w:rPr>
        <w:t>, Doc. No. 1631184 (D.C. Cir. Aug. 19, 2016).  The Commission filed its brief with the Court on September 12, 2016.</w:t>
      </w:r>
      <w:r w:rsidRPr="00A42474">
        <w:rPr>
          <w:rStyle w:val="CommentReference"/>
          <w:sz w:val="20"/>
          <w:szCs w:val="20"/>
        </w:rPr>
        <w:t xml:space="preserve">  </w:t>
      </w:r>
      <w:r>
        <w:rPr>
          <w:rStyle w:val="CommentReference"/>
          <w:sz w:val="20"/>
          <w:szCs w:val="20"/>
        </w:rPr>
        <w:t xml:space="preserve">Respondents’ Br., </w:t>
      </w:r>
      <w:r>
        <w:rPr>
          <w:rStyle w:val="CommentReference"/>
          <w:i/>
          <w:sz w:val="20"/>
          <w:szCs w:val="20"/>
        </w:rPr>
        <w:t>Global Tel*Link</w:t>
      </w:r>
      <w:r>
        <w:rPr>
          <w:rStyle w:val="CommentReference"/>
          <w:sz w:val="20"/>
          <w:szCs w:val="20"/>
        </w:rPr>
        <w:t>, Doc. No. 1635294 (D.C. Cir. filed Sept. 12, 2016).</w:t>
      </w:r>
    </w:p>
  </w:footnote>
  <w:footnote w:id="14">
    <w:p w:rsidR="002B58BD" w:rsidRPr="00A42474" w:rsidRDefault="002B58BD" w:rsidP="002B58BD">
      <w:pPr>
        <w:pStyle w:val="ListParagraph"/>
        <w:widowControl/>
        <w:autoSpaceDE w:val="0"/>
        <w:autoSpaceDN w:val="0"/>
        <w:adjustRightInd w:val="0"/>
        <w:spacing w:after="160" w:line="252" w:lineRule="auto"/>
        <w:ind w:left="0"/>
        <w:contextualSpacing/>
        <w:rPr>
          <w:rFonts w:eastAsia="Calibri"/>
          <w:snapToGrid/>
          <w:color w:val="000000"/>
          <w:kern w:val="0"/>
          <w:sz w:val="20"/>
        </w:rPr>
      </w:pPr>
      <w:r w:rsidRPr="00A42474">
        <w:rPr>
          <w:rStyle w:val="FootnoteReference"/>
        </w:rPr>
        <w:footnoteRef/>
      </w:r>
      <w:r w:rsidRPr="00A42474">
        <w:rPr>
          <w:sz w:val="20"/>
        </w:rPr>
        <w:t xml:space="preserve"> </w:t>
      </w:r>
      <w:r w:rsidRPr="00A42474">
        <w:rPr>
          <w:rFonts w:eastAsia="Calibri"/>
          <w:snapToGrid/>
          <w:color w:val="000000"/>
          <w:sz w:val="20"/>
        </w:rPr>
        <w:t xml:space="preserve">Petition of Michael S. Hamden for Partial Reconsideration, WC Docket No. 12-375 (filed Jan. 19, 2016), </w:t>
      </w:r>
      <w:r w:rsidRPr="00C92542">
        <w:rPr>
          <w:rFonts w:eastAsia="Calibri"/>
          <w:snapToGrid/>
          <w:sz w:val="20"/>
        </w:rPr>
        <w:t>http://apps.fcc.gov/ecfs/document/view?id=60001408060</w:t>
      </w:r>
      <w:r w:rsidRPr="00A42474">
        <w:rPr>
          <w:rFonts w:eastAsia="Calibri"/>
          <w:snapToGrid/>
          <w:color w:val="367FFF"/>
          <w:sz w:val="20"/>
        </w:rPr>
        <w:t xml:space="preserve"> </w:t>
      </w:r>
      <w:r w:rsidRPr="00A42474">
        <w:rPr>
          <w:rFonts w:eastAsia="Calibri"/>
          <w:snapToGrid/>
          <w:color w:val="000000"/>
          <w:sz w:val="20"/>
        </w:rPr>
        <w:t xml:space="preserve">(Hamden </w:t>
      </w:r>
      <w:r w:rsidRPr="00A42474">
        <w:rPr>
          <w:rFonts w:eastAsia="Calibri"/>
          <w:color w:val="000000"/>
          <w:sz w:val="20"/>
        </w:rPr>
        <w:t xml:space="preserve">Petition); </w:t>
      </w:r>
      <w:r w:rsidRPr="00A42474">
        <w:rPr>
          <w:rFonts w:eastAsia="Calibri"/>
          <w:i/>
          <w:color w:val="000000"/>
          <w:sz w:val="20"/>
        </w:rPr>
        <w:t xml:space="preserve">see also </w:t>
      </w:r>
      <w:r w:rsidRPr="00A42474">
        <w:rPr>
          <w:rFonts w:eastAsia="Calibri"/>
          <w:i/>
          <w:snapToGrid/>
          <w:kern w:val="0"/>
          <w:sz w:val="20"/>
        </w:rPr>
        <w:t>Reconsideration Order</w:t>
      </w:r>
      <w:r w:rsidRPr="00A42474">
        <w:rPr>
          <w:rFonts w:eastAsia="Calibri"/>
          <w:snapToGrid/>
          <w:kern w:val="0"/>
          <w:sz w:val="20"/>
        </w:rPr>
        <w:t>, FCC 16-102 at para. 11.</w:t>
      </w:r>
    </w:p>
  </w:footnote>
  <w:footnote w:id="15">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Hamden Petition at 2. </w:t>
      </w:r>
    </w:p>
  </w:footnote>
  <w:footnote w:id="16">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Reconsideration Order </w:t>
      </w:r>
      <w:r w:rsidRPr="00A42474">
        <w:t xml:space="preserve">at </w:t>
      </w:r>
      <w:r>
        <w:t xml:space="preserve">para. 11; </w:t>
      </w:r>
      <w:r w:rsidRPr="00A42474">
        <w:t xml:space="preserve">Hamden Petition at ii.  The </w:t>
      </w:r>
      <w:r w:rsidRPr="00A42474">
        <w:rPr>
          <w:i/>
        </w:rPr>
        <w:t xml:space="preserve">Reconsideration Order </w:t>
      </w:r>
      <w:r w:rsidRPr="00A42474">
        <w:t>discussed the Hamden Petition in further detail.  We do not repeat those details here, but incorporate that description by reference.</w:t>
      </w:r>
    </w:p>
  </w:footnote>
  <w:footnote w:id="17">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Reconsideration Order </w:t>
      </w:r>
      <w:r w:rsidRPr="00A42474">
        <w:t>at para. 11, n. 47-49 (providing a complete list of parties that filed in response to the Hamden Petition).</w:t>
      </w:r>
    </w:p>
  </w:footnote>
  <w:footnote w:id="18">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generally </w:t>
      </w:r>
      <w:r>
        <w:rPr>
          <w:rFonts w:eastAsia="Calibri"/>
          <w:i/>
        </w:rPr>
        <w:t>id</w:t>
      </w:r>
      <w:r w:rsidRPr="00A42474">
        <w:rPr>
          <w:rFonts w:eastAsia="Calibri"/>
        </w:rPr>
        <w:t>.</w:t>
      </w:r>
    </w:p>
  </w:footnote>
  <w:footnote w:id="19">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Pr>
          <w:i/>
        </w:rPr>
        <w:t>id.</w:t>
      </w:r>
      <w:r w:rsidRPr="00A42474">
        <w:rPr>
          <w:rFonts w:eastAsia="Calibri"/>
        </w:rPr>
        <w:t xml:space="preserve"> at paras. 5, 13 (</w:t>
      </w:r>
      <w:r w:rsidRPr="00A42474">
        <w:t xml:space="preserve">amending the Commission’s rules to mirror the definitions stated in the text of the </w:t>
      </w:r>
      <w:r w:rsidRPr="00A42474">
        <w:rPr>
          <w:i/>
        </w:rPr>
        <w:t>2015 ICS Order</w:t>
      </w:r>
      <w:r w:rsidRPr="00A42474">
        <w:t>)</w:t>
      </w:r>
      <w:r w:rsidRPr="00A42474">
        <w:rPr>
          <w:rFonts w:eastAsia="Calibri"/>
        </w:rPr>
        <w:t>.</w:t>
      </w:r>
    </w:p>
  </w:footnote>
  <w:footnote w:id="20">
    <w:p w:rsidR="002B58BD" w:rsidRPr="00A42474" w:rsidRDefault="002B58BD" w:rsidP="002B58BD">
      <w:pPr>
        <w:pStyle w:val="FootnoteText"/>
      </w:pPr>
      <w:r w:rsidRPr="00A42474">
        <w:rPr>
          <w:rStyle w:val="FootnoteReference"/>
        </w:rPr>
        <w:footnoteRef/>
      </w:r>
      <w:r w:rsidRPr="00A42474">
        <w:t xml:space="preserve"> </w:t>
      </w:r>
      <w:r w:rsidRPr="00A42474">
        <w:rPr>
          <w:i/>
        </w:rPr>
        <w:t>See</w:t>
      </w:r>
      <w:r>
        <w:rPr>
          <w:i/>
        </w:rPr>
        <w:t xml:space="preserve"> id.</w:t>
      </w:r>
      <w:r w:rsidRPr="00A42474">
        <w:t xml:space="preserve"> at paras. 13, 31-41 (denying Hamden Petition for Reconsideration in all other respects, including the request to reconsider the treatment of site commissions and the request to clarify that ICS providers cannot use unregulated subsidiaries to circumvent the rule regarding charges for single-call services).  In reaching these decisions, the Commission considered the record developed in response to the Hamden Petition and was not persuaded, in either case, of the necessity to reconsider the decisions made in the </w:t>
      </w:r>
      <w:r w:rsidRPr="00A42474">
        <w:rPr>
          <w:i/>
        </w:rPr>
        <w:t>2015 ICS Order</w:t>
      </w:r>
      <w:r w:rsidRPr="00A42474">
        <w:t xml:space="preserve">. </w:t>
      </w:r>
      <w:r>
        <w:rPr>
          <w:i/>
        </w:rPr>
        <w:t xml:space="preserve">See Reconsideration Order </w:t>
      </w:r>
      <w:r w:rsidRPr="00A42474">
        <w:t>at paras. 34-41.</w:t>
      </w:r>
    </w:p>
  </w:footnote>
  <w:footnote w:id="21">
    <w:p w:rsidR="002B58BD" w:rsidRPr="00A42474" w:rsidRDefault="002B58BD" w:rsidP="002B58BD">
      <w:pPr>
        <w:pStyle w:val="FootnoteText"/>
      </w:pPr>
      <w:r w:rsidRPr="00A42474">
        <w:rPr>
          <w:rStyle w:val="FootnoteReference"/>
        </w:rPr>
        <w:footnoteRef/>
      </w:r>
      <w:r w:rsidRPr="00A42474">
        <w:t xml:space="preserve"> </w:t>
      </w:r>
      <w:r w:rsidRPr="00A42474">
        <w:rPr>
          <w:i/>
        </w:rPr>
        <w:t>See Reconsideration Order</w:t>
      </w:r>
      <w:r>
        <w:t xml:space="preserve"> </w:t>
      </w:r>
      <w:r w:rsidRPr="00A42474">
        <w:rPr>
          <w:rFonts w:eastAsia="Calibri"/>
        </w:rPr>
        <w:t>at para. 3.</w:t>
      </w:r>
    </w:p>
  </w:footnote>
  <w:footnote w:id="22">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Pr>
          <w:i/>
        </w:rPr>
        <w:t>id.</w:t>
      </w:r>
      <w:r w:rsidRPr="00A42474">
        <w:rPr>
          <w:rFonts w:eastAsia="Calibri"/>
        </w:rPr>
        <w:t xml:space="preserve"> at para. 12.</w:t>
      </w:r>
    </w:p>
  </w:footnote>
  <w:footnote w:id="23">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Pr>
          <w:i/>
        </w:rPr>
        <w:t>id</w:t>
      </w:r>
      <w:r w:rsidRPr="00A42474">
        <w:rPr>
          <w:rFonts w:eastAsia="Calibri"/>
        </w:rPr>
        <w:t>.</w:t>
      </w:r>
    </w:p>
  </w:footnote>
  <w:footnote w:id="24">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Pr>
          <w:i/>
        </w:rPr>
        <w:t>id.</w:t>
      </w:r>
      <w:r w:rsidRPr="00A42474">
        <w:rPr>
          <w:rFonts w:eastAsia="Calibri"/>
        </w:rPr>
        <w:t xml:space="preserve"> at para. 13</w:t>
      </w:r>
    </w:p>
  </w:footnote>
  <w:footnote w:id="25">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Pr>
          <w:i/>
        </w:rPr>
        <w:t>id.</w:t>
      </w:r>
      <w:r w:rsidRPr="00A42474">
        <w:rPr>
          <w:rFonts w:eastAsia="Calibri"/>
        </w:rPr>
        <w:t xml:space="preserve"> at para. 38; </w:t>
      </w:r>
      <w:r w:rsidRPr="00A42474">
        <w:rPr>
          <w:rFonts w:eastAsia="Calibri"/>
          <w:i/>
        </w:rPr>
        <w:t xml:space="preserve">id. </w:t>
      </w:r>
      <w:r>
        <w:rPr>
          <w:rFonts w:eastAsia="Calibri"/>
        </w:rPr>
        <w:t xml:space="preserve">at </w:t>
      </w:r>
      <w:r w:rsidRPr="00A42474">
        <w:rPr>
          <w:rFonts w:eastAsia="Calibri"/>
        </w:rPr>
        <w:t>n. 151 (explaining that nothing in the Commission’s rules “restricts a provider’s ability to distribute as it chooses whatever revenue it collects . . . .</w:t>
      </w:r>
      <w:r>
        <w:rPr>
          <w:rFonts w:eastAsia="Calibri"/>
        </w:rPr>
        <w:t>”</w:t>
      </w:r>
      <w:r w:rsidRPr="00A42474">
        <w:rPr>
          <w:rFonts w:eastAsia="Calibri"/>
        </w:rPr>
        <w:t>).</w:t>
      </w:r>
    </w:p>
  </w:footnote>
  <w:footnote w:id="26">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Securus Stay Petition (seeking a stay of the new ICS rates). </w:t>
      </w:r>
    </w:p>
  </w:footnote>
  <w:footnote w:id="27">
    <w:p w:rsidR="002B58BD" w:rsidRPr="00A42474" w:rsidRDefault="002B58BD" w:rsidP="002B58BD">
      <w:pPr>
        <w:pStyle w:val="FootnoteText"/>
      </w:pPr>
      <w:r w:rsidRPr="00A42474">
        <w:rPr>
          <w:rStyle w:val="FootnoteReference"/>
        </w:rPr>
        <w:footnoteRef/>
      </w:r>
      <w:r w:rsidRPr="00A42474">
        <w:t xml:space="preserve"> </w:t>
      </w:r>
      <w:r w:rsidRPr="00A42474">
        <w:rPr>
          <w:i/>
        </w:rPr>
        <w:t>See</w:t>
      </w:r>
      <w:r w:rsidRPr="00A42474">
        <w:t xml:space="preserve"> Telmate Stay Petition; GTL Stay Petition; State Petitioners Stay Petition. For purposes of this Order, we refer to Securus, Telmate, </w:t>
      </w:r>
      <w:r>
        <w:t xml:space="preserve">GTL, and the State Petitioners </w:t>
      </w:r>
      <w:r w:rsidRPr="00A42474">
        <w:t xml:space="preserve">collectively, </w:t>
      </w:r>
      <w:r>
        <w:t>as “</w:t>
      </w:r>
      <w:r w:rsidRPr="00A42474">
        <w:t>Petitioners</w:t>
      </w:r>
      <w:r>
        <w:t>.”</w:t>
      </w:r>
    </w:p>
  </w:footnote>
  <w:footnote w:id="28">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Telmate Stay Petition at 4-5; 15.</w:t>
      </w:r>
    </w:p>
  </w:footnote>
  <w:footnote w:id="29">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Securus Stay Petition at 4-6; Telmate Stay Petition at 13-14.</w:t>
      </w:r>
    </w:p>
  </w:footnote>
  <w:footnote w:id="30">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Telmate Stay Petition at 9-11; GTL Stay Petition at 11-15; State Petitioners Stay Petition at 5-7.</w:t>
      </w:r>
    </w:p>
  </w:footnote>
  <w:footnote w:id="31">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Securus Stay Petition at 7-10; Telmate Stay Petition at 12-13; GTL Stay Petition at 15-18.</w:t>
      </w:r>
    </w:p>
  </w:footnote>
  <w:footnote w:id="32">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generally </w:t>
      </w:r>
      <w:r w:rsidRPr="00A42474">
        <w:rPr>
          <w:rFonts w:eastAsia="Calibri"/>
          <w:color w:val="000000"/>
        </w:rPr>
        <w:t xml:space="preserve">Wright Opposition to Securus Petition; Wright Opposition to Telmate Petition; Wright Opposition to GTL Petition; Wright Opposition to States’ Petition; ICSolutions Opposition; NCIC Opposition. </w:t>
      </w:r>
    </w:p>
  </w:footnote>
  <w:footnote w:id="33">
    <w:p w:rsidR="002B58BD" w:rsidRPr="00A42474" w:rsidRDefault="002B58BD" w:rsidP="002B58BD">
      <w:pPr>
        <w:pStyle w:val="FootnoteText"/>
      </w:pPr>
      <w:r w:rsidRPr="00A42474">
        <w:rPr>
          <w:rStyle w:val="FootnoteReference"/>
        </w:rPr>
        <w:footnoteRef/>
      </w:r>
      <w:r w:rsidRPr="00A42474">
        <w:t xml:space="preserve"> </w:t>
      </w:r>
      <w:r w:rsidRPr="00A42474">
        <w:rPr>
          <w:i/>
        </w:rPr>
        <w:t>See Washington Metro. Area Transit Comm’n v. Holiday Tours, Inc.</w:t>
      </w:r>
      <w:r w:rsidRPr="00A42474">
        <w:t>, 559 F.2d 841, 843 (D.C. Cir. 1977) (</w:t>
      </w:r>
      <w:r w:rsidRPr="00A42474">
        <w:rPr>
          <w:i/>
        </w:rPr>
        <w:t>Holiday Tours</w:t>
      </w:r>
      <w:r w:rsidRPr="00A42474">
        <w:t xml:space="preserve">); </w:t>
      </w:r>
      <w:r w:rsidRPr="00A42474">
        <w:rPr>
          <w:i/>
        </w:rPr>
        <w:t>Virginia Petroleum Jobbers Ass’n v. Federal Power Comm’n</w:t>
      </w:r>
      <w:r w:rsidRPr="00A42474">
        <w:t>, 259 F.2d 921, 925 (D.C. Cir. 1958) (</w:t>
      </w:r>
      <w:r w:rsidRPr="00A42474">
        <w:rPr>
          <w:i/>
        </w:rPr>
        <w:t>VA Petroleum Jobbers</w:t>
      </w:r>
      <w:r w:rsidRPr="00A42474">
        <w:t>).</w:t>
      </w:r>
    </w:p>
  </w:footnote>
  <w:footnote w:id="34">
    <w:p w:rsidR="002B58BD" w:rsidRPr="00A42474" w:rsidRDefault="002B58BD" w:rsidP="002B58BD">
      <w:pPr>
        <w:pStyle w:val="FootnoteText"/>
        <w:rPr>
          <w:b/>
        </w:rPr>
      </w:pPr>
      <w:r w:rsidRPr="00A42474">
        <w:rPr>
          <w:rStyle w:val="FootnoteReference"/>
        </w:rPr>
        <w:footnoteRef/>
      </w:r>
      <w:r w:rsidRPr="00A42474">
        <w:t xml:space="preserve"> </w:t>
      </w:r>
      <w:r w:rsidRPr="00A42474">
        <w:rPr>
          <w:i/>
        </w:rPr>
        <w:t>See, e.g.</w:t>
      </w:r>
      <w:r w:rsidRPr="00A42474">
        <w:t xml:space="preserve">, </w:t>
      </w:r>
      <w:r w:rsidRPr="00A42474">
        <w:rPr>
          <w:i/>
          <w:iCs/>
        </w:rPr>
        <w:t>Order Denying Stay Petitions</w:t>
      </w:r>
      <w:r w:rsidRPr="00A42474">
        <w:rPr>
          <w:iCs/>
        </w:rPr>
        <w:t>, 31 FCC Rcd</w:t>
      </w:r>
      <w:r w:rsidRPr="00A42474">
        <w:rPr>
          <w:i/>
          <w:iCs/>
        </w:rPr>
        <w:t xml:space="preserve"> </w:t>
      </w:r>
      <w:r w:rsidRPr="00A42474">
        <w:rPr>
          <w:iCs/>
        </w:rPr>
        <w:t xml:space="preserve">at 278-79, paras. 34-35 (addressing Telmate’s contention that it is not subject to section 201 because the service it provides is a one-way VoIP service); </w:t>
      </w:r>
      <w:r w:rsidRPr="00A42474">
        <w:rPr>
          <w:i/>
          <w:iCs/>
        </w:rPr>
        <w:t>id</w:t>
      </w:r>
      <w:r w:rsidRPr="00A42474">
        <w:rPr>
          <w:iCs/>
        </w:rPr>
        <w:t xml:space="preserve">. at 271-72, paras. 21-26 (explaining that it was reasonable for the Commission to use average costs as a basis for calculating the rate caps); </w:t>
      </w:r>
      <w:r w:rsidRPr="00A42474">
        <w:rPr>
          <w:i/>
          <w:iCs/>
        </w:rPr>
        <w:t>id</w:t>
      </w:r>
      <w:r w:rsidRPr="00A42474">
        <w:rPr>
          <w:iCs/>
        </w:rPr>
        <w:t xml:space="preserve">. at 279-281, paras. 36-39 (responding to arguments that section 276 is a “one-way ratchet” that only allows the Commission to establish a floor, but not a ceiling, on ICS rates); </w:t>
      </w:r>
      <w:r w:rsidRPr="00A42474">
        <w:rPr>
          <w:i/>
          <w:iCs/>
        </w:rPr>
        <w:t>id</w:t>
      </w:r>
      <w:r w:rsidRPr="00A42474">
        <w:rPr>
          <w:iCs/>
        </w:rPr>
        <w:t>. at 295-96, paras. 71-73 (explaining why continued reliance on the interim rate caps is insufficient to satisfy the Commission’s statutory obligations).</w:t>
      </w:r>
    </w:p>
  </w:footnote>
  <w:footnote w:id="35">
    <w:p w:rsidR="002B58BD" w:rsidRDefault="002B58BD" w:rsidP="002B58BD">
      <w:pPr>
        <w:pStyle w:val="FootnoteText"/>
      </w:pPr>
      <w:r>
        <w:rPr>
          <w:rStyle w:val="FootnoteReference"/>
        </w:rPr>
        <w:footnoteRef/>
      </w:r>
      <w:r>
        <w:t xml:space="preserve"> </w:t>
      </w:r>
      <w:r>
        <w:rPr>
          <w:i/>
        </w:rPr>
        <w:t>See</w:t>
      </w:r>
      <w:r>
        <w:t xml:space="preserve"> Telmate Stay Petition at 15. </w:t>
      </w:r>
    </w:p>
  </w:footnote>
  <w:footnote w:id="36">
    <w:p w:rsidR="002B58BD" w:rsidRDefault="002B58BD" w:rsidP="002B58BD">
      <w:pPr>
        <w:pStyle w:val="FootnoteText"/>
      </w:pPr>
      <w:r>
        <w:rPr>
          <w:rStyle w:val="FootnoteReference"/>
        </w:rPr>
        <w:footnoteRef/>
      </w:r>
      <w:r>
        <w:t xml:space="preserve"> </w:t>
      </w:r>
      <w:r>
        <w:rPr>
          <w:i/>
        </w:rPr>
        <w:t>See</w:t>
      </w:r>
      <w:r>
        <w:t xml:space="preserve"> </w:t>
      </w:r>
      <w:r>
        <w:rPr>
          <w:i/>
        </w:rPr>
        <w:t>id</w:t>
      </w:r>
      <w:r>
        <w:t xml:space="preserve">. at 15 (arguing that the Commission “crafted a rule that no party . . . ‘presented’ or ‘requested,’ on reconsideration).  Securus raises a related concern, noting that that “[s]everal parties, including Mr. Hamden, wrote the Commission urging it not to take the proposed action.” Securus Stay Petition at 2.  </w:t>
      </w:r>
    </w:p>
  </w:footnote>
  <w:footnote w:id="37">
    <w:p w:rsidR="002B58BD" w:rsidRPr="005A162A" w:rsidRDefault="002B58BD" w:rsidP="002B58BD">
      <w:pPr>
        <w:pStyle w:val="FootnoteText"/>
      </w:pPr>
      <w:r>
        <w:rPr>
          <w:rStyle w:val="FootnoteReference"/>
        </w:rPr>
        <w:footnoteRef/>
      </w:r>
      <w:r>
        <w:t xml:space="preserve"> To the contrary, Section 405 of the Communications Act and the Commission’s associated rules explicitly afford the Commission the discretion to grant a petition for reconsideration “in whole or in part.”  47 U.S.C. § 405(a); </w:t>
      </w:r>
      <w:r>
        <w:rPr>
          <w:i/>
        </w:rPr>
        <w:t xml:space="preserve">see </w:t>
      </w:r>
      <w:r>
        <w:t xml:space="preserve">47 CFR § 1.429(i).  The only requirement is that the Commission provide an explanation for its decision, which the Commission did in the </w:t>
      </w:r>
      <w:r>
        <w:rPr>
          <w:i/>
        </w:rPr>
        <w:t>Reconsideration Order</w:t>
      </w:r>
      <w:r>
        <w:t xml:space="preserve">.  </w:t>
      </w:r>
      <w:r>
        <w:rPr>
          <w:i/>
        </w:rPr>
        <w:t xml:space="preserve">Id. </w:t>
      </w:r>
      <w:r>
        <w:t xml:space="preserve">(requiring that an order on reconsideration contain “a concise statement of the reason” for the actions taken.).  </w:t>
      </w:r>
    </w:p>
  </w:footnote>
  <w:footnote w:id="38">
    <w:p w:rsidR="002B58BD" w:rsidRPr="001B22B6" w:rsidRDefault="002B58BD" w:rsidP="002B58BD">
      <w:pPr>
        <w:pStyle w:val="FootnoteText"/>
      </w:pPr>
      <w:r>
        <w:rPr>
          <w:rStyle w:val="FootnoteReference"/>
        </w:rPr>
        <w:footnoteRef/>
      </w:r>
      <w:r>
        <w:t xml:space="preserve"> </w:t>
      </w:r>
      <w:r>
        <w:rPr>
          <w:i/>
        </w:rPr>
        <w:t xml:space="preserve">See </w:t>
      </w:r>
      <w:r>
        <w:t xml:space="preserve">Hamden Petition at ii. </w:t>
      </w:r>
    </w:p>
  </w:footnote>
  <w:footnote w:id="39">
    <w:p w:rsidR="002B58BD" w:rsidRPr="00E34A7E" w:rsidRDefault="002B58BD" w:rsidP="002B58BD">
      <w:pPr>
        <w:pStyle w:val="FootnoteText"/>
      </w:pPr>
      <w:r>
        <w:rPr>
          <w:rStyle w:val="FootnoteReference"/>
        </w:rPr>
        <w:footnoteRef/>
      </w:r>
      <w:r>
        <w:t xml:space="preserve"> </w:t>
      </w:r>
      <w:r>
        <w:rPr>
          <w:i/>
        </w:rPr>
        <w:t>Reconsideration Order</w:t>
      </w:r>
      <w:r>
        <w:t>,</w:t>
      </w:r>
      <w:r>
        <w:rPr>
          <w:i/>
        </w:rPr>
        <w:t xml:space="preserve"> </w:t>
      </w:r>
      <w:r w:rsidRPr="008B55C5">
        <w:rPr>
          <w:rFonts w:eastAsia="Calibri"/>
        </w:rPr>
        <w:t>FCC 16-102</w:t>
      </w:r>
      <w:r>
        <w:rPr>
          <w:rFonts w:eastAsia="Calibri"/>
        </w:rPr>
        <w:t>, at para. 1</w:t>
      </w:r>
      <w:r>
        <w:t xml:space="preserve">. </w:t>
      </w:r>
    </w:p>
  </w:footnote>
  <w:footnote w:id="40">
    <w:p w:rsidR="002B58BD" w:rsidRDefault="002B58BD" w:rsidP="002B58BD">
      <w:pPr>
        <w:pStyle w:val="FootnoteText"/>
      </w:pPr>
      <w:r>
        <w:rPr>
          <w:rStyle w:val="FootnoteReference"/>
        </w:rPr>
        <w:footnoteRef/>
      </w:r>
      <w:r>
        <w:t xml:space="preserve"> </w:t>
      </w:r>
      <w:r>
        <w:rPr>
          <w:i/>
        </w:rPr>
        <w:t xml:space="preserve">Id. </w:t>
      </w:r>
      <w:r>
        <w:rPr>
          <w:rFonts w:eastAsia="Calibri"/>
        </w:rPr>
        <w:t xml:space="preserve">at paras. 22-30; </w:t>
      </w:r>
      <w:r>
        <w:rPr>
          <w:rFonts w:eastAsia="Calibri"/>
          <w:i/>
        </w:rPr>
        <w:t>id.</w:t>
      </w:r>
      <w:r>
        <w:rPr>
          <w:rFonts w:eastAsia="Calibri"/>
        </w:rPr>
        <w:t xml:space="preserve">at n. 54 (explaining the decision to not prohibit site commission payments). </w:t>
      </w:r>
    </w:p>
  </w:footnote>
  <w:footnote w:id="41">
    <w:p w:rsidR="002B58BD" w:rsidRDefault="002B58BD" w:rsidP="002B58BD">
      <w:pPr>
        <w:pStyle w:val="FootnoteText"/>
      </w:pPr>
      <w:r>
        <w:rPr>
          <w:rStyle w:val="FootnoteReference"/>
        </w:rPr>
        <w:footnoteRef/>
      </w:r>
      <w:r>
        <w:t xml:space="preserve"> </w:t>
      </w:r>
      <w:r>
        <w:rPr>
          <w:i/>
        </w:rPr>
        <w:t xml:space="preserve">See </w:t>
      </w:r>
      <w:r>
        <w:t xml:space="preserve">Wright Opposition to Telmate Petition at 6. </w:t>
      </w:r>
    </w:p>
  </w:footnote>
  <w:footnote w:id="42">
    <w:p w:rsidR="002B58BD" w:rsidRPr="00A42474" w:rsidRDefault="002B58BD" w:rsidP="002B58BD">
      <w:pPr>
        <w:pStyle w:val="FootnoteText"/>
      </w:pPr>
      <w:r w:rsidRPr="00A42474">
        <w:rPr>
          <w:rStyle w:val="FootnoteReference"/>
        </w:rPr>
        <w:footnoteRef/>
      </w:r>
      <w:r w:rsidRPr="00A42474">
        <w:t xml:space="preserve"> </w:t>
      </w:r>
      <w:r w:rsidRPr="00A42474">
        <w:rPr>
          <w:i/>
        </w:rPr>
        <w:t>See, e.g.</w:t>
      </w:r>
      <w:r w:rsidRPr="00A42474">
        <w:t xml:space="preserve">, Securus Stay Petition at </w:t>
      </w:r>
      <w:r>
        <w:t>5-7</w:t>
      </w:r>
      <w:r w:rsidRPr="00A42474">
        <w:t>; Telmate Stay Petition at 13-14.</w:t>
      </w:r>
    </w:p>
  </w:footnote>
  <w:footnote w:id="43">
    <w:p w:rsidR="002B58BD" w:rsidRPr="00A42474" w:rsidRDefault="002B58BD" w:rsidP="002B58BD">
      <w:pPr>
        <w:pStyle w:val="FootnoteText"/>
      </w:pPr>
      <w:r w:rsidRPr="00A42474">
        <w:rPr>
          <w:rStyle w:val="FootnoteReference"/>
        </w:rPr>
        <w:footnoteRef/>
      </w:r>
      <w:r w:rsidRPr="00A42474">
        <w:t xml:space="preserve"> </w:t>
      </w:r>
      <w:r w:rsidRPr="00A42474">
        <w:rPr>
          <w:i/>
        </w:rPr>
        <w:t>See Order Denying 2015 Stay Petitions</w:t>
      </w:r>
      <w:r w:rsidRPr="00A42474">
        <w:t xml:space="preserve">, 31 FCC Rcd 261, 271-73, paras. </w:t>
      </w:r>
      <w:r>
        <w:t>21-24.</w:t>
      </w:r>
    </w:p>
  </w:footnote>
  <w:footnote w:id="44">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Securus Stay Petition at 6 (arguing the “extra pennies that the Commission has doled out </w:t>
      </w:r>
      <w:r>
        <w:t xml:space="preserve">‘for reasonable facility costs’ </w:t>
      </w:r>
      <w:r w:rsidRPr="00A42474">
        <w:t xml:space="preserve">are not meant for ICS carriers.  ICS carriers will receive the same per-minute rates that were adopted last year”); Telmate Stay Petition at 14. </w:t>
      </w:r>
    </w:p>
  </w:footnote>
  <w:footnote w:id="45">
    <w:p w:rsidR="002B58BD" w:rsidRPr="00A42474" w:rsidRDefault="002B58BD" w:rsidP="002B58BD">
      <w:pPr>
        <w:pStyle w:val="FootnoteText"/>
      </w:pPr>
      <w:r w:rsidRPr="00A42474">
        <w:rPr>
          <w:rStyle w:val="FootnoteReference"/>
        </w:rPr>
        <w:footnoteRef/>
      </w:r>
      <w:r w:rsidRPr="00A42474">
        <w:t xml:space="preserve"> </w:t>
      </w:r>
      <w:r w:rsidRPr="00A42474">
        <w:rPr>
          <w:i/>
        </w:rPr>
        <w:t>See Reconsideration Order</w:t>
      </w:r>
      <w:r w:rsidRPr="00A42474">
        <w:t>, FCC 126-102, at para. 38, n. 151.</w:t>
      </w:r>
    </w:p>
  </w:footnote>
  <w:footnote w:id="46">
    <w:p w:rsidR="002B58BD" w:rsidRPr="00A42474" w:rsidRDefault="002B58BD" w:rsidP="002B58BD">
      <w:pPr>
        <w:pStyle w:val="FootnoteText"/>
      </w:pPr>
      <w:r w:rsidRPr="00A42474">
        <w:rPr>
          <w:rStyle w:val="FootnoteReference"/>
        </w:rPr>
        <w:footnoteRef/>
      </w:r>
      <w:r w:rsidRPr="00A42474">
        <w:t xml:space="preserve"> Telmate Stay Petition at 14. </w:t>
      </w:r>
    </w:p>
  </w:footnote>
  <w:footnote w:id="47">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Pr>
          <w:i/>
        </w:rPr>
        <w:t>id.</w:t>
      </w:r>
      <w:r>
        <w:t>at 13-14</w:t>
      </w:r>
      <w:r w:rsidRPr="00A42474">
        <w:t xml:space="preserve">; </w:t>
      </w:r>
      <w:r w:rsidRPr="00A42474">
        <w:rPr>
          <w:i/>
        </w:rPr>
        <w:t xml:space="preserve">see also </w:t>
      </w:r>
      <w:r w:rsidRPr="00A42474">
        <w:t>Securus Stay Petition at 7 (claiming tha</w:t>
      </w:r>
      <w:r>
        <w:t>t the Commission does not have “</w:t>
      </w:r>
      <w:r w:rsidRPr="00A42474">
        <w:t>any basis to predict that the earmarked rate increases will indeed ‘expressly account for reasonable facility costs related to ICS.</w:t>
      </w:r>
      <w:r>
        <w:t>’</w:t>
      </w:r>
      <w:r w:rsidRPr="00A42474">
        <w:t>”).</w:t>
      </w:r>
    </w:p>
  </w:footnote>
  <w:footnote w:id="48">
    <w:p w:rsidR="002B58BD" w:rsidRPr="00A42474" w:rsidRDefault="002B58BD" w:rsidP="002B58BD">
      <w:pPr>
        <w:pStyle w:val="FootnoteText"/>
      </w:pPr>
      <w:r w:rsidRPr="00A42474">
        <w:rPr>
          <w:rStyle w:val="FootnoteReference"/>
        </w:rPr>
        <w:footnoteRef/>
      </w:r>
      <w:r w:rsidRPr="00A42474">
        <w:t xml:space="preserve"> Telmate Stay Petition at 14 (arguing that “</w:t>
      </w:r>
      <w:r>
        <w:t>[</w:t>
      </w:r>
      <w:r w:rsidRPr="00A42474">
        <w:t>p</w:t>
      </w:r>
      <w:r>
        <w:t>]</w:t>
      </w:r>
      <w:r w:rsidRPr="00A42474">
        <w:t xml:space="preserve">roviders reported their costs to the FCC both with and without site commission payments, but they never reported costs that included only the portion of commission payments that directly reimburses facilities for their inmate calling costs.”). </w:t>
      </w:r>
    </w:p>
  </w:footnote>
  <w:footnote w:id="49">
    <w:p w:rsidR="002B58BD" w:rsidRPr="00A42474" w:rsidRDefault="002B58BD" w:rsidP="002B58BD">
      <w:pPr>
        <w:pStyle w:val="FootnoteText"/>
      </w:pPr>
      <w:r w:rsidRPr="00A42474">
        <w:rPr>
          <w:rStyle w:val="FootnoteReference"/>
        </w:rPr>
        <w:footnoteRef/>
      </w:r>
      <w:r w:rsidRPr="00A42474">
        <w:t xml:space="preserve"> </w:t>
      </w:r>
      <w:r w:rsidRPr="00A42474">
        <w:rPr>
          <w:i/>
        </w:rPr>
        <w:t>See Reconsideration Order</w:t>
      </w:r>
      <w:r>
        <w:t xml:space="preserve"> </w:t>
      </w:r>
      <w:r w:rsidRPr="00A42474">
        <w:rPr>
          <w:rFonts w:eastAsia="Calibri"/>
        </w:rPr>
        <w:t xml:space="preserve">at para. 26 (explaining that the NSA Proposal is based on “the NSA’s cost survey, which gathered information on the costs to sheriffs of providing security and administrative functions necessary to allow ICS in jails, including the salaries and the benefits of the officers and employees performing the ICS-related duties.”). The Commission also analyzed data from other sources, most notably from Baker and Wood, in assessing the costs that facilities are likely to incur in connection with ICS.  </w:t>
      </w:r>
      <w:r w:rsidRPr="00A42474">
        <w:rPr>
          <w:rFonts w:eastAsia="Calibri"/>
          <w:i/>
        </w:rPr>
        <w:t xml:space="preserve">See </w:t>
      </w:r>
      <w:r>
        <w:rPr>
          <w:i/>
        </w:rPr>
        <w:t xml:space="preserve">id. </w:t>
      </w:r>
      <w:r w:rsidRPr="00A42474">
        <w:rPr>
          <w:rFonts w:eastAsia="Calibri"/>
        </w:rPr>
        <w:t xml:space="preserve"> (explaining that “the rate caps we adopt today are based on a hybrid of the Baker/Wood and NSA Proposals.”); </w:t>
      </w:r>
      <w:r w:rsidRPr="00A42474">
        <w:rPr>
          <w:rFonts w:eastAsia="Calibri"/>
          <w:i/>
        </w:rPr>
        <w:t xml:space="preserve">see also id. </w:t>
      </w:r>
      <w:r>
        <w:rPr>
          <w:rFonts w:eastAsia="Calibri"/>
        </w:rPr>
        <w:t xml:space="preserve">at </w:t>
      </w:r>
      <w:r w:rsidRPr="00A42474">
        <w:rPr>
          <w:rFonts w:eastAsia="Calibri"/>
        </w:rPr>
        <w:t>n. 106 (noting that the “Pay Tel Proposal . . . closely mirrors the rate increases we adopt in this Order.”).</w:t>
      </w:r>
    </w:p>
  </w:footnote>
  <w:footnote w:id="50">
    <w:p w:rsidR="002B58BD" w:rsidRPr="00A42474" w:rsidRDefault="002B58BD" w:rsidP="002B58BD">
      <w:pPr>
        <w:pStyle w:val="FootnoteText"/>
        <w:rPr>
          <w:i/>
        </w:rPr>
      </w:pPr>
      <w:r w:rsidRPr="00A42474">
        <w:rPr>
          <w:rStyle w:val="FootnoteReference"/>
        </w:rPr>
        <w:footnoteRef/>
      </w:r>
      <w:r w:rsidRPr="00A42474">
        <w:t xml:space="preserve"> </w:t>
      </w:r>
      <w:r>
        <w:rPr>
          <w:i/>
        </w:rPr>
        <w:t>Id</w:t>
      </w:r>
      <w:r>
        <w:t>.</w:t>
      </w:r>
      <w:r w:rsidRPr="00A42474">
        <w:rPr>
          <w:rFonts w:eastAsia="Calibri"/>
        </w:rPr>
        <w:t xml:space="preserve"> at para. 22.  </w:t>
      </w:r>
      <w:r w:rsidRPr="00A42474">
        <w:t xml:space="preserve">In fact, there was no reason to believe that providers “necessarily had access to the information needed to determine facility costs.”  </w:t>
      </w:r>
      <w:r>
        <w:rPr>
          <w:i/>
        </w:rPr>
        <w:t xml:space="preserve">Id. </w:t>
      </w:r>
      <w:r w:rsidRPr="00A42474">
        <w:rPr>
          <w:rFonts w:eastAsia="Calibri"/>
        </w:rPr>
        <w:t xml:space="preserve"> at para. 24.</w:t>
      </w:r>
    </w:p>
  </w:footnote>
  <w:footnote w:id="51">
    <w:p w:rsidR="002B58BD" w:rsidRPr="00A42474" w:rsidRDefault="002B58BD" w:rsidP="002B58BD">
      <w:pPr>
        <w:pStyle w:val="FootnoteText"/>
      </w:pPr>
      <w:r w:rsidRPr="00A42474">
        <w:rPr>
          <w:rStyle w:val="FootnoteReference"/>
        </w:rPr>
        <w:footnoteRef/>
      </w:r>
      <w:r w:rsidRPr="00A42474">
        <w:t xml:space="preserve"> Securus Stay Petition at 7. </w:t>
      </w:r>
    </w:p>
  </w:footnote>
  <w:footnote w:id="52">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Letter from Mary J. Sisak, Attorney for National Sheriffs’ Association, to Marlene H. Dortch, Secretary, FCC, WC Docket No. 12-375 (filed June 12, 2015) (NSA Proposal).</w:t>
      </w:r>
    </w:p>
  </w:footnote>
  <w:footnote w:id="53">
    <w:p w:rsidR="002B58BD" w:rsidRPr="00A42474" w:rsidRDefault="002B58BD" w:rsidP="002B58BD">
      <w:pPr>
        <w:pStyle w:val="FootnoteText"/>
      </w:pPr>
      <w:r w:rsidRPr="00A42474">
        <w:rPr>
          <w:rStyle w:val="FootnoteReference"/>
        </w:rPr>
        <w:footnoteRef/>
      </w:r>
      <w:r w:rsidRPr="00A42474">
        <w:t xml:space="preserve"> </w:t>
      </w:r>
      <w:r w:rsidRPr="00A42474">
        <w:rPr>
          <w:i/>
        </w:rPr>
        <w:t>Reconsideration Order</w:t>
      </w:r>
      <w:r>
        <w:t xml:space="preserve"> </w:t>
      </w:r>
      <w:r w:rsidRPr="00A42474">
        <w:t>at para. 29, n. 115 (citing the NSA proposal at 3-5).</w:t>
      </w:r>
    </w:p>
  </w:footnote>
  <w:footnote w:id="54">
    <w:p w:rsidR="002B58BD" w:rsidRPr="00A42474" w:rsidRDefault="002B58BD" w:rsidP="002B58BD">
      <w:pPr>
        <w:pStyle w:val="FootnoteText"/>
      </w:pPr>
      <w:r w:rsidRPr="00A42474">
        <w:rPr>
          <w:rStyle w:val="FootnoteReference"/>
        </w:rPr>
        <w:footnoteRef/>
      </w:r>
      <w:r w:rsidRPr="00A42474">
        <w:t xml:space="preserve"> </w:t>
      </w:r>
      <w:r>
        <w:rPr>
          <w:i/>
        </w:rPr>
        <w:t>Id.</w:t>
      </w:r>
    </w:p>
  </w:footnote>
  <w:footnote w:id="55">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Securus Stay Petition at 4</w:t>
      </w:r>
      <w:r>
        <w:t>-7; Telmate Stay Petition at 13-14</w:t>
      </w:r>
      <w:r w:rsidRPr="00A42474">
        <w:t xml:space="preserve">. </w:t>
      </w:r>
    </w:p>
  </w:footnote>
  <w:footnote w:id="56">
    <w:p w:rsidR="002B58BD" w:rsidRPr="00A42474" w:rsidRDefault="002B58BD" w:rsidP="002B58BD">
      <w:pPr>
        <w:pStyle w:val="FootnoteText"/>
      </w:pPr>
      <w:r w:rsidRPr="00A42474">
        <w:rPr>
          <w:rStyle w:val="FootnoteReference"/>
        </w:rPr>
        <w:footnoteRef/>
      </w:r>
      <w:r w:rsidRPr="00A42474">
        <w:t xml:space="preserve"> </w:t>
      </w:r>
      <w:r w:rsidRPr="00A42474">
        <w:rPr>
          <w:i/>
        </w:rPr>
        <w:t>See</w:t>
      </w:r>
      <w:r>
        <w:rPr>
          <w:i/>
        </w:rPr>
        <w:t xml:space="preserve"> </w:t>
      </w:r>
      <w:r>
        <w:t>Securus Stay Petition</w:t>
      </w:r>
      <w:r w:rsidRPr="00A42474">
        <w:t xml:space="preserve"> at 6; </w:t>
      </w:r>
      <w:r w:rsidRPr="00A42474">
        <w:rPr>
          <w:i/>
        </w:rPr>
        <w:t xml:space="preserve">see also id. </w:t>
      </w:r>
      <w:r w:rsidRPr="00A42474">
        <w:t>at 4 (“[T]he 2015 and 2016 rate[ caps] are, for all practical purposes, the same.”); Telmate Stay Petition at 13-14 (arguing that the “new rates—like the old rates—are well below the cost of providing approximately half of all calls in the industry, and are therefore unlawful.”).</w:t>
      </w:r>
    </w:p>
  </w:footnote>
  <w:footnote w:id="57">
    <w:p w:rsidR="002B58BD" w:rsidRPr="00A42474" w:rsidRDefault="002B58BD" w:rsidP="002B58BD">
      <w:pPr>
        <w:pStyle w:val="FootnoteText"/>
      </w:pPr>
      <w:r w:rsidRPr="00A42474">
        <w:rPr>
          <w:rStyle w:val="FootnoteReference"/>
        </w:rPr>
        <w:footnoteRef/>
      </w:r>
      <w:r w:rsidRPr="00A42474">
        <w:t xml:space="preserve"> Additionally, as NCIC notes in its Opposition, Securus’s calculation of its average cost per minute (which it cites to demonstrate that its per-minute costs are greater than the revised rates) does not include ancillary fee revenue, which NCIC claims can amount to $0.03-$0.10 per minute using the Commission’s new ancillary fee structure.  NCIC Opposition at 3. </w:t>
      </w:r>
    </w:p>
  </w:footnote>
  <w:footnote w:id="58">
    <w:p w:rsidR="002B58BD" w:rsidRPr="00A42474" w:rsidRDefault="002B58BD" w:rsidP="002B58BD">
      <w:pPr>
        <w:pStyle w:val="FootnoteText"/>
      </w:pPr>
      <w:r w:rsidRPr="00A42474">
        <w:rPr>
          <w:rStyle w:val="FootnoteReference"/>
        </w:rPr>
        <w:footnoteRef/>
      </w:r>
      <w:r w:rsidRPr="00A42474">
        <w:t xml:space="preserve"> </w:t>
      </w:r>
      <w:r w:rsidRPr="00A42474">
        <w:rPr>
          <w:i/>
        </w:rPr>
        <w:t>Reconsideration Order</w:t>
      </w:r>
      <w:r>
        <w:t xml:space="preserve"> </w:t>
      </w:r>
      <w:r w:rsidRPr="00A42474">
        <w:rPr>
          <w:rFonts w:eastAsia="Calibri"/>
        </w:rPr>
        <w:t>at para. 22.</w:t>
      </w:r>
    </w:p>
  </w:footnote>
  <w:footnote w:id="59">
    <w:p w:rsidR="002B58BD" w:rsidRDefault="002B58BD" w:rsidP="002B58BD">
      <w:pPr>
        <w:pStyle w:val="FootnoteText"/>
      </w:pPr>
      <w:r>
        <w:rPr>
          <w:rStyle w:val="FootnoteReference"/>
        </w:rPr>
        <w:footnoteRef/>
      </w:r>
      <w:r>
        <w:t xml:space="preserve"> </w:t>
      </w:r>
      <w:r w:rsidRPr="00A42474">
        <w:t xml:space="preserve">Indeed, the new rate cap for the smallest jails </w:t>
      </w:r>
      <w:r>
        <w:t>is</w:t>
      </w:r>
      <w:r w:rsidRPr="00A42474">
        <w:t xml:space="preserve"> over 40 percent higher than the previous cap, the rate caps for medium and larger jails increased by approximately 30 percent and even the rate caps for prisons increased by over 18 percent.   </w:t>
      </w:r>
      <w:r w:rsidRPr="00A42474">
        <w:rPr>
          <w:i/>
        </w:rPr>
        <w:t>Compare</w:t>
      </w:r>
      <w:r w:rsidRPr="00A42474">
        <w:t xml:space="preserve"> </w:t>
      </w:r>
      <w:r w:rsidRPr="00A42474">
        <w:rPr>
          <w:i/>
        </w:rPr>
        <w:t xml:space="preserve">Reconsideration Order, </w:t>
      </w:r>
      <w:r w:rsidRPr="00A42474">
        <w:t xml:space="preserve">FCC 16-102, at para. 3 (listing the revised rate caps) </w:t>
      </w:r>
      <w:r w:rsidRPr="00A42474">
        <w:rPr>
          <w:i/>
        </w:rPr>
        <w:t>with</w:t>
      </w:r>
      <w:r w:rsidRPr="00A42474">
        <w:t xml:space="preserve"> </w:t>
      </w:r>
      <w:r w:rsidRPr="00A42474">
        <w:rPr>
          <w:i/>
        </w:rPr>
        <w:t>2015 ICS Order</w:t>
      </w:r>
      <w:r w:rsidRPr="00A42474">
        <w:t>, 30 FCC Rcd 12770, para. 9 (listing the rate caps for each tier).</w:t>
      </w:r>
      <w:r>
        <w:t xml:space="preserve">  An economic analysis by the Wright Petitioners shows that “the revised ICS rate caps eliminate </w:t>
      </w:r>
      <w:r>
        <w:rPr>
          <w:b/>
          <w:i/>
        </w:rPr>
        <w:t xml:space="preserve">any basis </w:t>
      </w:r>
      <w:r w:rsidRPr="00964D66">
        <w:t>for ICS providers and correctional facilities to argue that</w:t>
      </w:r>
      <w:r>
        <w:rPr>
          <w:b/>
        </w:rPr>
        <w:t xml:space="preserve"> </w:t>
      </w:r>
      <w:r>
        <w:rPr>
          <w:b/>
          <w:i/>
        </w:rPr>
        <w:t xml:space="preserve">any aspect </w:t>
      </w:r>
      <w:r w:rsidRPr="00964D66">
        <w:t>of their costs to provide ICS</w:t>
      </w:r>
      <w:r>
        <w:rPr>
          <w:b/>
        </w:rPr>
        <w:t xml:space="preserve"> </w:t>
      </w:r>
      <w:r w:rsidRPr="00964D66">
        <w:t>. . . will not be reimburse</w:t>
      </w:r>
      <w:r>
        <w:t>d</w:t>
      </w:r>
      <w:r w:rsidRPr="00964D66">
        <w:t>.”</w:t>
      </w:r>
      <w:r>
        <w:t xml:space="preserve">  Letter from Lee G. Petro, Counsel to Wright Petitioners, to Marlene H. Dortch, Secretary, FCC, WC Docket No. 12-375, at 1 (filed July 29, 2016) (discussing the “enormous increase in revenue for ICS providers” produced by the rate cap increases adopted in the </w:t>
      </w:r>
      <w:r>
        <w:rPr>
          <w:i/>
        </w:rPr>
        <w:t>Reconsideration Order</w:t>
      </w:r>
      <w:r w:rsidRPr="00964D66">
        <w:t>)</w:t>
      </w:r>
      <w:r w:rsidR="00375730">
        <w:t xml:space="preserve"> </w:t>
      </w:r>
      <w:r w:rsidR="007E67F4">
        <w:t>(emphasis in</w:t>
      </w:r>
      <w:r w:rsidR="00375730">
        <w:t xml:space="preserve"> original)</w:t>
      </w:r>
      <w:r>
        <w:t>.</w:t>
      </w:r>
    </w:p>
  </w:footnote>
  <w:footnote w:id="60">
    <w:p w:rsidR="002B58BD" w:rsidRPr="00F666E9" w:rsidRDefault="002B58BD" w:rsidP="002B58BD">
      <w:pPr>
        <w:pStyle w:val="FootnoteText"/>
      </w:pPr>
      <w:r>
        <w:rPr>
          <w:rStyle w:val="FootnoteReference"/>
        </w:rPr>
        <w:footnoteRef/>
      </w:r>
      <w:r>
        <w:t xml:space="preserve"> In fact, the rates adopted in the </w:t>
      </w:r>
      <w:r>
        <w:rPr>
          <w:i/>
        </w:rPr>
        <w:t>Reconsideration Order</w:t>
      </w:r>
      <w:r>
        <w:t xml:space="preserve"> “ensure that all providers can earn sufficient revenues to cover their ICS-related costs while also compensating facilities for reasonable costs incurred directly as a result of providing ICS.”  </w:t>
      </w:r>
      <w:r>
        <w:rPr>
          <w:i/>
        </w:rPr>
        <w:t>Reconsideration Order</w:t>
      </w:r>
      <w:r>
        <w:t xml:space="preserve">, FCC 16-102, at para. 4; </w:t>
      </w:r>
      <w:r>
        <w:rPr>
          <w:i/>
        </w:rPr>
        <w:t>see also id.</w:t>
      </w:r>
      <w:r>
        <w:t xml:space="preserve"> n. 12 (explaining that “only one small provider may not be able to recover all of its ICS-related costs under the new rates.  That provider offered no explanation for its costs, which appear to be a significant outlier among our data set, and has not objected to our rate caps at any stage of this proceeding.”).</w:t>
      </w:r>
    </w:p>
  </w:footnote>
  <w:footnote w:id="61">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supra </w:t>
      </w:r>
      <w:r>
        <w:t>para. 13</w:t>
      </w:r>
      <w:r w:rsidRPr="00A42474">
        <w:rPr>
          <w:i/>
        </w:rPr>
        <w:t xml:space="preserve">. </w:t>
      </w:r>
    </w:p>
  </w:footnote>
  <w:footnote w:id="62">
    <w:p w:rsidR="002B58BD" w:rsidRPr="00A42474" w:rsidRDefault="002B58BD" w:rsidP="002B58BD">
      <w:pPr>
        <w:pStyle w:val="FootnoteText"/>
      </w:pPr>
      <w:r w:rsidRPr="00A42474">
        <w:rPr>
          <w:rStyle w:val="FootnoteReference"/>
        </w:rPr>
        <w:footnoteRef/>
      </w:r>
      <w:r w:rsidRPr="00A42474">
        <w:t xml:space="preserve"> </w:t>
      </w:r>
      <w:r>
        <w:rPr>
          <w:i/>
        </w:rPr>
        <w:t xml:space="preserve">See supra </w:t>
      </w:r>
      <w:r>
        <w:t xml:space="preserve">n. 58. </w:t>
      </w:r>
    </w:p>
  </w:footnote>
  <w:footnote w:id="63">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GTL Stay Petition at 15-18; Securus Stay Petition at 7-10; Telmate Stay Petition at 12-13.</w:t>
      </w:r>
    </w:p>
  </w:footnote>
  <w:footnote w:id="64">
    <w:p w:rsidR="002B58BD" w:rsidRPr="00A42474" w:rsidRDefault="002B58BD" w:rsidP="002B58BD">
      <w:pPr>
        <w:pStyle w:val="FootnoteText"/>
      </w:pPr>
      <w:r w:rsidRPr="00A42474">
        <w:rPr>
          <w:rStyle w:val="FootnoteReference"/>
        </w:rPr>
        <w:footnoteRef/>
      </w:r>
      <w:r w:rsidRPr="00A42474">
        <w:t xml:space="preserve"> </w:t>
      </w:r>
      <w:r w:rsidRPr="00A42474">
        <w:rPr>
          <w:i/>
        </w:rPr>
        <w:t>See</w:t>
      </w:r>
      <w:r>
        <w:rPr>
          <w:i/>
        </w:rPr>
        <w:t>, e.g.,</w:t>
      </w:r>
      <w:r>
        <w:t xml:space="preserve"> GTL Stay Petition at 15-18 (arguing that the Commission’s refusal to allow ICS providers to recover site commissions is unlawful); Telmate Stay Petition at 12-15 (arguing that the Commission’s decision not to prohibit providers from paying site commissions, without including site commissions when setting the rate caps, is unlawful).</w:t>
      </w:r>
      <w:r w:rsidRPr="00A42474">
        <w:rPr>
          <w:i/>
        </w:rPr>
        <w:t xml:space="preserve"> </w:t>
      </w:r>
      <w:r>
        <w:t xml:space="preserve">The Commission addressed these arguments in the </w:t>
      </w:r>
      <w:r w:rsidRPr="00A42474">
        <w:rPr>
          <w:i/>
        </w:rPr>
        <w:t>Order Denying 2015 Stay Petitions</w:t>
      </w:r>
      <w:r w:rsidRPr="00A42474">
        <w:t>, 31 FCC</w:t>
      </w:r>
      <w:r>
        <w:t xml:space="preserve"> Rcd</w:t>
      </w:r>
      <w:r w:rsidRPr="00A42474">
        <w:t xml:space="preserve"> </w:t>
      </w:r>
      <w:r>
        <w:t>at 266-</w:t>
      </w:r>
      <w:r w:rsidRPr="00A42474">
        <w:t xml:space="preserve"> 273</w:t>
      </w:r>
      <w:r>
        <w:t>, paras. 14-26.</w:t>
      </w:r>
      <w:r w:rsidRPr="00A42474">
        <w:t xml:space="preserve"> </w:t>
      </w:r>
    </w:p>
  </w:footnote>
  <w:footnote w:id="65">
    <w:p w:rsidR="002B58BD" w:rsidRPr="00A42474" w:rsidRDefault="002B58BD" w:rsidP="002B58BD">
      <w:pPr>
        <w:pStyle w:val="FootnoteText"/>
      </w:pPr>
      <w:r w:rsidRPr="00A42474">
        <w:rPr>
          <w:rStyle w:val="FootnoteReference"/>
        </w:rPr>
        <w:footnoteRef/>
      </w:r>
      <w:r w:rsidRPr="00A42474">
        <w:t xml:space="preserve"> GTL Stay Petition at 16. </w:t>
      </w:r>
    </w:p>
  </w:footnote>
  <w:footnote w:id="66">
    <w:p w:rsidR="002B58BD" w:rsidRPr="00A42474" w:rsidRDefault="002B58BD" w:rsidP="002B58BD">
      <w:pPr>
        <w:pStyle w:val="FootnoteText"/>
      </w:pPr>
      <w:r w:rsidRPr="00A42474">
        <w:rPr>
          <w:rStyle w:val="FootnoteReference"/>
        </w:rPr>
        <w:footnoteRef/>
      </w:r>
      <w:r w:rsidRPr="00A42474">
        <w:t xml:space="preserve"> The Commission has defined mandatory taxes and fees as fees that “a Provider is required to collect directly from consumers, and remit to federal, state, or local governments.</w:t>
      </w:r>
      <w:r>
        <w:t>”</w:t>
      </w:r>
      <w:r w:rsidRPr="00A42474">
        <w:t xml:space="preserve">  A Mandatory Tax or Fee that is passed through to a Consumer may not include a markup, unless the markup is specifically authorized by “a federal, state, or local statute, rule, or regulation.”  </w:t>
      </w:r>
      <w:r w:rsidRPr="00A42474">
        <w:rPr>
          <w:i/>
        </w:rPr>
        <w:t>Reconsideration Order</w:t>
      </w:r>
      <w:r w:rsidRPr="00A42474">
        <w:t xml:space="preserve">, </w:t>
      </w:r>
      <w:r w:rsidRPr="00A42474">
        <w:rPr>
          <w:rFonts w:eastAsia="Calibri"/>
        </w:rPr>
        <w:t>FCC 16-102, para. 31.</w:t>
      </w:r>
    </w:p>
  </w:footnote>
  <w:footnote w:id="67">
    <w:p w:rsidR="002B58BD" w:rsidRPr="003B084A" w:rsidRDefault="002B58BD" w:rsidP="002B58BD">
      <w:pPr>
        <w:pStyle w:val="FootnoteText"/>
      </w:pPr>
      <w:r>
        <w:rPr>
          <w:rStyle w:val="FootnoteReference"/>
        </w:rPr>
        <w:footnoteRef/>
      </w:r>
      <w:r>
        <w:t xml:space="preserve"> Taxes are levied by state legislatures and are not subject to negotiation.  Even in the one state where the legislature has mandated site commissions, those payments cannot be properly categorized as “taxes,” because ICS </w:t>
      </w:r>
      <w:r w:rsidRPr="008C59C3">
        <w:t>providers remain free to negotiate the amount of their site commission payments, as long as the payments are above 40 percent o</w:t>
      </w:r>
      <w:r w:rsidRPr="00964D66">
        <w:t>f gross ICS revenue</w:t>
      </w:r>
      <w:r w:rsidRPr="008C59C3">
        <w:t xml:space="preserve">.  </w:t>
      </w:r>
      <w:r>
        <w:rPr>
          <w:i/>
        </w:rPr>
        <w:t xml:space="preserve">See </w:t>
      </w:r>
      <w:r w:rsidRPr="00096264">
        <w:t>Tex. Gov’t Code Ann.</w:t>
      </w:r>
      <w:r>
        <w:rPr>
          <w:i/>
        </w:rPr>
        <w:t xml:space="preserve"> </w:t>
      </w:r>
      <w:r>
        <w:t xml:space="preserve">§ 495.027(a)(2).  GTL’s reliance on cable franchise fees as evidence that the Commission must allow providers to pass the costs of site commissions through to consumers is also misplaced.  The Commission is subject to a statutory mandate to account for cable franchise fees in setting cable rates.  </w:t>
      </w:r>
      <w:r>
        <w:rPr>
          <w:i/>
        </w:rPr>
        <w:t>See City of Pasadena, et al</w:t>
      </w:r>
      <w:r>
        <w:t xml:space="preserve">, 16 FCC Rcd 18192, 18198, para. 14 (explaining that the rules related to cable franchise fees “have their origin in Section 623(b)(2)(C)(v) of the Communications Act, which provides that in establishing rate rules the Commission shall take into account ‘the reasonably and properly allocable portion of any amount assessed as a franchise fee . . .’”).  No similar statutory provision exists regarding site commission payments.  Even if the Commission’s treatment of cable franchise fees had not been dictated by statute, a decision to take such fees into account in regulating cable rates would not have required the Commission to allow providers of a different service (ICS) to pass through a different cost (site commission payments) to end users as part of its regulation of a totally different industry.  At most, the cable franchise fee precedent – absent the statutory mandate cited above – would have established that the Commission has the </w:t>
      </w:r>
      <w:r>
        <w:rPr>
          <w:i/>
        </w:rPr>
        <w:t>discretion</w:t>
      </w:r>
      <w:r>
        <w:t xml:space="preserve"> to allow providers to pass site commission payments through to consumers, not that it had an </w:t>
      </w:r>
      <w:r>
        <w:rPr>
          <w:i/>
        </w:rPr>
        <w:t>obligation</w:t>
      </w:r>
      <w:r>
        <w:t xml:space="preserve"> to do so. </w:t>
      </w:r>
    </w:p>
  </w:footnote>
  <w:footnote w:id="68">
    <w:p w:rsidR="002B58BD" w:rsidRPr="00A42474" w:rsidRDefault="002B58BD" w:rsidP="002B58BD">
      <w:pPr>
        <w:pStyle w:val="FootnoteText"/>
      </w:pPr>
      <w:r w:rsidRPr="00A42474">
        <w:rPr>
          <w:rStyle w:val="FootnoteReference"/>
        </w:rPr>
        <w:footnoteRef/>
      </w:r>
      <w:r w:rsidRPr="00A42474">
        <w:t xml:space="preserve"> </w:t>
      </w:r>
      <w:r w:rsidRPr="00A42474">
        <w:rPr>
          <w:i/>
        </w:rPr>
        <w:t>See Order Denying 2015 Stay Petitions</w:t>
      </w:r>
      <w:r w:rsidRPr="00A42474">
        <w:t xml:space="preserve">, 31 FCC Rcd </w:t>
      </w:r>
      <w:r>
        <w:t>at</w:t>
      </w:r>
      <w:r w:rsidRPr="00A42474">
        <w:t xml:space="preserve"> 270</w:t>
      </w:r>
      <w:r>
        <w:t>, para. 19</w:t>
      </w:r>
      <w:r w:rsidRPr="00A42474">
        <w:t xml:space="preserve"> (citing Tex. Gov’t Code Ann. § 495.027(a)(2) (West 2009) (prohibiting the corrections board from awarding a contract to an ICS vendor unless the provider pays a commission based on gross revenues received from the use of the services provided)). Although ICS providers are contractually obligated to pay site commissions in certain other states, those states do not have statutory provisions requiring the payment of site commissions. </w:t>
      </w:r>
      <w:r w:rsidRPr="00A42474">
        <w:rPr>
          <w:i/>
        </w:rPr>
        <w:t>Id</w:t>
      </w:r>
      <w:r w:rsidRPr="00A42474">
        <w:t xml:space="preserve">. </w:t>
      </w:r>
    </w:p>
  </w:footnote>
  <w:footnote w:id="69">
    <w:p w:rsidR="002B58BD" w:rsidRPr="00A42474" w:rsidRDefault="002B58BD" w:rsidP="002B58BD">
      <w:pPr>
        <w:pStyle w:val="FootnoteText"/>
      </w:pPr>
      <w:r w:rsidRPr="00A42474">
        <w:rPr>
          <w:rStyle w:val="FootnoteReference"/>
        </w:rPr>
        <w:footnoteRef/>
      </w:r>
      <w:r w:rsidRPr="00A42474">
        <w:t xml:space="preserve"> The record indicates that a provider called Evercom “invented the kickback model of giving money to corrections officials in exchange for monopoly contracts.”  </w:t>
      </w:r>
      <w:r w:rsidRPr="00A42474">
        <w:rPr>
          <w:i/>
        </w:rPr>
        <w:t xml:space="preserve">See </w:t>
      </w:r>
      <w:r>
        <w:t>Letter from Paul Wright, Executive Director, Human Rights Defense Center (HRDC), to Marlene H. Dortch, Secretary, FCC, WC Docket No. 12-375, at 10 (filed Jul. 29, 2015)</w:t>
      </w:r>
      <w:r w:rsidRPr="00A42474">
        <w:t xml:space="preserve"> (explaining that until Evercom launched the practice of paying site commissions, ICS was “high quality and affordable.”).</w:t>
      </w:r>
    </w:p>
  </w:footnote>
  <w:footnote w:id="70">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e.g, </w:t>
      </w:r>
      <w:r>
        <w:t>HRDC</w:t>
      </w:r>
      <w:r w:rsidRPr="00A42474">
        <w:t xml:space="preserve"> </w:t>
      </w:r>
      <w:r>
        <w:t>Jan. 12, 2015</w:t>
      </w:r>
      <w:r w:rsidRPr="00A42474">
        <w:t xml:space="preserve"> Comments at 6 </w:t>
      </w:r>
      <w:r>
        <w:t xml:space="preserve">(HRDC Comments) </w:t>
      </w:r>
      <w:r w:rsidRPr="00A42474">
        <w:t>(describing site commissions as “legal bribes to induce correctional agencies to provide ICS providers with lucrative monopoly contracts.”).</w:t>
      </w:r>
    </w:p>
  </w:footnote>
  <w:footnote w:id="71">
    <w:p w:rsidR="002B58BD" w:rsidRPr="00A42474" w:rsidRDefault="002B58BD" w:rsidP="002B58BD">
      <w:pPr>
        <w:pStyle w:val="FootnoteText"/>
      </w:pPr>
      <w:r w:rsidRPr="00A42474">
        <w:rPr>
          <w:rStyle w:val="FootnoteReference"/>
        </w:rPr>
        <w:footnoteRef/>
      </w:r>
      <w:r w:rsidRPr="00A42474">
        <w:t xml:space="preserve"> Another distinction between site commission payments and taxes is that site commissions vary based on the negotiations between providers and facilities, while taxes and regulatory fees are established at particular levels that apply uniformly to anyone in a given class.  For example, all carriers are subject to the same contribution rate for Universal Service and no carrier can negotiate a lower (or higher) contribution level.</w:t>
      </w:r>
    </w:p>
  </w:footnote>
  <w:footnote w:id="72">
    <w:p w:rsidR="002B58BD" w:rsidRPr="00534161" w:rsidRDefault="002B58BD" w:rsidP="002B58BD">
      <w:pPr>
        <w:pStyle w:val="FootnoteText"/>
      </w:pPr>
      <w:r>
        <w:rPr>
          <w:rStyle w:val="FootnoteReference"/>
        </w:rPr>
        <w:footnoteRef/>
      </w:r>
      <w:r>
        <w:t xml:space="preserve"> 84 C.J.S. </w:t>
      </w:r>
      <w:r>
        <w:rPr>
          <w:i/>
        </w:rPr>
        <w:t xml:space="preserve">Taxation </w:t>
      </w:r>
      <w:r>
        <w:t xml:space="preserve">§ 2 (2010).  Rather, “[t]axation is a legislative function.” </w:t>
      </w:r>
      <w:r>
        <w:rPr>
          <w:i/>
        </w:rPr>
        <w:t>Nat’l Cable Television Ass’n v. U.S.</w:t>
      </w:r>
      <w:r>
        <w:t xml:space="preserve">, 415 U.S. 336, 340 (1974); </w:t>
      </w:r>
      <w:r>
        <w:rPr>
          <w:i/>
        </w:rPr>
        <w:t xml:space="preserve">accord </w:t>
      </w:r>
      <w:r>
        <w:t xml:space="preserve">84 C.J.S. </w:t>
      </w:r>
      <w:r w:rsidRPr="00096264">
        <w:rPr>
          <w:i/>
        </w:rPr>
        <w:t>Taxation</w:t>
      </w:r>
      <w:r>
        <w:t xml:space="preserve"> §§ 13, 14; 71 Am. Jur. 2d </w:t>
      </w:r>
      <w:r>
        <w:rPr>
          <w:i/>
        </w:rPr>
        <w:t xml:space="preserve">State and Location Taxation </w:t>
      </w:r>
      <w:r>
        <w:t xml:space="preserve">§§ 95, 97 (May 2016 Update). Although a “legislature may, within constitutional limitations, delegate the power of taxation for local purposes to political subdivisions of the state,” 84 C.J.S. </w:t>
      </w:r>
      <w:r>
        <w:rPr>
          <w:i/>
        </w:rPr>
        <w:t xml:space="preserve">Taxation </w:t>
      </w:r>
      <w:r>
        <w:t xml:space="preserve">§ 14, “[s]uch delegation is kept within defined lines, with supervisory control always vested in elective bodies.”  71 Am. Jur. 2d </w:t>
      </w:r>
      <w:r>
        <w:rPr>
          <w:i/>
        </w:rPr>
        <w:t xml:space="preserve">State and Local Taxation </w:t>
      </w:r>
      <w:r>
        <w:t xml:space="preserve">§ 97. </w:t>
      </w:r>
    </w:p>
  </w:footnote>
  <w:footnote w:id="73">
    <w:p w:rsidR="002B58BD" w:rsidRPr="00096264" w:rsidRDefault="002B58BD" w:rsidP="002B58BD">
      <w:pPr>
        <w:widowControl/>
        <w:autoSpaceDE w:val="0"/>
        <w:autoSpaceDN w:val="0"/>
        <w:adjustRightInd w:val="0"/>
        <w:spacing w:after="120"/>
        <w:rPr>
          <w:color w:val="231F20"/>
        </w:rPr>
      </w:pPr>
      <w:r w:rsidRPr="001F5546">
        <w:rPr>
          <w:rStyle w:val="FootnoteReference"/>
        </w:rPr>
        <w:footnoteRef/>
      </w:r>
      <w:r w:rsidRPr="00096264">
        <w:rPr>
          <w:sz w:val="20"/>
        </w:rPr>
        <w:t xml:space="preserve"> </w:t>
      </w:r>
      <w:r w:rsidRPr="00A94F3A">
        <w:rPr>
          <w:i/>
          <w:sz w:val="20"/>
        </w:rPr>
        <w:t>See, e.g.</w:t>
      </w:r>
      <w:r w:rsidRPr="00A94F3A">
        <w:rPr>
          <w:sz w:val="20"/>
        </w:rPr>
        <w:t xml:space="preserve">, </w:t>
      </w:r>
      <w:r w:rsidRPr="00A94F3A">
        <w:rPr>
          <w:snapToGrid/>
          <w:color w:val="231F20"/>
          <w:kern w:val="0"/>
          <w:sz w:val="20"/>
        </w:rPr>
        <w:t xml:space="preserve">HRDC </w:t>
      </w:r>
      <w:r>
        <w:rPr>
          <w:snapToGrid/>
          <w:color w:val="231F20"/>
          <w:kern w:val="0"/>
          <w:sz w:val="20"/>
        </w:rPr>
        <w:t xml:space="preserve">Jan. 12, 2015 </w:t>
      </w:r>
      <w:r w:rsidRPr="00A94F3A">
        <w:rPr>
          <w:snapToGrid/>
          <w:color w:val="231F20"/>
          <w:kern w:val="0"/>
          <w:sz w:val="20"/>
        </w:rPr>
        <w:t xml:space="preserve">Comments at 6; </w:t>
      </w:r>
      <w:r>
        <w:rPr>
          <w:snapToGrid/>
          <w:color w:val="231F20"/>
          <w:kern w:val="0"/>
          <w:sz w:val="20"/>
        </w:rPr>
        <w:t xml:space="preserve">Prison Policy Initiative </w:t>
      </w:r>
      <w:r w:rsidRPr="00A94F3A">
        <w:rPr>
          <w:i/>
          <w:iCs/>
          <w:snapToGrid/>
          <w:color w:val="231F20"/>
          <w:kern w:val="0"/>
          <w:sz w:val="20"/>
        </w:rPr>
        <w:t xml:space="preserve">2012 NPRM </w:t>
      </w:r>
      <w:r w:rsidRPr="00A94F3A">
        <w:rPr>
          <w:snapToGrid/>
          <w:color w:val="231F20"/>
          <w:kern w:val="0"/>
          <w:sz w:val="20"/>
        </w:rPr>
        <w:t>Comments</w:t>
      </w:r>
      <w:r>
        <w:rPr>
          <w:snapToGrid/>
          <w:color w:val="231F20"/>
          <w:kern w:val="0"/>
          <w:sz w:val="20"/>
        </w:rPr>
        <w:t>,</w:t>
      </w:r>
      <w:r w:rsidRPr="00A94F3A">
        <w:rPr>
          <w:snapToGrid/>
          <w:color w:val="231F20"/>
          <w:kern w:val="0"/>
          <w:sz w:val="20"/>
        </w:rPr>
        <w:t xml:space="preserve"> Attach. at 2 (describing site</w:t>
      </w:r>
      <w:r>
        <w:rPr>
          <w:snapToGrid/>
          <w:color w:val="231F20"/>
          <w:kern w:val="0"/>
          <w:sz w:val="20"/>
        </w:rPr>
        <w:t xml:space="preserve"> </w:t>
      </w:r>
      <w:r w:rsidRPr="00A94F3A">
        <w:rPr>
          <w:snapToGrid/>
          <w:color w:val="231F20"/>
          <w:kern w:val="0"/>
          <w:sz w:val="20"/>
        </w:rPr>
        <w:t xml:space="preserve">commissions as “kickbacks”); Wright Petitioners </w:t>
      </w:r>
      <w:r>
        <w:rPr>
          <w:snapToGrid/>
          <w:color w:val="231F20"/>
          <w:kern w:val="0"/>
          <w:sz w:val="20"/>
        </w:rPr>
        <w:t xml:space="preserve">Jan. 12, 2015 Comments </w:t>
      </w:r>
      <w:r w:rsidRPr="00A94F3A">
        <w:rPr>
          <w:snapToGrid/>
          <w:color w:val="231F20"/>
          <w:kern w:val="0"/>
          <w:sz w:val="20"/>
        </w:rPr>
        <w:t>at 7 (filed Jan. 12, 2015) (discussing the “ICS</w:t>
      </w:r>
      <w:r>
        <w:rPr>
          <w:snapToGrid/>
          <w:color w:val="231F20"/>
          <w:kern w:val="0"/>
          <w:sz w:val="20"/>
        </w:rPr>
        <w:t xml:space="preserve"> </w:t>
      </w:r>
      <w:r w:rsidRPr="00A94F3A">
        <w:rPr>
          <w:snapToGrid/>
          <w:color w:val="231F20"/>
          <w:kern w:val="0"/>
          <w:sz w:val="20"/>
        </w:rPr>
        <w:t xml:space="preserve">kickback regime”); </w:t>
      </w:r>
      <w:r>
        <w:rPr>
          <w:snapToGrid/>
          <w:color w:val="231F20"/>
          <w:kern w:val="0"/>
          <w:sz w:val="20"/>
        </w:rPr>
        <w:t>Letter from</w:t>
      </w:r>
      <w:r w:rsidRPr="00A94F3A">
        <w:rPr>
          <w:snapToGrid/>
          <w:color w:val="231F20"/>
          <w:kern w:val="0"/>
          <w:sz w:val="20"/>
        </w:rPr>
        <w:t xml:space="preserve"> </w:t>
      </w:r>
      <w:r>
        <w:rPr>
          <w:snapToGrid/>
          <w:color w:val="231F20"/>
          <w:kern w:val="0"/>
          <w:sz w:val="20"/>
        </w:rPr>
        <w:t xml:space="preserve">Bernadette Rabuy, Prison Policy Initiative Policy and Communications Associate, to Marlene H. Dortch, Secretary, FCC, WC Docket No. 12-375 (filed  </w:t>
      </w:r>
      <w:r w:rsidRPr="00A94F3A">
        <w:rPr>
          <w:snapToGrid/>
          <w:color w:val="231F20"/>
          <w:kern w:val="0"/>
          <w:sz w:val="20"/>
        </w:rPr>
        <w:t xml:space="preserve">June </w:t>
      </w:r>
      <w:r>
        <w:rPr>
          <w:snapToGrid/>
          <w:color w:val="231F20"/>
          <w:kern w:val="0"/>
          <w:sz w:val="20"/>
        </w:rPr>
        <w:t>12</w:t>
      </w:r>
      <w:r w:rsidRPr="00A94F3A">
        <w:rPr>
          <w:snapToGrid/>
          <w:color w:val="231F20"/>
          <w:kern w:val="0"/>
          <w:sz w:val="20"/>
        </w:rPr>
        <w:t>, 2015</w:t>
      </w:r>
      <w:r>
        <w:rPr>
          <w:snapToGrid/>
          <w:color w:val="231F20"/>
          <w:kern w:val="0"/>
          <w:sz w:val="20"/>
        </w:rPr>
        <w:t>)</w:t>
      </w:r>
      <w:r w:rsidRPr="00A94F3A">
        <w:rPr>
          <w:snapToGrid/>
          <w:color w:val="231F20"/>
          <w:kern w:val="0"/>
          <w:sz w:val="20"/>
        </w:rPr>
        <w:t xml:space="preserve"> (attaching Bucyrus Telegraph Forum discussing “</w:t>
      </w:r>
      <w:r>
        <w:rPr>
          <w:snapToGrid/>
          <w:color w:val="231F20"/>
          <w:kern w:val="0"/>
          <w:sz w:val="20"/>
        </w:rPr>
        <w:t>prison phone commissions kickbacks.”).</w:t>
      </w:r>
    </w:p>
  </w:footnote>
  <w:footnote w:id="74">
    <w:p w:rsidR="002B58BD" w:rsidRPr="00A42474" w:rsidRDefault="002B58BD" w:rsidP="002B58BD">
      <w:pPr>
        <w:pStyle w:val="FootnoteText"/>
      </w:pPr>
      <w:r w:rsidRPr="00A42474">
        <w:rPr>
          <w:rStyle w:val="FootnoteReference"/>
        </w:rPr>
        <w:footnoteRef/>
      </w:r>
      <w:r w:rsidRPr="00A42474">
        <w:t xml:space="preserve"> </w:t>
      </w:r>
      <w:r w:rsidRPr="00A42474">
        <w:rPr>
          <w:i/>
        </w:rPr>
        <w:t>See, e.g.</w:t>
      </w:r>
      <w:r w:rsidRPr="00A42474">
        <w:t xml:space="preserve">, </w:t>
      </w:r>
      <w:r>
        <w:t>Letter from Andrew D. Lipman, Attorney, Morgan Lewis &amp; Bockius, to Marlene H. Dortch, Secretary, FCC, WC Docket No. 12-375, at 5 (filed</w:t>
      </w:r>
      <w:r w:rsidRPr="00A42474">
        <w:t xml:space="preserve"> July 6, 2015</w:t>
      </w:r>
      <w:r>
        <w:t>)</w:t>
      </w:r>
      <w:r w:rsidRPr="00A42474">
        <w:t xml:space="preserve"> (explaining that “site commission [are] not related in any way to cost, nor [are] they restrained by any market forces.  ICS providers [have] an incentive to offer increased site commissions . . . and consumer [have] no influence” on the site commission payments, even though the costs are being passed through to consumers in the form of higher rates).  </w:t>
      </w:r>
    </w:p>
  </w:footnote>
  <w:footnote w:id="75">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Securus Stay Petition at 10. </w:t>
      </w:r>
    </w:p>
  </w:footnote>
  <w:footnote w:id="76">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Pr>
          <w:i/>
        </w:rPr>
        <w:t>id.</w:t>
      </w:r>
      <w:r w:rsidRPr="00A42474">
        <w:t xml:space="preserve"> at 7-10.</w:t>
      </w:r>
    </w:p>
  </w:footnote>
  <w:footnote w:id="77">
    <w:p w:rsidR="002B58BD" w:rsidRPr="00A42474" w:rsidRDefault="002B58BD" w:rsidP="002B58BD">
      <w:pPr>
        <w:pStyle w:val="FootnoteText"/>
      </w:pPr>
      <w:r w:rsidRPr="00A42474">
        <w:rPr>
          <w:rStyle w:val="FootnoteReference"/>
        </w:rPr>
        <w:footnoteRef/>
      </w:r>
      <w:r w:rsidRPr="00A42474">
        <w:t xml:space="preserve"> </w:t>
      </w:r>
      <w:r w:rsidRPr="00A42474">
        <w:rPr>
          <w:i/>
        </w:rPr>
        <w:t>See 2015 ICS Order</w:t>
      </w:r>
      <w:r w:rsidRPr="00A42474">
        <w:t xml:space="preserve">, 30 FCC Rcd at 12821-1830; </w:t>
      </w:r>
      <w:r w:rsidRPr="00A42474">
        <w:rPr>
          <w:i/>
        </w:rPr>
        <w:t>Order Denying 2015 Stay Petitions</w:t>
      </w:r>
      <w:r w:rsidRPr="00A42474">
        <w:t xml:space="preserve">, 31 FCC Rcd </w:t>
      </w:r>
      <w:r>
        <w:t>at</w:t>
      </w:r>
      <w:r w:rsidRPr="00A42474">
        <w:t xml:space="preserve"> 268-273, paras. 16-26.</w:t>
      </w:r>
    </w:p>
  </w:footnote>
  <w:footnote w:id="78">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supra </w:t>
      </w:r>
      <w:r>
        <w:t>para. 15</w:t>
      </w:r>
      <w:r w:rsidRPr="00A42474">
        <w:t xml:space="preserve">. </w:t>
      </w:r>
    </w:p>
  </w:footnote>
  <w:footnote w:id="79">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NCIC Opposition at 3; </w:t>
      </w:r>
      <w:r w:rsidRPr="00A42474">
        <w:rPr>
          <w:i/>
        </w:rPr>
        <w:t xml:space="preserve">see also </w:t>
      </w:r>
      <w:r w:rsidRPr="00A42474">
        <w:t>Wright</w:t>
      </w:r>
      <w:r w:rsidRPr="00A42474">
        <w:rPr>
          <w:i/>
        </w:rPr>
        <w:t xml:space="preserve"> </w:t>
      </w:r>
      <w:r w:rsidRPr="00A42474">
        <w:rPr>
          <w:rFonts w:eastAsia="Calibri"/>
          <w:color w:val="000000"/>
        </w:rPr>
        <w:t>Opposition to Telmate Petition</w:t>
      </w:r>
      <w:r w:rsidRPr="00A42474">
        <w:t xml:space="preserve"> at 5 (arguing that providers will be fairly compensated under the Commission’s rate caps and permissible ancillary fees). </w:t>
      </w:r>
    </w:p>
  </w:footnote>
  <w:footnote w:id="80">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Securus Stay Petition at 8-9. </w:t>
      </w:r>
    </w:p>
  </w:footnote>
  <w:footnote w:id="81">
    <w:p w:rsidR="002B58BD" w:rsidRPr="00A42474" w:rsidRDefault="002B58BD" w:rsidP="002B58BD">
      <w:pPr>
        <w:pStyle w:val="FootnoteText"/>
      </w:pPr>
      <w:r w:rsidRPr="00A42474">
        <w:rPr>
          <w:rStyle w:val="FootnoteReference"/>
        </w:rPr>
        <w:footnoteRef/>
      </w:r>
      <w:r w:rsidRPr="00A42474">
        <w:t xml:space="preserve"> </w:t>
      </w:r>
      <w:r w:rsidRPr="00A42474">
        <w:rPr>
          <w:i/>
        </w:rPr>
        <w:t>See Rates for Interstate Inmate</w:t>
      </w:r>
      <w:r w:rsidRPr="00A42474">
        <w:t xml:space="preserve"> </w:t>
      </w:r>
      <w:r w:rsidRPr="00A42474">
        <w:rPr>
          <w:i/>
        </w:rPr>
        <w:t xml:space="preserve">Calling Services, </w:t>
      </w:r>
      <w:r w:rsidRPr="00A42474">
        <w:t xml:space="preserve">WC Docket No. 12-375, Notice of Proposed Rulemaking, 27 FCC Rcd 16629 (2012); </w:t>
      </w:r>
      <w:r w:rsidRPr="00A42474">
        <w:rPr>
          <w:i/>
        </w:rPr>
        <w:t>2015 ICS Order</w:t>
      </w:r>
      <w:r w:rsidRPr="00A42474">
        <w:t>, 30 FCC Rcd at 12837, para. 143 (explaining that “providers have been on notice for years that the Commission might adopt rate caps, or even eliminate site commissions.  Thus, any claims that our actions today upset ‘investment-back expectations of ICS providers’ are likely to fail, particularly claims from providers that recently entered into new contracts with high site commissions. . .”).</w:t>
      </w:r>
    </w:p>
  </w:footnote>
  <w:footnote w:id="82">
    <w:p w:rsidR="002B58BD" w:rsidRPr="00A42474" w:rsidRDefault="002B58BD" w:rsidP="002B58BD">
      <w:pPr>
        <w:pStyle w:val="FootnoteText"/>
      </w:pPr>
      <w:r w:rsidRPr="00A42474">
        <w:rPr>
          <w:rStyle w:val="FootnoteReference"/>
        </w:rPr>
        <w:footnoteRef/>
      </w:r>
      <w:r w:rsidRPr="00A42474">
        <w:t xml:space="preserve"> Securus Stay Petition at 9.  ICSolutions contends that Securus is disingenuous when it claims that </w:t>
      </w:r>
      <w:r>
        <w:t xml:space="preserve">it </w:t>
      </w:r>
      <w:r w:rsidRPr="00A42474">
        <w:t>cannot renegotiate its contracts</w:t>
      </w:r>
      <w:r>
        <w:t xml:space="preserve">.  </w:t>
      </w:r>
      <w:r>
        <w:rPr>
          <w:i/>
        </w:rPr>
        <w:t xml:space="preserve">See </w:t>
      </w:r>
      <w:r>
        <w:t>ICSolutio</w:t>
      </w:r>
      <w:r w:rsidRPr="009248FD">
        <w:t>ns</w:t>
      </w:r>
      <w:r>
        <w:rPr>
          <w:i/>
        </w:rPr>
        <w:t xml:space="preserve"> </w:t>
      </w:r>
      <w:r>
        <w:t xml:space="preserve">Opposition at 6 </w:t>
      </w:r>
      <w:r w:rsidRPr="00A42474">
        <w:t>(</w:t>
      </w:r>
      <w:r>
        <w:t xml:space="preserve">explaining </w:t>
      </w:r>
      <w:r w:rsidRPr="00A42474">
        <w:t xml:space="preserve">that “[n]ine days before the implementation date, Securus renegotiated all of their contracts to exclude site commissions as a result of the </w:t>
      </w:r>
      <w:r w:rsidRPr="00A42474">
        <w:rPr>
          <w:i/>
        </w:rPr>
        <w:t>2013 Order</w:t>
      </w:r>
      <w:r w:rsidRPr="00A42474">
        <w:t xml:space="preserve">.”). </w:t>
      </w:r>
    </w:p>
  </w:footnote>
  <w:footnote w:id="83">
    <w:p w:rsidR="002B58BD" w:rsidRPr="00A42474" w:rsidRDefault="002B58BD" w:rsidP="002B58BD">
      <w:pPr>
        <w:pStyle w:val="FootnoteText"/>
      </w:pPr>
      <w:r w:rsidRPr="00A42474">
        <w:rPr>
          <w:rStyle w:val="FootnoteReference"/>
        </w:rPr>
        <w:footnoteRef/>
      </w:r>
      <w:r w:rsidRPr="00A42474">
        <w:t xml:space="preserve"> Securus Stay Petition at 9-10.</w:t>
      </w:r>
    </w:p>
  </w:footnote>
  <w:footnote w:id="84">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ICSolutions Opposition at 7. </w:t>
      </w:r>
    </w:p>
  </w:footnote>
  <w:footnote w:id="85">
    <w:p w:rsidR="002B58BD" w:rsidRPr="00A42474" w:rsidRDefault="002B58BD" w:rsidP="002B58BD">
      <w:pPr>
        <w:pStyle w:val="FootnoteText"/>
      </w:pPr>
      <w:r w:rsidRPr="00A42474">
        <w:rPr>
          <w:rStyle w:val="FootnoteReference"/>
        </w:rPr>
        <w:footnoteRef/>
      </w:r>
      <w:r w:rsidRPr="00A42474">
        <w:t xml:space="preserve"> Wright Oppos</w:t>
      </w:r>
      <w:r>
        <w:t xml:space="preserve">ition to Securus Petition at 6 </w:t>
      </w:r>
      <w:r w:rsidRPr="00A42474">
        <w:t>(describing Securus’ bid and noting that if Securus was “truly concerned about the impact of MAGs on its bottom line, it could have simply walked away from its offer during the Georgia proceedings”).</w:t>
      </w:r>
    </w:p>
  </w:footnote>
  <w:footnote w:id="86">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rPr>
          <w:rFonts w:eastAsia="Calibri"/>
          <w:color w:val="000000"/>
        </w:rPr>
        <w:t>State Petitioners Stay Petition</w:t>
      </w:r>
      <w:r w:rsidRPr="00A42474">
        <w:t xml:space="preserve"> at 4-5; GTL Stay Petition at 21 (arguing that the rates adopted in the </w:t>
      </w:r>
      <w:r w:rsidRPr="00A42474">
        <w:rPr>
          <w:i/>
        </w:rPr>
        <w:t xml:space="preserve">Reconsideration Order </w:t>
      </w:r>
      <w:r w:rsidRPr="00A42474">
        <w:t xml:space="preserve">will be invalidated, as “the D.C. Circuit’s stay orders suggest is likely.”); Securus Stay Petition at 4 (arguing that Petitioners’ previous challenges were “well received by the D.C. Circuit . . . and the Order on Reconsideration has very low chances of survival); Telmate Stay Petition at 9. </w:t>
      </w:r>
    </w:p>
  </w:footnote>
  <w:footnote w:id="87">
    <w:p w:rsidR="002B58BD" w:rsidRPr="00A42474" w:rsidRDefault="002B58BD" w:rsidP="002B58BD">
      <w:pPr>
        <w:pStyle w:val="FootnoteText"/>
      </w:pPr>
      <w:r w:rsidRPr="00A42474">
        <w:rPr>
          <w:rStyle w:val="FootnoteReference"/>
        </w:rPr>
        <w:footnoteRef/>
      </w:r>
      <w:r w:rsidRPr="00A42474">
        <w:t xml:space="preserve"> State Petitioners Stay Petition at 4</w:t>
      </w:r>
      <w:r>
        <w:t>-5</w:t>
      </w:r>
      <w:r w:rsidRPr="00A42474">
        <w:t xml:space="preserve">. </w:t>
      </w:r>
    </w:p>
  </w:footnote>
  <w:footnote w:id="88">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supra </w:t>
      </w:r>
      <w:r w:rsidRPr="00A42474">
        <w:t xml:space="preserve">para. 3.  </w:t>
      </w:r>
    </w:p>
  </w:footnote>
  <w:footnote w:id="89">
    <w:p w:rsidR="002B58BD" w:rsidRPr="00A42474" w:rsidRDefault="002B58BD" w:rsidP="002B58BD">
      <w:pPr>
        <w:pStyle w:val="FootnoteText"/>
      </w:pPr>
      <w:r w:rsidRPr="00A42474">
        <w:rPr>
          <w:rStyle w:val="FootnoteReference"/>
        </w:rPr>
        <w:footnoteRef/>
      </w:r>
      <w:r>
        <w:t xml:space="preserve"> ICSolutions Opposition at 3</w:t>
      </w:r>
      <w:r w:rsidRPr="00A42474">
        <w:t xml:space="preserve">; </w:t>
      </w:r>
      <w:r w:rsidRPr="00A42474">
        <w:rPr>
          <w:i/>
        </w:rPr>
        <w:t xml:space="preserve">see also </w:t>
      </w:r>
      <w:r w:rsidRPr="00A42474">
        <w:t xml:space="preserve">Wright Opposition to States’ Petition at 3. </w:t>
      </w:r>
    </w:p>
  </w:footnote>
  <w:footnote w:id="90">
    <w:p w:rsidR="002B58BD" w:rsidRPr="00A42474" w:rsidRDefault="002B58BD" w:rsidP="002B58BD">
      <w:pPr>
        <w:pStyle w:val="FootnoteText"/>
      </w:pPr>
      <w:r w:rsidRPr="00A42474">
        <w:rPr>
          <w:rStyle w:val="FootnoteReference"/>
        </w:rPr>
        <w:footnoteRef/>
      </w:r>
      <w:r w:rsidRPr="00A42474">
        <w:t xml:space="preserve"> </w:t>
      </w:r>
      <w:r w:rsidRPr="00A42474">
        <w:rPr>
          <w:i/>
        </w:rPr>
        <w:t>See, e.g.</w:t>
      </w:r>
      <w:r w:rsidRPr="00A42474">
        <w:t xml:space="preserve">, Wright Opposition to Telmate Petition at 3 (arguing that the fact that the court allowed the caps on ancillary fees to go into effect for both inter- and intra-state calling suggests that the court did not believe the appellants were likely to succeed on the merits of their claims that section 276 does not give the Commission sufficient authority to regulate rates for intrastate ICS.); ICSolutions Opposition at 3 (arguing that “Securus grasps at straws when it suggests that the Court’s stay of the rates in the </w:t>
      </w:r>
      <w:r w:rsidRPr="00A42474">
        <w:rPr>
          <w:i/>
        </w:rPr>
        <w:t xml:space="preserve">2015 </w:t>
      </w:r>
      <w:r w:rsidRPr="00A42474">
        <w:t>[</w:t>
      </w:r>
      <w:r w:rsidRPr="00A42474">
        <w:rPr>
          <w:i/>
        </w:rPr>
        <w:t>ICS</w:t>
      </w:r>
      <w:r w:rsidRPr="00A42474">
        <w:t xml:space="preserve">] </w:t>
      </w:r>
      <w:r w:rsidRPr="00A42474">
        <w:rPr>
          <w:i/>
        </w:rPr>
        <w:t>Order</w:t>
      </w:r>
      <w:r w:rsidRPr="00A42474">
        <w:t xml:space="preserve">” indicates that Securus is likely to prevail in appealing the </w:t>
      </w:r>
      <w:r w:rsidRPr="00A42474">
        <w:rPr>
          <w:i/>
        </w:rPr>
        <w:t>Reconsideration Order</w:t>
      </w:r>
      <w:r w:rsidRPr="00A42474">
        <w:t>.)</w:t>
      </w:r>
    </w:p>
  </w:footnote>
  <w:footnote w:id="91">
    <w:p w:rsidR="002B58BD" w:rsidRPr="00A42474" w:rsidRDefault="002B58BD" w:rsidP="002B58BD">
      <w:pPr>
        <w:pStyle w:val="FootnoteText"/>
      </w:pPr>
      <w:r w:rsidRPr="00A42474">
        <w:rPr>
          <w:rStyle w:val="FootnoteReference"/>
        </w:rPr>
        <w:footnoteRef/>
      </w:r>
      <w:r w:rsidRPr="00A42474">
        <w:t xml:space="preserve"> Wright Opposition to GTL Petition at 2 (noting that the standard applied by the Court requires a balancing test of four factors and parties cannot know why the Court acted as it did “without being provided further information from the Court of Appeals.”). </w:t>
      </w:r>
    </w:p>
  </w:footnote>
  <w:footnote w:id="92">
    <w:p w:rsidR="002B58BD" w:rsidRPr="00CC4F4A" w:rsidRDefault="002B58BD" w:rsidP="002B58BD">
      <w:pPr>
        <w:pStyle w:val="FootnoteText"/>
      </w:pPr>
      <w:r>
        <w:rPr>
          <w:rStyle w:val="FootnoteReference"/>
        </w:rPr>
        <w:footnoteRef/>
      </w:r>
      <w:r>
        <w:t xml:space="preserve"> </w:t>
      </w:r>
      <w:r>
        <w:rPr>
          <w:i/>
        </w:rPr>
        <w:t>See, e.g.</w:t>
      </w:r>
      <w:r>
        <w:t xml:space="preserve">, GTL 2015 Stay Petition at 9-13; Telmate 2015 Stay Petition at 9-10. </w:t>
      </w:r>
    </w:p>
  </w:footnote>
  <w:footnote w:id="93">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Order on Reconsideration </w:t>
      </w:r>
      <w:r w:rsidRPr="00A42474">
        <w:t>at para. 13</w:t>
      </w:r>
      <w:r>
        <w:t xml:space="preserve"> (increasing the rate caps substantially and expressly accounting for reasonable facility costs), </w:t>
      </w:r>
    </w:p>
  </w:footnote>
  <w:footnote w:id="94">
    <w:p w:rsidR="002B58BD" w:rsidRPr="00A42474" w:rsidRDefault="002B58BD" w:rsidP="002B58BD">
      <w:pPr>
        <w:pStyle w:val="FootnoteText"/>
        <w:rPr>
          <w:i/>
        </w:rPr>
      </w:pPr>
      <w:r w:rsidRPr="00A42474">
        <w:rPr>
          <w:rStyle w:val="FootnoteReference"/>
        </w:rPr>
        <w:footnoteRef/>
      </w:r>
      <w:r w:rsidRPr="00A42474">
        <w:t xml:space="preserve"> </w:t>
      </w:r>
      <w:r w:rsidRPr="00A42474">
        <w:rPr>
          <w:i/>
        </w:rPr>
        <w:t xml:space="preserve">See Order Denying 2015 Stay Petitions, </w:t>
      </w:r>
      <w:r w:rsidRPr="00A42474">
        <w:t xml:space="preserve">31 FCC Rcd </w:t>
      </w:r>
      <w:r>
        <w:t>at</w:t>
      </w:r>
      <w:r w:rsidRPr="00A42474">
        <w:t xml:space="preserve"> 290-295, paras. 60-69. </w:t>
      </w:r>
    </w:p>
  </w:footnote>
  <w:footnote w:id="95">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Securus Stay Petition at 11; Telmate Stay Petition at 6; GTL Stay Petition at 21; State Petitioners Stay Petition at 7.</w:t>
      </w:r>
    </w:p>
  </w:footnote>
  <w:footnote w:id="96">
    <w:p w:rsidR="002B58BD" w:rsidRPr="00A42474" w:rsidRDefault="002B58BD" w:rsidP="002B58BD">
      <w:pPr>
        <w:pStyle w:val="FootnoteText"/>
      </w:pPr>
      <w:r w:rsidRPr="00A42474">
        <w:rPr>
          <w:rStyle w:val="FootnoteReference"/>
        </w:rPr>
        <w:footnoteRef/>
      </w:r>
      <w:r w:rsidRPr="00A42474">
        <w:t xml:space="preserve"> </w:t>
      </w:r>
      <w:r w:rsidRPr="00A42474">
        <w:rPr>
          <w:i/>
        </w:rPr>
        <w:t>See, e.g.,</w:t>
      </w:r>
      <w:r w:rsidRPr="00A42474">
        <w:t xml:space="preserve"> </w:t>
      </w:r>
      <w:r w:rsidRPr="00A42474">
        <w:rPr>
          <w:i/>
        </w:rPr>
        <w:t>Wisc. Gas</w:t>
      </w:r>
      <w:r w:rsidRPr="00A42474">
        <w:t xml:space="preserve">, 758 F.2d at 674 (to demonstrate irreparable harm “the injury must be both certain and great”). </w:t>
      </w:r>
    </w:p>
  </w:footnote>
  <w:footnote w:id="97">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Securus Stay Petition at 11; Telmate Stay Petition at 6.</w:t>
      </w:r>
    </w:p>
  </w:footnote>
  <w:footnote w:id="98">
    <w:p w:rsidR="002B58BD" w:rsidRPr="003074AB" w:rsidRDefault="002B58BD" w:rsidP="002B58BD">
      <w:pPr>
        <w:pStyle w:val="FootnoteText"/>
      </w:pPr>
      <w:r w:rsidRPr="00A42474">
        <w:rPr>
          <w:rStyle w:val="FootnoteReference"/>
        </w:rPr>
        <w:footnoteRef/>
      </w:r>
      <w:r w:rsidRPr="00A42474">
        <w:t xml:space="preserve"> </w:t>
      </w:r>
      <w:r w:rsidRPr="00A42474">
        <w:rPr>
          <w:i/>
        </w:rPr>
        <w:t xml:space="preserve">See </w:t>
      </w:r>
      <w:r w:rsidRPr="00A42474">
        <w:t>Wright Opposition to Telmate Petition at 4.</w:t>
      </w:r>
      <w:r>
        <w:t xml:space="preserve"> </w:t>
      </w:r>
      <w:r w:rsidRPr="00A42474">
        <w:t xml:space="preserve"> </w:t>
      </w:r>
      <w:r>
        <w:t xml:space="preserve">For example, Telmate argues that it will lose revenue absent a stay, but does not argue that the loss in revenue will cause Telmate to operate at a loss.  </w:t>
      </w:r>
      <w:r>
        <w:rPr>
          <w:i/>
        </w:rPr>
        <w:t xml:space="preserve">See </w:t>
      </w:r>
      <w:r>
        <w:t xml:space="preserve">Telmate Stay Petition at 7.  The magnitude of Telmate’s harm is thus neither “certain” nor “great” enough to justify a stay.  </w:t>
      </w:r>
      <w:r>
        <w:rPr>
          <w:i/>
        </w:rPr>
        <w:t xml:space="preserve">See supra </w:t>
      </w:r>
      <w:r>
        <w:t xml:space="preserve">n.[95 (citing </w:t>
      </w:r>
      <w:r w:rsidRPr="00A42474">
        <w:rPr>
          <w:i/>
        </w:rPr>
        <w:t>Wisc. Gas</w:t>
      </w:r>
      <w:r w:rsidRPr="00A42474">
        <w:t>, 758 F.2d at 674</w:t>
      </w:r>
      <w:r>
        <w:t xml:space="preserve">).  We also note that Securus did not seek to stay the 2015 rate caps, which were lower than the ones adopted in the </w:t>
      </w:r>
      <w:r>
        <w:rPr>
          <w:i/>
        </w:rPr>
        <w:t>Reconsideration Order</w:t>
      </w:r>
      <w:r>
        <w:t xml:space="preserve">.  </w:t>
      </w:r>
      <w:r>
        <w:rPr>
          <w:i/>
        </w:rPr>
        <w:t xml:space="preserve">See generally </w:t>
      </w:r>
      <w:r>
        <w:t xml:space="preserve">Securus Technologies, Inc. Petition for Partial Stay of Second Report and Order Pending Appeal (FCC 15-136), WC Docket No. 12-375 (filed Dec. 22, 2015), </w:t>
      </w:r>
      <w:hyperlink r:id="rId13" w:history="1">
        <w:r w:rsidRPr="00C361D8">
          <w:rPr>
            <w:rStyle w:val="Hyperlink"/>
          </w:rPr>
          <w:t>http://apps.fcc.gov/ecfs/comment/view?id=60001361748</w:t>
        </w:r>
      </w:hyperlink>
      <w:r>
        <w:t xml:space="preserve">.  </w:t>
      </w:r>
    </w:p>
  </w:footnote>
  <w:footnote w:id="99">
    <w:p w:rsidR="002B58BD" w:rsidRPr="00A42474" w:rsidRDefault="002B58BD" w:rsidP="002B58BD">
      <w:pPr>
        <w:pStyle w:val="FootnoteText"/>
      </w:pPr>
      <w:r w:rsidRPr="00A42474">
        <w:rPr>
          <w:rStyle w:val="FootnoteReference"/>
        </w:rPr>
        <w:footnoteRef/>
      </w:r>
      <w:r w:rsidRPr="00A42474">
        <w:t xml:space="preserve"> </w:t>
      </w:r>
      <w:r>
        <w:rPr>
          <w:i/>
        </w:rPr>
        <w:t xml:space="preserve">See </w:t>
      </w:r>
      <w:r w:rsidRPr="00A42474">
        <w:t>GTL Stay Petition at 21; State Petitioners Stay Petition at 7.</w:t>
      </w:r>
    </w:p>
  </w:footnote>
  <w:footnote w:id="100">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Wright Opposition to GTL Petition at 7 (“GTL’s Petition also failed to include any analysis to support its claim that it will suffer irreparable injury as the result of the new ICS rate caps. Unlike Securus and Telmate, GTL apparently could not be bothered to even submit a self-serving affidavit from one of its executives to make the argument that GTL has lost $X million in renegotiating its monopoly contracts.”). </w:t>
      </w:r>
    </w:p>
  </w:footnote>
  <w:footnote w:id="101">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ICSolutions Oppositions at 8. </w:t>
      </w:r>
    </w:p>
  </w:footnote>
  <w:footnote w:id="102">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Wright Opposition to Securus Petition at 5.</w:t>
      </w:r>
      <w:r>
        <w:t xml:space="preserve"> </w:t>
      </w:r>
    </w:p>
  </w:footnote>
  <w:footnote w:id="103">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47 U.S.C. §§ 201, 276.</w:t>
      </w:r>
    </w:p>
  </w:footnote>
  <w:footnote w:id="104">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ICSolutions Opposition at 8.</w:t>
      </w:r>
    </w:p>
  </w:footnote>
  <w:footnote w:id="105">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Wisconsin Gas Co. v. FERC, </w:t>
      </w:r>
      <w:r w:rsidRPr="00A42474">
        <w:t>758 F.2d 669, 674 (D.C. Cir. 1985) (explaining that it is “well settled that economic loss does not, in and of itself, constitute irreparable harm”</w:t>
      </w:r>
      <w:r>
        <w:t xml:space="preserve">; </w:t>
      </w:r>
      <w:r w:rsidRPr="00A42474">
        <w:t>to demonstrate irreparable harm “the injury m</w:t>
      </w:r>
      <w:r>
        <w:t>ust be both certain and great”)</w:t>
      </w:r>
      <w:r w:rsidRPr="00A42474">
        <w:t xml:space="preserve">; </w:t>
      </w:r>
      <w:r w:rsidRPr="00A42474">
        <w:rPr>
          <w:i/>
        </w:rPr>
        <w:t>Holiday Tours</w:t>
      </w:r>
      <w:r w:rsidRPr="00A42474">
        <w:t xml:space="preserve">, 559 F.2d at 843 n.2 (holding that “‘mere’ economic injuries” are not sufficient for a stay). </w:t>
      </w:r>
      <w:r w:rsidRPr="00A42474">
        <w:rPr>
          <w:i/>
        </w:rPr>
        <w:t>See also</w:t>
      </w:r>
      <w:r w:rsidRPr="00A42474">
        <w:t xml:space="preserve"> Wright Opposition to Telmate Petition at 7; ICSolutions Opposition at 8.  Moreover, it is unclear whether any of the Petitioners’ “analyses” took into account the increased demand that is likely to result from lower rates.  </w:t>
      </w:r>
      <w:r w:rsidRPr="00A42474">
        <w:rPr>
          <w:i/>
        </w:rPr>
        <w:t xml:space="preserve">See, e.g., </w:t>
      </w:r>
      <w:r w:rsidRPr="00A42474">
        <w:t xml:space="preserve">Telmate </w:t>
      </w:r>
      <w:r>
        <w:t>Mar. 25, 2013 Comments at 12</w:t>
      </w:r>
      <w:r w:rsidRPr="00A42474">
        <w:t xml:space="preserve"> (“Telmate’s experience proves the . . . economic truism that lower prices stimulate demand . . . [w]hen there are lower rates . . .  volume goes up and everyone wins.”); Wright Opposition to Telmate Petition at 5 (discussing “undisputed evidence that call volume increases when rates are lowered.”). </w:t>
      </w:r>
      <w:r w:rsidRPr="00A42474">
        <w:rPr>
          <w:i/>
        </w:rPr>
        <w:t xml:space="preserve"> </w:t>
      </w:r>
      <w:r w:rsidRPr="00A42474">
        <w:t xml:space="preserve">Nor do any of the Petitioners even mention their continuing revenue streams from various ancillary services and fees.  </w:t>
      </w:r>
    </w:p>
  </w:footnote>
  <w:footnote w:id="106">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Securus Stay Petition at 11-12; Telmate Stay Petition at 6; GTL Stay Petition at 22. </w:t>
      </w:r>
    </w:p>
  </w:footnote>
  <w:footnote w:id="107">
    <w:p w:rsidR="002B58BD" w:rsidRPr="00A42474" w:rsidRDefault="002B58BD" w:rsidP="002B58BD">
      <w:pPr>
        <w:pStyle w:val="FootnoteText"/>
      </w:pPr>
      <w:r w:rsidRPr="00A42474">
        <w:rPr>
          <w:rStyle w:val="FootnoteReference"/>
        </w:rPr>
        <w:footnoteRef/>
      </w:r>
      <w:r w:rsidRPr="00A42474">
        <w:t xml:space="preserve"> For example, Telmate states that without a stay, it will incur compliance costs, including “performing tasks such as negotiating amendments to all of its contracts, traveling to meet with customers to explain the changes, and altering its billing and internal systems.”  Telmate Stay Petition at </w:t>
      </w:r>
      <w:r>
        <w:t>7</w:t>
      </w:r>
      <w:r w:rsidRPr="00A42474">
        <w:t xml:space="preserve">.  Securus and GTL further allege that renegotiating contracts will cause the loss of customer goodwill arising from the ‘deal fatigue’ of having to re-negotiate contracts twice in less than a year.  Securus Stay Petition at 12; GTL Stay Petition at 22.  </w:t>
      </w:r>
    </w:p>
  </w:footnote>
  <w:footnote w:id="108">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supra </w:t>
      </w:r>
      <w:r w:rsidRPr="00A42474">
        <w:t>n. 10</w:t>
      </w:r>
      <w:r>
        <w:t>4</w:t>
      </w:r>
      <w:r w:rsidRPr="00A42474">
        <w:t xml:space="preserve">; </w:t>
      </w:r>
      <w:r w:rsidRPr="00A42474">
        <w:rPr>
          <w:i/>
        </w:rPr>
        <w:t>Holiday Tours</w:t>
      </w:r>
      <w:r w:rsidRPr="00A42474">
        <w:t>, 559 F.2d at 843 n.2 (referring to a “severe” injury as “destruction of a business”).</w:t>
      </w:r>
    </w:p>
  </w:footnote>
  <w:footnote w:id="109">
    <w:p w:rsidR="002B58BD" w:rsidRPr="00A42474" w:rsidRDefault="002B58BD" w:rsidP="002B58BD">
      <w:pPr>
        <w:pStyle w:val="FootnoteText"/>
      </w:pPr>
      <w:r w:rsidRPr="00A42474">
        <w:rPr>
          <w:rStyle w:val="FootnoteReference"/>
        </w:rPr>
        <w:footnoteRef/>
      </w:r>
      <w:r w:rsidRPr="00A42474">
        <w:t xml:space="preserve"> </w:t>
      </w:r>
      <w:r w:rsidRPr="00A42474">
        <w:rPr>
          <w:i/>
        </w:rPr>
        <w:t>Am. Meat Inst. v. U.S. Dep’t of Agric.</w:t>
      </w:r>
      <w:r w:rsidRPr="00A42474">
        <w:t>, 968 F. Supp. 2d 38, 77 (D.D.C. 2013) (subsequent history omitted).</w:t>
      </w:r>
    </w:p>
  </w:footnote>
  <w:footnote w:id="110">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supra </w:t>
      </w:r>
      <w:r w:rsidRPr="00A42474">
        <w:t xml:space="preserve">para. 20. In addition, providers were not required to renegotiate their contracts after the 2015 rate caps were stayed.  </w:t>
      </w:r>
      <w:r>
        <w:t>A</w:t>
      </w:r>
      <w:r w:rsidRPr="00A42474">
        <w:t xml:space="preserve">ny contracts that complied with </w:t>
      </w:r>
      <w:r>
        <w:t xml:space="preserve">the 2015 rate caps </w:t>
      </w:r>
      <w:r w:rsidRPr="00A42474">
        <w:t xml:space="preserve">would also comply with the revised regulations adopted in the </w:t>
      </w:r>
      <w:r w:rsidRPr="00A42474">
        <w:rPr>
          <w:i/>
        </w:rPr>
        <w:t>Reconsideration Order</w:t>
      </w:r>
      <w:r w:rsidRPr="00E7072B">
        <w:rPr>
          <w:i/>
        </w:rPr>
        <w:t>.</w:t>
      </w:r>
      <w:r>
        <w:rPr>
          <w:i/>
        </w:rPr>
        <w:t xml:space="preserve"> </w:t>
      </w:r>
      <w:r w:rsidRPr="00A42474">
        <w:t xml:space="preserve"> If providers were truly concerned about the “harms” of renegotiating </w:t>
      </w:r>
      <w:r>
        <w:t xml:space="preserve">such </w:t>
      </w:r>
      <w:r w:rsidRPr="00A42474">
        <w:t>contracts, they could have waited for the final disposition of all of the ICS-related appeals before approaching their customers again.</w:t>
      </w:r>
    </w:p>
  </w:footnote>
  <w:footnote w:id="111">
    <w:p w:rsidR="002B58BD" w:rsidRPr="00A42474" w:rsidRDefault="002B58BD" w:rsidP="002B58BD">
      <w:pPr>
        <w:pStyle w:val="FootnoteText"/>
        <w:rPr>
          <w:i/>
        </w:rPr>
      </w:pPr>
      <w:r w:rsidRPr="00A42474">
        <w:rPr>
          <w:rStyle w:val="FootnoteReference"/>
        </w:rPr>
        <w:footnoteRef/>
      </w:r>
      <w:r w:rsidRPr="00A42474">
        <w:t xml:space="preserve"> </w:t>
      </w:r>
      <w:r w:rsidRPr="00A42474">
        <w:rPr>
          <w:i/>
        </w:rPr>
        <w:t>See Order Denying 2015 Stay Petitions</w:t>
      </w:r>
      <w:r w:rsidRPr="00A42474">
        <w:t>, 31 FCC Rcd 261, 295, at para. 72 (noting that a stay of the Commission’s rate caps would delay relief to millions of ICS customers).</w:t>
      </w:r>
    </w:p>
  </w:footnote>
  <w:footnote w:id="112">
    <w:p w:rsidR="002B58BD" w:rsidRPr="00A42474" w:rsidRDefault="002B58BD" w:rsidP="002B58BD">
      <w:pPr>
        <w:pStyle w:val="FootnoteText"/>
        <w:rPr>
          <w:i/>
        </w:rPr>
      </w:pPr>
      <w:r w:rsidRPr="00A42474">
        <w:rPr>
          <w:rStyle w:val="FootnoteReference"/>
        </w:rPr>
        <w:footnoteRef/>
      </w:r>
      <w:r w:rsidRPr="00A42474">
        <w:t xml:space="preserve"> </w:t>
      </w:r>
      <w:r>
        <w:rPr>
          <w:i/>
        </w:rPr>
        <w:t>Id</w:t>
      </w:r>
      <w:r>
        <w:t>.</w:t>
      </w:r>
      <w:r w:rsidRPr="00A42474">
        <w:t xml:space="preserve"> at para. 71 (citing </w:t>
      </w:r>
      <w:r w:rsidRPr="00A42474">
        <w:rPr>
          <w:i/>
        </w:rPr>
        <w:t>2015 ICS Order</w:t>
      </w:r>
      <w:r w:rsidRPr="00A42474">
        <w:t>, 30 FCC Rcd at 12768, para. 7).</w:t>
      </w:r>
    </w:p>
  </w:footnote>
  <w:footnote w:id="113">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Reconsideration Order </w:t>
      </w:r>
      <w:r w:rsidRPr="00A42474">
        <w:t>at n. 2 (explaining that the weighted average for all calls under the revised rate caps were “well below” the interim rate caps currently in effect).</w:t>
      </w:r>
    </w:p>
  </w:footnote>
  <w:footnote w:id="114">
    <w:p w:rsidR="002B58BD" w:rsidRPr="00A42474" w:rsidRDefault="002B58BD" w:rsidP="002B58BD">
      <w:pPr>
        <w:pStyle w:val="FootnoteText"/>
      </w:pPr>
      <w:r w:rsidRPr="00A42474">
        <w:rPr>
          <w:rStyle w:val="FootnoteReference"/>
        </w:rPr>
        <w:footnoteRef/>
      </w:r>
      <w:r w:rsidRPr="00A42474">
        <w:t xml:space="preserve"> GTL further contends that third parties will not be harmed if the Commission grants GTL’s Petition because the interim rate caps are similar to the rate caps the Wright Petitioners requested in their original filing over a decade ago.  GTL Stay Petition at 23.  We addressed those arguments in the </w:t>
      </w:r>
      <w:r w:rsidRPr="00A42474">
        <w:rPr>
          <w:i/>
        </w:rPr>
        <w:t>Order Denying 2015 Stay Petitions</w:t>
      </w:r>
      <w:r w:rsidRPr="00A42474">
        <w:t xml:space="preserve"> and incorporate that response by reference.  </w:t>
      </w:r>
      <w:r w:rsidRPr="00A42474">
        <w:rPr>
          <w:i/>
        </w:rPr>
        <w:t>See Order Denying 2015 Stay Petitions</w:t>
      </w:r>
      <w:r w:rsidRPr="00A42474">
        <w:t>, 31 FCC Rcd 261, 295, at para. 72 (noting that “[t]elecommunications costs have fallen . . .  and ICS rates that might have been fair, just, and reasonable in 2002 [when the Wright Petitioners filed their original request] may be excessive now.”).</w:t>
      </w:r>
      <w:r w:rsidRPr="00A42474">
        <w:rPr>
          <w:highlight w:val="yellow"/>
        </w:rPr>
        <w:t xml:space="preserve">     </w:t>
      </w:r>
    </w:p>
  </w:footnote>
  <w:footnote w:id="115">
    <w:p w:rsidR="002B58BD" w:rsidRPr="00A42474" w:rsidRDefault="002B58BD" w:rsidP="002B58BD">
      <w:pPr>
        <w:pStyle w:val="FootnoteText"/>
        <w:rPr>
          <w:i/>
        </w:rPr>
      </w:pPr>
      <w:r w:rsidRPr="00A42474">
        <w:rPr>
          <w:rStyle w:val="FootnoteReference"/>
        </w:rPr>
        <w:footnoteRef/>
      </w:r>
      <w:r w:rsidRPr="00A42474">
        <w:t xml:space="preserve"> </w:t>
      </w:r>
      <w:r w:rsidRPr="00A42474">
        <w:rPr>
          <w:i/>
        </w:rPr>
        <w:t xml:space="preserve">See </w:t>
      </w:r>
      <w:r>
        <w:rPr>
          <w:i/>
        </w:rPr>
        <w:t>id</w:t>
      </w:r>
      <w:r>
        <w:t>. at 297,</w:t>
      </w:r>
      <w:r w:rsidRPr="00A42474">
        <w:t xml:space="preserve"> para. 78 (citing </w:t>
      </w:r>
      <w:r w:rsidRPr="00A42474">
        <w:rPr>
          <w:i/>
        </w:rPr>
        <w:t>2015 ICS Order</w:t>
      </w:r>
      <w:r w:rsidRPr="00A42474">
        <w:t>, 30 FCC Rcd at 12768, para. 7).</w:t>
      </w:r>
    </w:p>
  </w:footnote>
  <w:footnote w:id="116">
    <w:p w:rsidR="002B58BD" w:rsidRPr="00A42474" w:rsidRDefault="002B58BD" w:rsidP="002B58BD">
      <w:pPr>
        <w:pStyle w:val="FootnoteText"/>
      </w:pPr>
      <w:r w:rsidRPr="00A42474">
        <w:rPr>
          <w:rStyle w:val="FootnoteReference"/>
        </w:rPr>
        <w:footnoteRef/>
      </w:r>
      <w:r w:rsidRPr="00A42474">
        <w:t xml:space="preserve"> </w:t>
      </w:r>
      <w:r w:rsidRPr="00A42474">
        <w:rPr>
          <w:i/>
        </w:rPr>
        <w:t>See 2015 ICS Order</w:t>
      </w:r>
      <w:r w:rsidRPr="00A42474">
        <w:t>, 30 FCC Rcd at 12768, para. 7</w:t>
      </w:r>
      <w:r>
        <w:t>.</w:t>
      </w:r>
      <w:r w:rsidRPr="00A42474">
        <w:t xml:space="preserve"> </w:t>
      </w:r>
      <w:r>
        <w:t xml:space="preserve"> </w:t>
      </w:r>
      <w:r w:rsidRPr="00A42474">
        <w:t>In addition, as ICSolutions points out, “[t]he failure of the market to effectively control rates is hindering competition. Whenever one charge is controlled, the industry finds another charge to manipulate, forcing all providers to choose between fair, just, and reasonable rates or charging exorbitant rates.” ICSolutions Opposition at 10.</w:t>
      </w:r>
    </w:p>
  </w:footnote>
  <w:footnote w:id="117">
    <w:p w:rsidR="002B58BD" w:rsidRPr="00A42474" w:rsidRDefault="002B58BD" w:rsidP="002B58BD">
      <w:pPr>
        <w:pStyle w:val="FootnoteText"/>
      </w:pPr>
      <w:r w:rsidRPr="00A42474">
        <w:rPr>
          <w:rStyle w:val="FootnoteReference"/>
        </w:rPr>
        <w:footnoteRef/>
      </w:r>
      <w:r w:rsidRPr="00A42474">
        <w:t xml:space="preserve"> Wright Opposition to Securus Petition at 8. </w:t>
      </w:r>
    </w:p>
  </w:footnote>
  <w:footnote w:id="118">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 xml:space="preserve">Securus Stay Petition at 13; Telmate Stay Petition at 8 (contending the FCC should “preserve the D.C. Circuit’s (and the parties’) resources” because in the absence of an administrative stay, “the parties will proceed to the D.C. Circuit”). </w:t>
      </w:r>
    </w:p>
  </w:footnote>
  <w:footnote w:id="119">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sidRPr="00A42474">
        <w:t>47 U.S.C. §§ 201, 276.</w:t>
      </w:r>
    </w:p>
  </w:footnote>
  <w:footnote w:id="120">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w:t>
      </w:r>
      <w:r>
        <w:rPr>
          <w:i/>
        </w:rPr>
        <w:t>supra</w:t>
      </w:r>
      <w:r w:rsidRPr="00A42474">
        <w:t xml:space="preserve"> </w:t>
      </w:r>
      <w:r>
        <w:t xml:space="preserve">para. 28; </w:t>
      </w:r>
      <w:r>
        <w:rPr>
          <w:i/>
        </w:rPr>
        <w:t xml:space="preserve">see also </w:t>
      </w:r>
      <w:r w:rsidRPr="00A42474">
        <w:rPr>
          <w:i/>
        </w:rPr>
        <w:t>Order Denying 2015 Stay Petitions</w:t>
      </w:r>
      <w:r w:rsidRPr="00A42474">
        <w:t xml:space="preserve">, 31 FCC Rcd </w:t>
      </w:r>
      <w:r>
        <w:t>at 295,</w:t>
      </w:r>
      <w:r w:rsidRPr="00A42474">
        <w:t xml:space="preserve"> para. 71 (citing </w:t>
      </w:r>
      <w:r w:rsidRPr="00A42474">
        <w:rPr>
          <w:i/>
        </w:rPr>
        <w:t>2015 ICS Order</w:t>
      </w:r>
      <w:r w:rsidRPr="00A42474">
        <w:t>, 30 FCC Rcd at 12775, para. 21).</w:t>
      </w:r>
    </w:p>
  </w:footnote>
  <w:footnote w:id="121">
    <w:p w:rsidR="002B58BD" w:rsidRPr="00A42474" w:rsidRDefault="002B58BD" w:rsidP="002B58BD">
      <w:pPr>
        <w:pStyle w:val="FootnoteText"/>
      </w:pPr>
      <w:r w:rsidRPr="00A42474">
        <w:rPr>
          <w:rStyle w:val="FootnoteReference"/>
        </w:rPr>
        <w:footnoteRef/>
      </w:r>
      <w:r w:rsidRPr="00A42474">
        <w:t xml:space="preserve"> Wright Opposition to Telmate Petition at 8. </w:t>
      </w:r>
    </w:p>
  </w:footnote>
  <w:footnote w:id="122">
    <w:p w:rsidR="002B58BD" w:rsidRPr="009C1E32" w:rsidRDefault="002B58BD" w:rsidP="002B58BD">
      <w:pPr>
        <w:pStyle w:val="FootnoteText"/>
      </w:pPr>
      <w:r w:rsidRPr="00A42474">
        <w:rPr>
          <w:rStyle w:val="FootnoteReference"/>
        </w:rPr>
        <w:footnoteRef/>
      </w:r>
      <w:r w:rsidRPr="00A42474">
        <w:t xml:space="preserve">   </w:t>
      </w:r>
      <w:r w:rsidRPr="00A42474">
        <w:rPr>
          <w:i/>
        </w:rPr>
        <w:t xml:space="preserve">See </w:t>
      </w:r>
      <w:r w:rsidRPr="00A42474">
        <w:t>ICSolutions Opposition at 3 (explaining that Securus’s argument is “baseless” and pointing out that “it is axiomatic that it would save resources for the Court and all parties to consider the merits of the [</w:t>
      </w:r>
      <w:r w:rsidRPr="00A42474">
        <w:rPr>
          <w:i/>
        </w:rPr>
        <w:t>Reconsideration Order</w:t>
      </w:r>
      <w:r w:rsidRPr="00A42474">
        <w:t xml:space="preserve">] in the [context of] the current Appeal [of the </w:t>
      </w:r>
      <w:r w:rsidRPr="00A42474">
        <w:rPr>
          <w:i/>
        </w:rPr>
        <w:t>2015 ICS Order</w:t>
      </w:r>
      <w:r w:rsidRPr="00A42474">
        <w:t>].”)</w:t>
      </w:r>
      <w:r>
        <w:t xml:space="preserve">  </w:t>
      </w:r>
    </w:p>
  </w:footnote>
  <w:footnote w:id="123">
    <w:p w:rsidR="002B58BD" w:rsidRPr="00A42474" w:rsidRDefault="002B58BD" w:rsidP="002B58BD">
      <w:pPr>
        <w:pStyle w:val="FootnoteText"/>
      </w:pPr>
      <w:r w:rsidRPr="00A42474">
        <w:rPr>
          <w:rStyle w:val="FootnoteReference"/>
        </w:rPr>
        <w:footnoteRef/>
      </w:r>
      <w:r w:rsidRPr="00A42474">
        <w:t xml:space="preserve"> </w:t>
      </w:r>
      <w:r w:rsidRPr="00A42474">
        <w:rPr>
          <w:i/>
        </w:rPr>
        <w:t>See</w:t>
      </w:r>
      <w:r w:rsidRPr="00A42474">
        <w:t xml:space="preserve"> Motion to Strike at 1.</w:t>
      </w:r>
    </w:p>
  </w:footnote>
  <w:footnote w:id="124">
    <w:p w:rsidR="002B58BD" w:rsidRPr="00A42474" w:rsidRDefault="002B58BD" w:rsidP="002B58BD">
      <w:pPr>
        <w:pStyle w:val="FootnoteText"/>
      </w:pPr>
      <w:r w:rsidRPr="00A42474">
        <w:rPr>
          <w:rStyle w:val="FootnoteReference"/>
        </w:rPr>
        <w:footnoteRef/>
      </w:r>
      <w:r w:rsidRPr="00A42474">
        <w:t xml:space="preserve"> </w:t>
      </w:r>
      <w:r>
        <w:rPr>
          <w:i/>
        </w:rPr>
        <w:t>Id</w:t>
      </w:r>
      <w:r>
        <w:t>.</w:t>
      </w:r>
      <w:r w:rsidRPr="00A42474">
        <w:t xml:space="preserve"> (explaining that NCIC’s response to the Securus Petition was due September 6, 2016, but the NCIC Opposition “was not filed until September 14.”).  Securus also notes that NCIC never requested the confidential version of the Securus Stay Petition.  </w:t>
      </w:r>
      <w:r w:rsidRPr="00A42474">
        <w:rPr>
          <w:i/>
        </w:rPr>
        <w:t>Id.</w:t>
      </w:r>
    </w:p>
  </w:footnote>
  <w:footnote w:id="125">
    <w:p w:rsidR="002B58BD" w:rsidRPr="00A42474" w:rsidRDefault="002B58BD" w:rsidP="002B58BD">
      <w:pPr>
        <w:pStyle w:val="FootnoteText"/>
      </w:pPr>
      <w:r w:rsidRPr="00A42474">
        <w:rPr>
          <w:rStyle w:val="FootnoteReference"/>
        </w:rPr>
        <w:footnoteRef/>
      </w:r>
      <w:r w:rsidRPr="00A42474">
        <w:t xml:space="preserve"> </w:t>
      </w:r>
      <w:r w:rsidRPr="00A42474">
        <w:rPr>
          <w:i/>
        </w:rPr>
        <w:t xml:space="preserve">See Rates for Interstate Inmate Calling Services, </w:t>
      </w:r>
      <w:r w:rsidRPr="00A42474">
        <w:t>Second Further Notice of Proposed Rulemaking, 29 FCC Rcd 13170</w:t>
      </w:r>
      <w:r w:rsidR="00D1023A">
        <w:t>, 13233, para. 161 (2014); 47 CFR</w:t>
      </w:r>
      <w:r w:rsidRPr="00A42474">
        <w:t xml:space="preserve"> §§ 1.1200 </w:t>
      </w:r>
      <w:r w:rsidRPr="00A42474">
        <w:rPr>
          <w:i/>
        </w:rPr>
        <w:t>et seq.</w:t>
      </w:r>
    </w:p>
  </w:footnote>
  <w:footnote w:id="126">
    <w:p w:rsidR="002B58BD" w:rsidRPr="00A42474" w:rsidRDefault="002B58BD" w:rsidP="002B58BD">
      <w:pPr>
        <w:pStyle w:val="FootnoteText"/>
      </w:pPr>
      <w:r w:rsidRPr="00A42474">
        <w:rPr>
          <w:rStyle w:val="FootnoteReference"/>
        </w:rPr>
        <w:footnoteRef/>
      </w:r>
      <w:r>
        <w:t xml:space="preserve"> 47 U.S.C. 154</w:t>
      </w:r>
      <w:r w:rsidRPr="00A42474">
        <w:t>(j).</w:t>
      </w:r>
    </w:p>
  </w:footnote>
  <w:footnote w:id="127">
    <w:p w:rsidR="002B58BD" w:rsidRPr="00A42474" w:rsidRDefault="002B58BD" w:rsidP="002B58BD">
      <w:pPr>
        <w:pStyle w:val="FootnoteText"/>
      </w:pPr>
      <w:r w:rsidRPr="00A42474">
        <w:rPr>
          <w:rStyle w:val="FootnoteReference"/>
        </w:rPr>
        <w:footnoteRef/>
      </w:r>
      <w:r w:rsidRPr="00A42474">
        <w:t xml:space="preserve">  NCIC Opposition at 1.</w:t>
      </w:r>
    </w:p>
  </w:footnote>
  <w:footnote w:id="128">
    <w:p w:rsidR="002B58BD" w:rsidRPr="00A42474" w:rsidRDefault="002B58BD" w:rsidP="002B58BD">
      <w:pPr>
        <w:pStyle w:val="FootnoteText"/>
      </w:pPr>
      <w:r w:rsidRPr="00A42474">
        <w:rPr>
          <w:rStyle w:val="FootnoteReference"/>
        </w:rPr>
        <w:footnoteRef/>
      </w:r>
      <w:r w:rsidRPr="00A42474">
        <w:t xml:space="preserve"> Motion to Strike at 1.</w:t>
      </w:r>
    </w:p>
  </w:footnote>
  <w:footnote w:id="129">
    <w:p w:rsidR="002B58BD" w:rsidRPr="00A42474" w:rsidRDefault="002B58BD" w:rsidP="002B58BD">
      <w:pPr>
        <w:pStyle w:val="FootnoteText"/>
      </w:pPr>
      <w:r w:rsidRPr="00A42474">
        <w:rPr>
          <w:rStyle w:val="FootnoteReference"/>
        </w:rPr>
        <w:footnoteRef/>
      </w:r>
      <w:r w:rsidRPr="00A42474">
        <w:t xml:space="preserve"> Securus had sufficient time to draft and file a Motion to Strike.</w:t>
      </w:r>
    </w:p>
  </w:footnote>
  <w:footnote w:id="130">
    <w:p w:rsidR="002B58BD" w:rsidRPr="00A42474" w:rsidRDefault="002B58BD" w:rsidP="002B58BD">
      <w:pPr>
        <w:pStyle w:val="FootnoteText"/>
      </w:pPr>
      <w:r w:rsidRPr="00A42474">
        <w:rPr>
          <w:rStyle w:val="FootnoteReference"/>
        </w:rPr>
        <w:footnoteRef/>
      </w:r>
      <w:r w:rsidRPr="00A42474">
        <w:t xml:space="preserve"> Put another way, our decision to deny the petitions does not depend on any arguments or facts that were presented solely in the NCIC Opposition.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4A" w:rsidRDefault="008E6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91870">
      <w:t>DA 16-1119</w:t>
    </w:r>
  </w:p>
  <w:p w:rsidR="00D25FB5" w:rsidRDefault="00425BB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25BB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91870">
      <w:rPr>
        <w:spacing w:val="-2"/>
      </w:rPr>
      <w:t>DA 16-1119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47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58BD"/>
    <w:rsid w:val="002C00E8"/>
    <w:rsid w:val="002C566F"/>
    <w:rsid w:val="00343749"/>
    <w:rsid w:val="003660ED"/>
    <w:rsid w:val="00375730"/>
    <w:rsid w:val="003B0550"/>
    <w:rsid w:val="003B694F"/>
    <w:rsid w:val="003F171C"/>
    <w:rsid w:val="00412FC5"/>
    <w:rsid w:val="00422276"/>
    <w:rsid w:val="004242F1"/>
    <w:rsid w:val="00425BBA"/>
    <w:rsid w:val="00445A00"/>
    <w:rsid w:val="00451B0F"/>
    <w:rsid w:val="004C2EE3"/>
    <w:rsid w:val="004E4A22"/>
    <w:rsid w:val="00511968"/>
    <w:rsid w:val="0055614C"/>
    <w:rsid w:val="0058047D"/>
    <w:rsid w:val="005E14C2"/>
    <w:rsid w:val="00607BA5"/>
    <w:rsid w:val="0061180A"/>
    <w:rsid w:val="00626EB6"/>
    <w:rsid w:val="00655D03"/>
    <w:rsid w:val="00683388"/>
    <w:rsid w:val="00683F84"/>
    <w:rsid w:val="00691870"/>
    <w:rsid w:val="006A6A81"/>
    <w:rsid w:val="006F7393"/>
    <w:rsid w:val="0070224F"/>
    <w:rsid w:val="007115F7"/>
    <w:rsid w:val="00785689"/>
    <w:rsid w:val="0079754B"/>
    <w:rsid w:val="007A1E6D"/>
    <w:rsid w:val="007B0EB2"/>
    <w:rsid w:val="007E67F4"/>
    <w:rsid w:val="00810B6F"/>
    <w:rsid w:val="00822CE0"/>
    <w:rsid w:val="00841AB1"/>
    <w:rsid w:val="008C68F1"/>
    <w:rsid w:val="008E624A"/>
    <w:rsid w:val="00921803"/>
    <w:rsid w:val="00926503"/>
    <w:rsid w:val="009726D8"/>
    <w:rsid w:val="009F76DB"/>
    <w:rsid w:val="00A32C3B"/>
    <w:rsid w:val="00A45F4F"/>
    <w:rsid w:val="00A600A9"/>
    <w:rsid w:val="00AA55B7"/>
    <w:rsid w:val="00AA5B9E"/>
    <w:rsid w:val="00AB2407"/>
    <w:rsid w:val="00AB53DF"/>
    <w:rsid w:val="00AD6784"/>
    <w:rsid w:val="00B04365"/>
    <w:rsid w:val="00B07E5C"/>
    <w:rsid w:val="00B548BA"/>
    <w:rsid w:val="00B811F7"/>
    <w:rsid w:val="00BA5DC6"/>
    <w:rsid w:val="00BA6196"/>
    <w:rsid w:val="00BC6D8C"/>
    <w:rsid w:val="00C34006"/>
    <w:rsid w:val="00C426B1"/>
    <w:rsid w:val="00C66160"/>
    <w:rsid w:val="00C721AC"/>
    <w:rsid w:val="00C90D6A"/>
    <w:rsid w:val="00CA247E"/>
    <w:rsid w:val="00CC72B6"/>
    <w:rsid w:val="00D0218D"/>
    <w:rsid w:val="00D1023A"/>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BBA"/>
    <w:pPr>
      <w:widowControl w:val="0"/>
    </w:pPr>
    <w:rPr>
      <w:snapToGrid w:val="0"/>
      <w:kern w:val="28"/>
      <w:sz w:val="22"/>
    </w:rPr>
  </w:style>
  <w:style w:type="paragraph" w:styleId="Heading1">
    <w:name w:val="heading 1"/>
    <w:basedOn w:val="Normal"/>
    <w:next w:val="ParaNum"/>
    <w:qFormat/>
    <w:rsid w:val="00425BB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5BBA"/>
    <w:pPr>
      <w:keepNext/>
      <w:numPr>
        <w:ilvl w:val="1"/>
        <w:numId w:val="3"/>
      </w:numPr>
      <w:spacing w:after="120"/>
      <w:outlineLvl w:val="1"/>
    </w:pPr>
    <w:rPr>
      <w:b/>
    </w:rPr>
  </w:style>
  <w:style w:type="paragraph" w:styleId="Heading3">
    <w:name w:val="heading 3"/>
    <w:basedOn w:val="Normal"/>
    <w:next w:val="ParaNum"/>
    <w:qFormat/>
    <w:rsid w:val="00425BBA"/>
    <w:pPr>
      <w:keepNext/>
      <w:numPr>
        <w:ilvl w:val="2"/>
        <w:numId w:val="3"/>
      </w:numPr>
      <w:tabs>
        <w:tab w:val="left" w:pos="2160"/>
      </w:tabs>
      <w:spacing w:after="120"/>
      <w:outlineLvl w:val="2"/>
    </w:pPr>
    <w:rPr>
      <w:b/>
    </w:rPr>
  </w:style>
  <w:style w:type="paragraph" w:styleId="Heading4">
    <w:name w:val="heading 4"/>
    <w:basedOn w:val="Normal"/>
    <w:next w:val="ParaNum"/>
    <w:qFormat/>
    <w:rsid w:val="00425BBA"/>
    <w:pPr>
      <w:keepNext/>
      <w:numPr>
        <w:ilvl w:val="3"/>
        <w:numId w:val="3"/>
      </w:numPr>
      <w:tabs>
        <w:tab w:val="left" w:pos="2880"/>
      </w:tabs>
      <w:spacing w:after="120"/>
      <w:outlineLvl w:val="3"/>
    </w:pPr>
    <w:rPr>
      <w:b/>
    </w:rPr>
  </w:style>
  <w:style w:type="paragraph" w:styleId="Heading5">
    <w:name w:val="heading 5"/>
    <w:basedOn w:val="Normal"/>
    <w:next w:val="ParaNum"/>
    <w:qFormat/>
    <w:rsid w:val="00425BB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25BBA"/>
    <w:pPr>
      <w:numPr>
        <w:ilvl w:val="5"/>
        <w:numId w:val="3"/>
      </w:numPr>
      <w:tabs>
        <w:tab w:val="left" w:pos="4320"/>
      </w:tabs>
      <w:spacing w:after="120"/>
      <w:outlineLvl w:val="5"/>
    </w:pPr>
    <w:rPr>
      <w:b/>
    </w:rPr>
  </w:style>
  <w:style w:type="paragraph" w:styleId="Heading7">
    <w:name w:val="heading 7"/>
    <w:basedOn w:val="Normal"/>
    <w:next w:val="ParaNum"/>
    <w:qFormat/>
    <w:rsid w:val="00425BB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25BB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25BB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5B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5BBA"/>
  </w:style>
  <w:style w:type="paragraph" w:customStyle="1" w:styleId="ParaNum">
    <w:name w:val="ParaNum"/>
    <w:basedOn w:val="Normal"/>
    <w:rsid w:val="00425BBA"/>
    <w:pPr>
      <w:numPr>
        <w:numId w:val="2"/>
      </w:numPr>
      <w:tabs>
        <w:tab w:val="clear" w:pos="1080"/>
        <w:tab w:val="num" w:pos="1440"/>
      </w:tabs>
      <w:spacing w:after="120"/>
    </w:pPr>
  </w:style>
  <w:style w:type="paragraph" w:styleId="EndnoteText">
    <w:name w:val="endnote text"/>
    <w:basedOn w:val="Normal"/>
    <w:semiHidden/>
    <w:rsid w:val="00425BBA"/>
    <w:rPr>
      <w:sz w:val="20"/>
    </w:rPr>
  </w:style>
  <w:style w:type="character" w:styleId="EndnoteReference">
    <w:name w:val="endnote reference"/>
    <w:semiHidden/>
    <w:rsid w:val="00425BBA"/>
    <w:rPr>
      <w:vertAlign w:val="superscript"/>
    </w:rPr>
  </w:style>
  <w:style w:type="paragraph" w:styleId="FootnoteText">
    <w:name w:val="footnote text"/>
    <w:link w:val="FootnoteTextChar"/>
    <w:rsid w:val="00425BBA"/>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425BBA"/>
    <w:rPr>
      <w:rFonts w:ascii="Times New Roman" w:hAnsi="Times New Roman"/>
      <w:dstrike w:val="0"/>
      <w:color w:val="auto"/>
      <w:sz w:val="20"/>
      <w:vertAlign w:val="superscript"/>
    </w:rPr>
  </w:style>
  <w:style w:type="paragraph" w:styleId="TOC1">
    <w:name w:val="toc 1"/>
    <w:basedOn w:val="Normal"/>
    <w:next w:val="Normal"/>
    <w:semiHidden/>
    <w:rsid w:val="00425BB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25BBA"/>
    <w:pPr>
      <w:tabs>
        <w:tab w:val="left" w:pos="720"/>
        <w:tab w:val="right" w:leader="dot" w:pos="9360"/>
      </w:tabs>
      <w:suppressAutoHyphens/>
      <w:ind w:left="720" w:right="720" w:hanging="360"/>
    </w:pPr>
    <w:rPr>
      <w:noProof/>
    </w:rPr>
  </w:style>
  <w:style w:type="paragraph" w:styleId="TOC3">
    <w:name w:val="toc 3"/>
    <w:basedOn w:val="Normal"/>
    <w:next w:val="Normal"/>
    <w:semiHidden/>
    <w:rsid w:val="00425BB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5BB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5BB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5BB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5BB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5BB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5BB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5BBA"/>
    <w:pPr>
      <w:tabs>
        <w:tab w:val="right" w:pos="9360"/>
      </w:tabs>
      <w:suppressAutoHyphens/>
    </w:pPr>
  </w:style>
  <w:style w:type="character" w:customStyle="1" w:styleId="EquationCaption">
    <w:name w:val="_Equation Caption"/>
    <w:rsid w:val="00425BBA"/>
  </w:style>
  <w:style w:type="paragraph" w:styleId="Header">
    <w:name w:val="header"/>
    <w:basedOn w:val="Normal"/>
    <w:autoRedefine/>
    <w:rsid w:val="00425BBA"/>
    <w:pPr>
      <w:tabs>
        <w:tab w:val="center" w:pos="4680"/>
        <w:tab w:val="right" w:pos="9360"/>
      </w:tabs>
    </w:pPr>
    <w:rPr>
      <w:b/>
    </w:rPr>
  </w:style>
  <w:style w:type="paragraph" w:styleId="Footer">
    <w:name w:val="footer"/>
    <w:basedOn w:val="Normal"/>
    <w:rsid w:val="00425BBA"/>
    <w:pPr>
      <w:tabs>
        <w:tab w:val="center" w:pos="4320"/>
        <w:tab w:val="right" w:pos="8640"/>
      </w:tabs>
    </w:pPr>
  </w:style>
  <w:style w:type="character" w:styleId="PageNumber">
    <w:name w:val="page number"/>
    <w:basedOn w:val="DefaultParagraphFont"/>
    <w:rsid w:val="00425BBA"/>
  </w:style>
  <w:style w:type="paragraph" w:styleId="BlockText">
    <w:name w:val="Block Text"/>
    <w:basedOn w:val="Normal"/>
    <w:rsid w:val="00425BBA"/>
    <w:pPr>
      <w:spacing w:after="240"/>
      <w:ind w:left="1440" w:right="1440"/>
    </w:pPr>
  </w:style>
  <w:style w:type="paragraph" w:customStyle="1" w:styleId="Paratitle">
    <w:name w:val="Para title"/>
    <w:basedOn w:val="Normal"/>
    <w:rsid w:val="00425BBA"/>
    <w:pPr>
      <w:tabs>
        <w:tab w:val="center" w:pos="9270"/>
      </w:tabs>
      <w:spacing w:after="240"/>
    </w:pPr>
    <w:rPr>
      <w:spacing w:val="-2"/>
    </w:rPr>
  </w:style>
  <w:style w:type="paragraph" w:customStyle="1" w:styleId="Bullet">
    <w:name w:val="Bullet"/>
    <w:basedOn w:val="Normal"/>
    <w:rsid w:val="00425BBA"/>
    <w:pPr>
      <w:tabs>
        <w:tab w:val="left" w:pos="2160"/>
      </w:tabs>
      <w:spacing w:after="220"/>
      <w:ind w:left="2160" w:hanging="720"/>
    </w:pPr>
  </w:style>
  <w:style w:type="paragraph" w:customStyle="1" w:styleId="TableFormat">
    <w:name w:val="TableFormat"/>
    <w:basedOn w:val="Bullet"/>
    <w:rsid w:val="00425BBA"/>
    <w:pPr>
      <w:tabs>
        <w:tab w:val="clear" w:pos="2160"/>
        <w:tab w:val="left" w:pos="5040"/>
      </w:tabs>
      <w:ind w:left="5040" w:hanging="3600"/>
    </w:pPr>
  </w:style>
  <w:style w:type="paragraph" w:customStyle="1" w:styleId="TOCTitle">
    <w:name w:val="TOC Title"/>
    <w:basedOn w:val="Normal"/>
    <w:rsid w:val="00425B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5BBA"/>
    <w:pPr>
      <w:jc w:val="center"/>
    </w:pPr>
    <w:rPr>
      <w:rFonts w:ascii="Times New Roman Bold" w:hAnsi="Times New Roman Bold"/>
      <w:b/>
      <w:bCs/>
      <w:caps/>
      <w:szCs w:val="22"/>
    </w:rPr>
  </w:style>
  <w:style w:type="character" w:styleId="Hyperlink">
    <w:name w:val="Hyperlink"/>
    <w:rsid w:val="00425BBA"/>
    <w:rPr>
      <w:color w:val="0000FF"/>
      <w:u w:val="single"/>
    </w:rPr>
  </w:style>
  <w:style w:type="paragraph" w:styleId="ListParagraph">
    <w:name w:val="List Paragraph"/>
    <w:basedOn w:val="Normal"/>
    <w:uiPriority w:val="34"/>
    <w:qFormat/>
    <w:rsid w:val="002B58BD"/>
    <w:pPr>
      <w:ind w:left="720"/>
    </w:pPr>
  </w:style>
  <w:style w:type="character" w:styleId="CommentReference">
    <w:name w:val="annotation reference"/>
    <w:rsid w:val="002B58BD"/>
    <w:rPr>
      <w:sz w:val="16"/>
      <w:szCs w:val="16"/>
    </w:rPr>
  </w:style>
  <w:style w:type="character" w:styleId="Emphasis">
    <w:name w:val="Emphasis"/>
    <w:uiPriority w:val="20"/>
    <w:qFormat/>
    <w:rsid w:val="002B58BD"/>
    <w:rPr>
      <w:i/>
      <w:iCs/>
    </w:rPr>
  </w:style>
  <w:style w:type="character" w:customStyle="1" w:styleId="FootnoteTextChar">
    <w:name w:val="Footnote Text Char"/>
    <w:link w:val="FootnoteText"/>
    <w:rsid w:val="002B5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cc.gov/ecfs/filing/1090673344753/document/1090673344753998d" TargetMode="External"/><Relationship Id="rId13" Type="http://schemas.openxmlformats.org/officeDocument/2006/relationships/hyperlink" Target="http://apps.fcc.gov/ecfs/comment/view?id=60001361748" TargetMode="External"/><Relationship Id="rId3" Type="http://schemas.openxmlformats.org/officeDocument/2006/relationships/hyperlink" Target="https://www.fcc.gov/ecfs/filing/10901346524862/document/10901346524862d3b4" TargetMode="External"/><Relationship Id="rId7" Type="http://schemas.openxmlformats.org/officeDocument/2006/relationships/hyperlink" Target="https://www.fcc.gov/ecfs/filing/10901065457517/document/10901065457517aa39" TargetMode="External"/><Relationship Id="rId12" Type="http://schemas.openxmlformats.org/officeDocument/2006/relationships/hyperlink" Target="http://apps.fcc.gov/ecfs/comment/view?id=60001389462" TargetMode="External"/><Relationship Id="rId2" Type="http://schemas.openxmlformats.org/officeDocument/2006/relationships/hyperlink" Target="https://www.fcc.gov/ecfs/filing/10829590427949/document/1082959042794985fe" TargetMode="External"/><Relationship Id="rId1" Type="http://schemas.openxmlformats.org/officeDocument/2006/relationships/hyperlink" Target="https://www.fcc.gov/ecfs/filing/1082584697325/document/1082584697325ba5d" TargetMode="External"/><Relationship Id="rId6" Type="http://schemas.openxmlformats.org/officeDocument/2006/relationships/hyperlink" Target="https://www.fcc.gov/ecfs/filing/1091461041225/document/10914610412251fe4" TargetMode="External"/><Relationship Id="rId11" Type="http://schemas.openxmlformats.org/officeDocument/2006/relationships/hyperlink" Target="https://www.fcc.gov/ecfs/filing/10914025510873/document/10914025510873c0bc" TargetMode="External"/><Relationship Id="rId5" Type="http://schemas.openxmlformats.org/officeDocument/2006/relationships/hyperlink" Target="https://www.fcc.gov/ecfs/filing/10901942828738/document/1090194282873896c4" TargetMode="External"/><Relationship Id="rId10" Type="http://schemas.openxmlformats.org/officeDocument/2006/relationships/hyperlink" Target="https://www.fcc.gov/ecfs/filing/109091858522281/document/1090918585222811782" TargetMode="External"/><Relationship Id="rId4" Type="http://schemas.openxmlformats.org/officeDocument/2006/relationships/hyperlink" Target="https://www.fcc.gov/ecfs/filing/1090279096421/document/10902790964217a75" TargetMode="External"/><Relationship Id="rId9" Type="http://schemas.openxmlformats.org/officeDocument/2006/relationships/hyperlink" Target="https://www.fcc.gov/ecfs/filing/109081995804638/document/109081995804638456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4990</Words>
  <Characters>27035</Characters>
  <Application>Microsoft Office Word</Application>
  <DocSecurity>0</DocSecurity>
  <Lines>371</Lines>
  <Paragraphs>65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32170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2016-09-30T17:36:00Z</dcterms:created>
  <dcterms:modified xsi:type="dcterms:W3CDTF">2016-09-30T17:36:00Z</dcterms:modified>
  <cp:category> </cp:category>
  <cp:contentStatus> </cp:contentStatus>
</cp:coreProperties>
</file>