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D47505" w:rsidRPr="00B20363" w:rsidRDefault="008E4BB6" w:rsidP="00D47505">
      <w:pPr>
        <w:jc w:val="right"/>
        <w:rPr>
          <w:b/>
          <w:sz w:val="24"/>
        </w:rPr>
      </w:pPr>
      <w:r>
        <w:rPr>
          <w:b/>
          <w:sz w:val="24"/>
        </w:rPr>
        <w:t>DA 16-</w:t>
      </w:r>
      <w:r w:rsidR="00100639">
        <w:rPr>
          <w:b/>
          <w:sz w:val="24"/>
        </w:rPr>
        <w:t>1135</w:t>
      </w:r>
    </w:p>
    <w:p w:rsidR="00D47505" w:rsidRPr="00B20363" w:rsidRDefault="00B338A9" w:rsidP="00D47505">
      <w:pPr>
        <w:spacing w:before="60"/>
        <w:jc w:val="right"/>
        <w:rPr>
          <w:b/>
          <w:sz w:val="24"/>
        </w:rPr>
      </w:pPr>
      <w:r>
        <w:rPr>
          <w:b/>
          <w:sz w:val="24"/>
        </w:rPr>
        <w:t xml:space="preserve">Released:  </w:t>
      </w:r>
      <w:r w:rsidR="008E4BB6">
        <w:rPr>
          <w:b/>
          <w:sz w:val="24"/>
        </w:rPr>
        <w:t xml:space="preserve">October </w:t>
      </w:r>
      <w:r w:rsidR="00C64AD3">
        <w:rPr>
          <w:b/>
          <w:sz w:val="24"/>
        </w:rPr>
        <w:t>4</w:t>
      </w:r>
      <w:r w:rsidR="008E4BB6">
        <w:rPr>
          <w:b/>
          <w:sz w:val="24"/>
        </w:rPr>
        <w:t>, 2016</w:t>
      </w:r>
    </w:p>
    <w:p w:rsidR="00D47505" w:rsidRDefault="00D47505" w:rsidP="00D47505">
      <w:pPr>
        <w:jc w:val="right"/>
        <w:rPr>
          <w:sz w:val="24"/>
        </w:rPr>
      </w:pPr>
    </w:p>
    <w:p w:rsidR="00D47505" w:rsidRPr="00B20363" w:rsidRDefault="008E4BB6" w:rsidP="00D47505">
      <w:pPr>
        <w:spacing w:after="240"/>
        <w:jc w:val="center"/>
        <w:rPr>
          <w:rFonts w:ascii="Times New Roman Bold" w:hAnsi="Times New Roman Bold"/>
          <w:b/>
          <w:caps/>
          <w:sz w:val="24"/>
        </w:rPr>
      </w:pPr>
      <w:r>
        <w:rPr>
          <w:rFonts w:ascii="Times New Roman Bold" w:hAnsi="Times New Roman Bold"/>
          <w:b/>
        </w:rPr>
        <w:t>MEDIA BUREAU ANNOUNCES BETA TESTING OF POST-INCENTIVE AUCTION BROADCASTER RELOCATION REIMBURSEMENT SYSTEM</w:t>
      </w:r>
    </w:p>
    <w:p w:rsidR="008E4BB6" w:rsidRPr="008E4BB6" w:rsidRDefault="008E4BB6" w:rsidP="008E4BB6">
      <w:pPr>
        <w:widowControl/>
        <w:spacing w:after="240"/>
        <w:jc w:val="center"/>
        <w:rPr>
          <w:rFonts w:ascii="Times New Roman Bold" w:hAnsi="Times New Roman Bold"/>
          <w:b/>
          <w:snapToGrid/>
          <w:kern w:val="0"/>
        </w:rPr>
      </w:pPr>
      <w:r w:rsidRPr="008E4BB6">
        <w:rPr>
          <w:rFonts w:ascii="Times New Roman Bold" w:hAnsi="Times New Roman Bold"/>
          <w:b/>
          <w:snapToGrid/>
          <w:kern w:val="0"/>
        </w:rPr>
        <w:t>Broadcasters Invited to Test New FCC Form 2100, Schedule 399</w:t>
      </w:r>
      <w:r>
        <w:rPr>
          <w:rFonts w:ascii="Times New Roman Bold" w:hAnsi="Times New Roman Bold"/>
          <w:b/>
          <w:snapToGrid/>
          <w:kern w:val="0"/>
        </w:rPr>
        <w:t xml:space="preserve"> </w:t>
      </w:r>
    </w:p>
    <w:p w:rsidR="00D47505" w:rsidRDefault="008E4BB6" w:rsidP="00D47505">
      <w:pPr>
        <w:jc w:val="center"/>
        <w:rPr>
          <w:b/>
          <w:sz w:val="24"/>
        </w:rPr>
      </w:pPr>
      <w:r w:rsidRPr="008E4BB6">
        <w:rPr>
          <w:rFonts w:ascii="Times New Roman Bold" w:hAnsi="Times New Roman Bold"/>
          <w:b/>
          <w:snapToGrid/>
          <w:kern w:val="0"/>
        </w:rPr>
        <w:t>GN Docket No. 12-268</w:t>
      </w:r>
    </w:p>
    <w:p w:rsidR="00D47505" w:rsidRDefault="00D47505" w:rsidP="00D47505">
      <w:pPr>
        <w:jc w:val="center"/>
        <w:rPr>
          <w:sz w:val="24"/>
        </w:rPr>
      </w:pPr>
    </w:p>
    <w:p w:rsidR="008E4BB6" w:rsidRDefault="008E4BB6" w:rsidP="008E4BB6">
      <w:pPr>
        <w:pStyle w:val="Paranum"/>
        <w:widowControl/>
        <w:numPr>
          <w:ilvl w:val="0"/>
          <w:numId w:val="0"/>
        </w:numPr>
        <w:ind w:firstLine="720"/>
        <w:jc w:val="left"/>
      </w:pPr>
      <w:r>
        <w:t>The Media Bureau announces a limited beta test of the Incentive Auction Broadcaster Relocation Reimbursement System (FCC Form 2100, Schedule 399, commonly known as Form 399).  Television stations reass</w:t>
      </w:r>
      <w:r w:rsidR="008C6EFF">
        <w:t xml:space="preserve">igned to </w:t>
      </w:r>
      <w:r>
        <w:t xml:space="preserve">new channels and MVPDs that carry those stations will file Form 399 to claim reimbursement from the $1.75 billion TV Broadcaster Relocation Fund for expenses they </w:t>
      </w:r>
      <w:r w:rsidR="00A55EEE">
        <w:t xml:space="preserve">reasonably </w:t>
      </w:r>
      <w:r>
        <w:t xml:space="preserve">incur </w:t>
      </w:r>
      <w:r w:rsidR="00A55EEE">
        <w:t xml:space="preserve">in connection with </w:t>
      </w:r>
      <w:r>
        <w:t>the post-</w:t>
      </w:r>
      <w:r w:rsidR="008C6EFF">
        <w:t>i</w:t>
      </w:r>
      <w:r>
        <w:t xml:space="preserve">ncentive </w:t>
      </w:r>
      <w:r w:rsidR="008C6EFF">
        <w:t>a</w:t>
      </w:r>
      <w:r>
        <w:t>uction repack.</w:t>
      </w:r>
      <w:r>
        <w:rPr>
          <w:rStyle w:val="FootnoteReference"/>
        </w:rPr>
        <w:footnoteReference w:id="2"/>
      </w:r>
      <w:r>
        <w:t xml:space="preserve">  </w:t>
      </w:r>
      <w:r w:rsidR="00FB2521">
        <w:t>Form 399 was released by the Media Bureau on October 30, 2015.</w:t>
      </w:r>
      <w:r w:rsidR="00FB2521">
        <w:rPr>
          <w:rStyle w:val="FootnoteReference"/>
        </w:rPr>
        <w:footnoteReference w:id="3"/>
      </w:r>
      <w:r w:rsidR="00FB2521">
        <w:t xml:space="preserve">  Beginning</w:t>
      </w:r>
      <w:r>
        <w:t xml:space="preserve"> </w:t>
      </w:r>
      <w:r w:rsidR="008D641B">
        <w:t xml:space="preserve">October </w:t>
      </w:r>
      <w:r w:rsidR="00C64AD3">
        <w:t>4</w:t>
      </w:r>
      <w:r w:rsidR="00C64AD3" w:rsidRPr="00C64AD3">
        <w:t xml:space="preserve">, </w:t>
      </w:r>
      <w:r w:rsidR="008D641B">
        <w:t>2016,</w:t>
      </w:r>
      <w:r>
        <w:t xml:space="preserve"> broadcasters </w:t>
      </w:r>
      <w:r w:rsidR="00C93529">
        <w:t xml:space="preserve">will </w:t>
      </w:r>
      <w:r w:rsidR="008C6EFF">
        <w:t>have</w:t>
      </w:r>
      <w:r>
        <w:t xml:space="preserve"> access </w:t>
      </w:r>
      <w:r w:rsidR="008C6EFF">
        <w:t xml:space="preserve">to </w:t>
      </w:r>
      <w:r>
        <w:t xml:space="preserve">a test environment </w:t>
      </w:r>
      <w:r w:rsidR="00C93529">
        <w:t xml:space="preserve">where they </w:t>
      </w:r>
      <w:r w:rsidR="008C6EFF">
        <w:t>will be able to</w:t>
      </w:r>
      <w:r>
        <w:t xml:space="preserve"> interact </w:t>
      </w:r>
      <w:r w:rsidR="00FB2521">
        <w:t>and familiarize themselves with</w:t>
      </w:r>
      <w:r>
        <w:t xml:space="preserve"> </w:t>
      </w:r>
      <w:r w:rsidR="00FB2521">
        <w:t>an updated version of the</w:t>
      </w:r>
      <w:r>
        <w:t xml:space="preserve"> Form 399.</w:t>
      </w:r>
      <w:r w:rsidR="002066C6">
        <w:rPr>
          <w:rStyle w:val="FootnoteReference"/>
        </w:rPr>
        <w:footnoteReference w:id="4"/>
      </w:r>
      <w:r>
        <w:t xml:space="preserve"> </w:t>
      </w:r>
      <w:r w:rsidR="00C93529">
        <w:t xml:space="preserve"> </w:t>
      </w:r>
      <w:r>
        <w:t>Parties accessing the Form 399</w:t>
      </w:r>
      <w:r w:rsidR="00BA4297">
        <w:t xml:space="preserve"> beta</w:t>
      </w:r>
      <w:r>
        <w:t xml:space="preserve"> test environment </w:t>
      </w:r>
      <w:r w:rsidR="00C93529">
        <w:t>are invited to</w:t>
      </w:r>
      <w:r>
        <w:t xml:space="preserve"> provide feedback on</w:t>
      </w:r>
      <w:r w:rsidR="006B4BBF">
        <w:t xml:space="preserve"> the form and</w:t>
      </w:r>
      <w:r>
        <w:t xml:space="preserve"> the </w:t>
      </w:r>
      <w:r w:rsidR="007679E5" w:rsidRPr="007679E5">
        <w:t xml:space="preserve">test environment by November </w:t>
      </w:r>
      <w:r w:rsidR="00076F30">
        <w:t>4</w:t>
      </w:r>
      <w:r w:rsidR="007679E5" w:rsidRPr="007679E5">
        <w:t>, 2016</w:t>
      </w:r>
      <w:r w:rsidR="007679E5">
        <w:t xml:space="preserve">.  </w:t>
      </w:r>
      <w:r>
        <w:t xml:space="preserve">The beta environment automatically </w:t>
      </w:r>
      <w:r w:rsidR="00FB2521">
        <w:t xml:space="preserve">will </w:t>
      </w:r>
      <w:r w:rsidR="002D0759">
        <w:t xml:space="preserve">be </w:t>
      </w:r>
      <w:r>
        <w:t xml:space="preserve">open to all broadcasters with an active facility associated with their FRN and password in the Commission’s </w:t>
      </w:r>
      <w:r w:rsidR="008C6EFF">
        <w:t>License and Management System (</w:t>
      </w:r>
      <w:r>
        <w:t>LMS</w:t>
      </w:r>
      <w:r w:rsidR="008C6EFF">
        <w:t>)</w:t>
      </w:r>
      <w:r>
        <w:t xml:space="preserve"> database.  </w:t>
      </w:r>
    </w:p>
    <w:p w:rsidR="008E4BB6" w:rsidRDefault="00455A57" w:rsidP="008E4BB6">
      <w:pPr>
        <w:pStyle w:val="Paranum"/>
        <w:widowControl/>
        <w:numPr>
          <w:ilvl w:val="0"/>
          <w:numId w:val="0"/>
        </w:numPr>
        <w:ind w:firstLine="720"/>
        <w:jc w:val="left"/>
      </w:pPr>
      <w:r>
        <w:lastRenderedPageBreak/>
        <w:t>As</w:t>
      </w:r>
      <w:r w:rsidR="006B4BBF">
        <w:t xml:space="preserve"> noted above, the</w:t>
      </w:r>
      <w:r>
        <w:t xml:space="preserve"> </w:t>
      </w:r>
      <w:r w:rsidR="008C6EFF">
        <w:t xml:space="preserve">beta version of </w:t>
      </w:r>
      <w:r w:rsidR="008E4BB6">
        <w:t xml:space="preserve">Form 399 </w:t>
      </w:r>
      <w:r w:rsidR="006B4BBF">
        <w:t xml:space="preserve">will be available on October </w:t>
      </w:r>
      <w:r w:rsidR="00C64AD3">
        <w:t>4</w:t>
      </w:r>
      <w:r w:rsidR="00630952">
        <w:t>, 2016</w:t>
      </w:r>
      <w:r w:rsidR="008C6EFF">
        <w:t xml:space="preserve"> </w:t>
      </w:r>
      <w:r w:rsidR="008E4BB6">
        <w:t>for broadcasters</w:t>
      </w:r>
      <w:r w:rsidR="008C6EFF">
        <w:t xml:space="preserve"> to access in LMS</w:t>
      </w:r>
      <w:r w:rsidR="008E4BB6">
        <w:t xml:space="preserve">.  Parties interested in </w:t>
      </w:r>
      <w:r w:rsidR="008C6EFF">
        <w:t>taking part in</w:t>
      </w:r>
      <w:r w:rsidR="008E4BB6">
        <w:t xml:space="preserve"> the Form 399 beta test should </w:t>
      </w:r>
      <w:r w:rsidR="002D0759">
        <w:t>note</w:t>
      </w:r>
      <w:r w:rsidR="008E4BB6">
        <w:t xml:space="preserve"> the following:</w:t>
      </w:r>
    </w:p>
    <w:p w:rsidR="008E4BB6" w:rsidRPr="002D0759" w:rsidRDefault="008E4BB6" w:rsidP="008E4BB6">
      <w:pPr>
        <w:pStyle w:val="Paranum"/>
        <w:widowControl/>
        <w:numPr>
          <w:ilvl w:val="0"/>
          <w:numId w:val="9"/>
        </w:numPr>
        <w:jc w:val="left"/>
      </w:pPr>
      <w:r>
        <w:t>The test environment can be accessed at</w:t>
      </w:r>
      <w:r w:rsidR="009E4128">
        <w:t>:</w:t>
      </w:r>
      <w:r>
        <w:t xml:space="preserve"> </w:t>
      </w:r>
      <w:hyperlink r:id="rId8" w:history="1">
        <w:r w:rsidR="002D0759" w:rsidRPr="00530923">
          <w:rPr>
            <w:rStyle w:val="Hyperlink"/>
          </w:rPr>
          <w:t>https://apps2demo.fcc.gov/dataentry/login.html</w:t>
        </w:r>
      </w:hyperlink>
    </w:p>
    <w:p w:rsidR="008E4BB6" w:rsidRPr="008E4BB6" w:rsidRDefault="008E4BB6" w:rsidP="008E4BB6">
      <w:pPr>
        <w:pStyle w:val="Paranum"/>
        <w:widowControl/>
        <w:numPr>
          <w:ilvl w:val="0"/>
          <w:numId w:val="9"/>
        </w:numPr>
        <w:jc w:val="left"/>
      </w:pPr>
      <w:r>
        <w:t>A quick start guide is available at</w:t>
      </w:r>
      <w:r w:rsidR="00640F74">
        <w:t>:</w:t>
      </w:r>
      <w:r>
        <w:t xml:space="preserve"> </w:t>
      </w:r>
      <w:hyperlink r:id="rId9" w:history="1">
        <w:r w:rsidR="00640F74" w:rsidRPr="00640F74">
          <w:rPr>
            <w:rStyle w:val="Hyperlink"/>
          </w:rPr>
          <w:t>http://www.fcc.gov/incentiveauctions/reimbursement</w:t>
        </w:r>
      </w:hyperlink>
    </w:p>
    <w:p w:rsidR="008E4BB6" w:rsidRDefault="008E4BB6" w:rsidP="008E4BB6">
      <w:pPr>
        <w:pStyle w:val="Paranum"/>
        <w:widowControl/>
        <w:numPr>
          <w:ilvl w:val="0"/>
          <w:numId w:val="9"/>
        </w:numPr>
        <w:jc w:val="left"/>
      </w:pPr>
      <w:r>
        <w:t xml:space="preserve">Users should submit feedback and report bugs </w:t>
      </w:r>
      <w:r w:rsidR="00B15ABB">
        <w:t>by e-mailing</w:t>
      </w:r>
      <w:r>
        <w:t xml:space="preserve"> </w:t>
      </w:r>
      <w:hyperlink r:id="rId10" w:history="1">
        <w:r w:rsidR="00943128" w:rsidRPr="00943128">
          <w:rPr>
            <w:rStyle w:val="Hyperlink"/>
          </w:rPr>
          <w:t>for</w:t>
        </w:r>
        <w:r w:rsidR="00943128" w:rsidRPr="00DF741E">
          <w:rPr>
            <w:rStyle w:val="Hyperlink"/>
          </w:rPr>
          <w:t>m399beta@fcc.gov</w:t>
        </w:r>
      </w:hyperlink>
      <w:r>
        <w:t>.</w:t>
      </w:r>
    </w:p>
    <w:p w:rsidR="005D668A" w:rsidRDefault="005D668A" w:rsidP="005D668A">
      <w:pPr>
        <w:pStyle w:val="Paranum"/>
        <w:widowControl/>
        <w:numPr>
          <w:ilvl w:val="0"/>
          <w:numId w:val="0"/>
        </w:numPr>
        <w:ind w:firstLine="720"/>
        <w:jc w:val="left"/>
      </w:pPr>
      <w:r>
        <w:t>Additionally, please note</w:t>
      </w:r>
      <w:r w:rsidRPr="005D668A">
        <w:t xml:space="preserve"> the beta environment continues to be under active development.  As a result of hardware and software changes, users may experience periodic outages.  In such cases, please try to access the system later.  For persistent issues, please </w:t>
      </w:r>
      <w:r>
        <w:t>use the email address provided.</w:t>
      </w:r>
      <w:r w:rsidR="006B4BBF">
        <w:t xml:space="preserve"> These issues will be resolved prior to the formal release of Form 399.</w:t>
      </w:r>
      <w:r w:rsidR="00455A57">
        <w:t xml:space="preserve">  T</w:t>
      </w:r>
      <w:r w:rsidR="00455A57" w:rsidRPr="00455A57">
        <w:t>hese issues are unique to the beta test environment and will not occur once the final Form 399 is deployed in the production environment in LMS</w:t>
      </w:r>
      <w:r w:rsidR="00455A57">
        <w:t>.</w:t>
      </w:r>
    </w:p>
    <w:p w:rsidR="008E4BB6" w:rsidRDefault="008E4BB6" w:rsidP="008E4BB6">
      <w:pPr>
        <w:pStyle w:val="Paranum"/>
        <w:widowControl/>
        <w:numPr>
          <w:ilvl w:val="0"/>
          <w:numId w:val="0"/>
        </w:numPr>
        <w:ind w:firstLine="720"/>
        <w:jc w:val="left"/>
      </w:pPr>
      <w:r w:rsidRPr="008B3A7D">
        <w:t xml:space="preserve">For </w:t>
      </w:r>
      <w:r>
        <w:t xml:space="preserve">additional information on this proceeding, </w:t>
      </w:r>
      <w:r w:rsidRPr="008B3A7D">
        <w:t>contact</w:t>
      </w:r>
      <w:r w:rsidR="005D668A">
        <w:t xml:space="preserve"> Jeffrey Neumann</w:t>
      </w:r>
      <w:r>
        <w:t xml:space="preserve">, </w:t>
      </w:r>
      <w:hyperlink r:id="rId11" w:history="1">
        <w:r w:rsidR="005D668A" w:rsidRPr="0068335A">
          <w:rPr>
            <w:rStyle w:val="Hyperlink"/>
          </w:rPr>
          <w:t>Jeffrey.Neumann@fcc.gov</w:t>
        </w:r>
      </w:hyperlink>
      <w:r w:rsidR="005D668A">
        <w:t>, (202- 418-2046</w:t>
      </w:r>
      <w:r>
        <w:t xml:space="preserve">), or Raphael Sznajder, </w:t>
      </w:r>
      <w:hyperlink r:id="rId12" w:history="1">
        <w:r w:rsidRPr="00530923">
          <w:rPr>
            <w:rStyle w:val="Hyperlink"/>
          </w:rPr>
          <w:t>Raphael.Sznajder@fcc.gov</w:t>
        </w:r>
      </w:hyperlink>
      <w:r>
        <w:t xml:space="preserve">, (202-418-1648) </w:t>
      </w:r>
      <w:r w:rsidRPr="008B3A7D">
        <w:t>of the Media Bureau</w:t>
      </w:r>
      <w:r>
        <w:t xml:space="preserve">.  </w:t>
      </w:r>
      <w:r w:rsidRPr="008B3A7D">
        <w:t xml:space="preserve">Press </w:t>
      </w:r>
      <w:r>
        <w:t>contact:</w:t>
      </w:r>
      <w:r w:rsidR="005D668A">
        <w:t xml:space="preserve">  Charlie Meisch</w:t>
      </w:r>
      <w:r>
        <w:t>,</w:t>
      </w:r>
      <w:r w:rsidRPr="008B3A7D">
        <w:t xml:space="preserve"> </w:t>
      </w:r>
      <w:hyperlink r:id="rId13" w:history="1">
        <w:r w:rsidR="005D668A" w:rsidRPr="0068335A">
          <w:rPr>
            <w:rStyle w:val="Hyperlink"/>
          </w:rPr>
          <w:t>Charles.Meisch@fcc.gov</w:t>
        </w:r>
      </w:hyperlink>
      <w:r>
        <w:t>, (</w:t>
      </w:r>
      <w:r w:rsidRPr="008B3A7D">
        <w:t>202</w:t>
      </w:r>
      <w:r>
        <w:t>-</w:t>
      </w:r>
      <w:r w:rsidR="005D668A">
        <w:t xml:space="preserve"> 418-2943</w:t>
      </w:r>
      <w:r>
        <w:t>)</w:t>
      </w:r>
      <w:r w:rsidRPr="008B3A7D">
        <w:t>.</w:t>
      </w:r>
    </w:p>
    <w:p w:rsidR="00076F30" w:rsidRDefault="00076F30" w:rsidP="008E4BB6">
      <w:pPr>
        <w:pStyle w:val="Paranum"/>
        <w:widowControl/>
        <w:numPr>
          <w:ilvl w:val="0"/>
          <w:numId w:val="0"/>
        </w:numPr>
        <w:ind w:firstLine="720"/>
        <w:jc w:val="left"/>
      </w:pPr>
    </w:p>
    <w:p w:rsidR="00076F30" w:rsidRDefault="00076F30" w:rsidP="008E4BB6">
      <w:pPr>
        <w:pStyle w:val="Paranum"/>
        <w:widowControl/>
        <w:numPr>
          <w:ilvl w:val="0"/>
          <w:numId w:val="0"/>
        </w:numPr>
        <w:ind w:firstLine="720"/>
        <w:jc w:val="left"/>
      </w:pPr>
    </w:p>
    <w:p w:rsidR="00076F30" w:rsidRDefault="00076F30" w:rsidP="008E4BB6">
      <w:pPr>
        <w:pStyle w:val="Paranum"/>
        <w:widowControl/>
        <w:numPr>
          <w:ilvl w:val="0"/>
          <w:numId w:val="0"/>
        </w:numPr>
        <w:ind w:firstLine="720"/>
        <w:jc w:val="left"/>
      </w:pPr>
    </w:p>
    <w:p w:rsidR="008E4BB6" w:rsidRPr="005F3D8F" w:rsidRDefault="008E4BB6" w:rsidP="008E4BB6">
      <w:pPr>
        <w:pStyle w:val="Paranum"/>
        <w:widowControl/>
        <w:numPr>
          <w:ilvl w:val="0"/>
          <w:numId w:val="0"/>
        </w:numPr>
        <w:jc w:val="center"/>
      </w:pPr>
      <w:r>
        <w:t xml:space="preserve">- </w:t>
      </w:r>
      <w:r w:rsidRPr="00076F30">
        <w:rPr>
          <w:b/>
        </w:rPr>
        <w:t>FCC</w:t>
      </w:r>
      <w:r>
        <w:t xml:space="preserve"> -</w:t>
      </w:r>
    </w:p>
    <w:p w:rsidR="008E4BB6" w:rsidRPr="005F3D8F" w:rsidRDefault="008E4BB6" w:rsidP="008E4BB6">
      <w:pPr>
        <w:pStyle w:val="Paranum"/>
        <w:widowControl/>
        <w:numPr>
          <w:ilvl w:val="0"/>
          <w:numId w:val="0"/>
        </w:numPr>
        <w:ind w:left="3600"/>
      </w:pPr>
    </w:p>
    <w:p w:rsidR="006A1F49" w:rsidRDefault="006A1F49" w:rsidP="00D47505">
      <w:pPr>
        <w:spacing w:before="120" w:after="240"/>
        <w:rPr>
          <w:sz w:val="24"/>
        </w:rPr>
      </w:pPr>
    </w:p>
    <w:sectPr w:rsidR="006A1F49" w:rsidSect="00DF081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AF" w:rsidRDefault="006221AF">
      <w:pPr>
        <w:spacing w:line="20" w:lineRule="exact"/>
      </w:pPr>
    </w:p>
  </w:endnote>
  <w:endnote w:type="continuationSeparator" w:id="0">
    <w:p w:rsidR="006221AF" w:rsidRDefault="006221AF">
      <w:r>
        <w:t xml:space="preserve"> </w:t>
      </w:r>
    </w:p>
  </w:endnote>
  <w:endnote w:type="continuationNotice" w:id="1">
    <w:p w:rsidR="006221AF" w:rsidRDefault="006221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A3DD8">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AF" w:rsidRDefault="006221AF">
      <w:r>
        <w:separator/>
      </w:r>
    </w:p>
  </w:footnote>
  <w:footnote w:type="continuationSeparator" w:id="0">
    <w:p w:rsidR="006221AF" w:rsidRDefault="006221AF" w:rsidP="00C721AC">
      <w:pPr>
        <w:spacing w:before="120"/>
        <w:rPr>
          <w:sz w:val="20"/>
        </w:rPr>
      </w:pPr>
      <w:r>
        <w:rPr>
          <w:sz w:val="20"/>
        </w:rPr>
        <w:t xml:space="preserve">(Continued from previous page)  </w:t>
      </w:r>
      <w:r>
        <w:rPr>
          <w:sz w:val="20"/>
        </w:rPr>
        <w:separator/>
      </w:r>
    </w:p>
  </w:footnote>
  <w:footnote w:type="continuationNotice" w:id="1">
    <w:p w:rsidR="006221AF" w:rsidRDefault="006221AF" w:rsidP="00C721AC">
      <w:pPr>
        <w:jc w:val="right"/>
        <w:rPr>
          <w:sz w:val="20"/>
        </w:rPr>
      </w:pPr>
      <w:r>
        <w:rPr>
          <w:sz w:val="20"/>
        </w:rPr>
        <w:t>(continued….)</w:t>
      </w:r>
    </w:p>
  </w:footnote>
  <w:footnote w:id="2">
    <w:p w:rsidR="008E4BB6" w:rsidRPr="006C3FBB" w:rsidRDefault="008E4BB6" w:rsidP="008E4BB6">
      <w:pPr>
        <w:pStyle w:val="FootnoteText"/>
        <w:tabs>
          <w:tab w:val="left" w:pos="1125"/>
        </w:tabs>
      </w:pPr>
      <w:r>
        <w:rPr>
          <w:rStyle w:val="FootnoteReference"/>
        </w:rPr>
        <w:footnoteRef/>
      </w:r>
      <w:r>
        <w:t xml:space="preserve"> The Commission established the post-</w:t>
      </w:r>
      <w:r w:rsidR="008C6EFF">
        <w:t xml:space="preserve">incentive </w:t>
      </w:r>
      <w:r>
        <w:t xml:space="preserve">auction process for reimbursing eligible entities and delegated authority to the Media Bureau to develop the form to be used by entities to claim reimbursement, to develop a catalog of eligible expenses and to make other determinations regarding eligible costs and the reimbursement process. </w:t>
      </w:r>
      <w:r>
        <w:rPr>
          <w:i/>
        </w:rPr>
        <w:t xml:space="preserve"> E</w:t>
      </w:r>
      <w:r w:rsidRPr="002C327C">
        <w:rPr>
          <w:i/>
        </w:rPr>
        <w:t>xpanding the Economic and Innovation Opportunities of Spectrum Through Incentive Auctions</w:t>
      </w:r>
      <w:r w:rsidRPr="002C327C">
        <w:t>, GN Docket No. 12-268, Report and Order, 29 FCC Rcd 6567</w:t>
      </w:r>
      <w:r>
        <w:t>, 6815-6820</w:t>
      </w:r>
      <w:r w:rsidRPr="002C327C">
        <w:t xml:space="preserve"> (2014), </w:t>
      </w:r>
      <w:r w:rsidRPr="002C327C">
        <w:rPr>
          <w:i/>
        </w:rPr>
        <w:t>affirmed, National Association of Broadcasters v. FCC</w:t>
      </w:r>
      <w:r w:rsidRPr="002C327C">
        <w:t>, No. 14-1154 (D.C. Cir. June 12, 2015) (“</w:t>
      </w:r>
      <w:r w:rsidRPr="002C327C">
        <w:rPr>
          <w:i/>
        </w:rPr>
        <w:t>Incentive Auction R&amp;O</w:t>
      </w:r>
      <w:r>
        <w:t xml:space="preserve">”); </w:t>
      </w:r>
      <w:r w:rsidRPr="006F5FE3">
        <w:rPr>
          <w:i/>
        </w:rPr>
        <w:t>see also</w:t>
      </w:r>
      <w:r w:rsidRPr="006F5FE3">
        <w:t xml:space="preserve"> </w:t>
      </w:r>
      <w:r w:rsidRPr="006F5FE3">
        <w:rPr>
          <w:i/>
        </w:rPr>
        <w:t>Expanding the Economic and Innovation Opportunities of Spectrum Through Incentive Auctions</w:t>
      </w:r>
      <w:r w:rsidRPr="006F5FE3">
        <w:t>, GN Docket 12-268, Second Order on Reconsideration, FCC 15-69, 30 FCC Rcd 6746 (2015</w:t>
      </w:r>
      <w:r>
        <w:t>).</w:t>
      </w:r>
    </w:p>
  </w:footnote>
  <w:footnote w:id="3">
    <w:p w:rsidR="00FB2521" w:rsidRDefault="00FB2521">
      <w:pPr>
        <w:pStyle w:val="FootnoteText"/>
      </w:pPr>
      <w:r>
        <w:rPr>
          <w:rStyle w:val="FootnoteReference"/>
        </w:rPr>
        <w:footnoteRef/>
      </w:r>
      <w:r>
        <w:t xml:space="preserve"> </w:t>
      </w:r>
      <w:r w:rsidRPr="00FB2521">
        <w:rPr>
          <w:i/>
        </w:rPr>
        <w:t>Media Bureau Finalizes Reimbursement Form for Submission to OMB and Adopts Catalog of Expenses</w:t>
      </w:r>
      <w:r w:rsidRPr="00FB2521">
        <w:t>, GN Docket No. 12-268, Public Notice, 30 FCC Rcd 11701 (2015) (</w:t>
      </w:r>
      <w:r w:rsidRPr="00FB2521">
        <w:rPr>
          <w:i/>
        </w:rPr>
        <w:t>Reimbursement Form PN</w:t>
      </w:r>
      <w:r w:rsidRPr="00FB2521">
        <w:t>).</w:t>
      </w:r>
    </w:p>
  </w:footnote>
  <w:footnote w:id="4">
    <w:p w:rsidR="002066C6" w:rsidRDefault="002066C6">
      <w:pPr>
        <w:pStyle w:val="FootnoteText"/>
      </w:pPr>
      <w:r>
        <w:rPr>
          <w:rStyle w:val="FootnoteReference"/>
        </w:rPr>
        <w:footnoteRef/>
      </w:r>
      <w:r>
        <w:t xml:space="preserve"> Within three months of release of the </w:t>
      </w:r>
      <w:r w:rsidRPr="002E00F8">
        <w:rPr>
          <w:i/>
        </w:rPr>
        <w:t>Channel Reassignment Public Notice</w:t>
      </w:r>
      <w:r>
        <w:t xml:space="preserve">, broadcasters and MVPDs incurring expenses related to the channel repack will submit an estimate of their expenses.  Broadcasters will also submit information about their current equipment and construction plans.  </w:t>
      </w:r>
      <w:r w:rsidRPr="00A054AD">
        <w:rPr>
          <w:i/>
        </w:rPr>
        <w:t>Incentive Auction R&amp;O</w:t>
      </w:r>
      <w:r>
        <w:rPr>
          <w:i/>
        </w:rPr>
        <w:t>,</w:t>
      </w:r>
      <w:r>
        <w:t xml:space="preserve"> </w:t>
      </w:r>
      <w:r w:rsidRPr="002C327C">
        <w:t xml:space="preserve">29 FCC Rcd </w:t>
      </w:r>
      <w:r>
        <w:t xml:space="preserve">at 6817.  Form 399 includes </w:t>
      </w:r>
      <w:r w:rsidR="008C6EFF">
        <w:t xml:space="preserve">the </w:t>
      </w:r>
      <w:r w:rsidR="00FA199E">
        <w:t>catalog of expenses</w:t>
      </w:r>
      <w:r w:rsidR="008C6EFF">
        <w:t xml:space="preserve"> </w:t>
      </w:r>
      <w:r>
        <w:t xml:space="preserve">embedded </w:t>
      </w:r>
      <w:r w:rsidR="008C6EFF">
        <w:t>within it</w:t>
      </w:r>
      <w:r>
        <w:t xml:space="preserve">.  The </w:t>
      </w:r>
      <w:r w:rsidR="00FA199E">
        <w:t xml:space="preserve">catalog of expenses </w:t>
      </w:r>
      <w:r>
        <w:t>is not exhaustive, but includes baseline costs for a</w:t>
      </w:r>
      <w:r w:rsidR="008C6EFF">
        <w:t>nd services commonly required for</w:t>
      </w:r>
      <w:r>
        <w:t xml:space="preserve"> constructing new broadcast facilities.  Estimates that exceed those in the </w:t>
      </w:r>
      <w:r w:rsidR="00FA199E">
        <w:t xml:space="preserve">catalog of expenses </w:t>
      </w:r>
      <w:r>
        <w:t xml:space="preserve">must be accompanied by an explanation.  Cost documentation (invoices, contracts, etc.) must be uploaded along with each request for reimbursement submitted throughout the reimbursement period.  </w:t>
      </w:r>
      <w:r w:rsidRPr="007D0D15">
        <w:rPr>
          <w:i/>
        </w:rPr>
        <w:t xml:space="preserve">See </w:t>
      </w:r>
      <w:r w:rsidR="00943128" w:rsidRPr="00FB2521">
        <w:rPr>
          <w:i/>
        </w:rPr>
        <w:t>Reimbursement Form PN</w:t>
      </w:r>
      <w:r>
        <w:t>, 30 FCC Rcd 11701.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93" w:rsidRDefault="00813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93" w:rsidRDefault="00813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DF32A2" w:rsidP="00DF32A2">
    <w:pPr>
      <w:pStyle w:val="Header"/>
      <w:ind w:left="720"/>
    </w:pPr>
    <w:r w:rsidRPr="00B338A9">
      <w:rPr>
        <w:noProof/>
        <w:sz w:val="24"/>
      </w:rPr>
      <w:drawing>
        <wp:anchor distT="0" distB="0" distL="114300" distR="114300" simplePos="0" relativeHeight="251659264" behindDoc="1" locked="0" layoutInCell="0" allowOverlap="1" wp14:anchorId="57353C41" wp14:editId="30557FC7">
          <wp:simplePos x="0" y="0"/>
          <wp:positionH relativeFrom="column">
            <wp:posOffset>84667</wp:posOffset>
          </wp:positionH>
          <wp:positionV relativeFrom="page">
            <wp:posOffset>593725</wp:posOffset>
          </wp:positionV>
          <wp:extent cx="530352" cy="530352"/>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 cy="530352"/>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6192" behindDoc="0" locked="0" layoutInCell="0" allowOverlap="1" wp14:anchorId="5B13B9ED" wp14:editId="1ED0A1A0">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13B9ED"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t xml:space="preserve">  </w:t>
    </w:r>
    <w:r>
      <w:tab/>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44D53983" wp14:editId="430C2DE2">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1A23FB"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5490208" wp14:editId="1CDFB8F6">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EA3DD8">
                            <w:rPr>
                              <w:rFonts w:ascii="Arial" w:hAnsi="Arial"/>
                              <w:b/>
                              <w:sz w:val="16"/>
                            </w:rPr>
                            <w:instrText>HYPERLINK "https://www.fcc.gov/"</w:instrText>
                          </w:r>
                          <w:r w:rsidR="00EA3DD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EA3DD8">
                      <w:rPr>
                        <w:rFonts w:ascii="Arial" w:hAnsi="Arial"/>
                        <w:b/>
                        <w:sz w:val="16"/>
                      </w:rPr>
                      <w:instrText>HYPERLINK "https://www.fcc.gov/"</w:instrText>
                    </w:r>
                    <w:r w:rsidR="00EA3DD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934DF6"/>
    <w:multiLevelType w:val="hybridMultilevel"/>
    <w:tmpl w:val="23443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B6"/>
    <w:rsid w:val="00036039"/>
    <w:rsid w:val="00037F90"/>
    <w:rsid w:val="00076F30"/>
    <w:rsid w:val="000875BF"/>
    <w:rsid w:val="000908A4"/>
    <w:rsid w:val="00096D8C"/>
    <w:rsid w:val="000B5AED"/>
    <w:rsid w:val="000C0B65"/>
    <w:rsid w:val="000E05FE"/>
    <w:rsid w:val="000E3D42"/>
    <w:rsid w:val="00100639"/>
    <w:rsid w:val="00122BD5"/>
    <w:rsid w:val="00133F79"/>
    <w:rsid w:val="00194A66"/>
    <w:rsid w:val="001C52E8"/>
    <w:rsid w:val="001D6BCF"/>
    <w:rsid w:val="001E01CA"/>
    <w:rsid w:val="002066C6"/>
    <w:rsid w:val="00275CF5"/>
    <w:rsid w:val="0028301F"/>
    <w:rsid w:val="00285017"/>
    <w:rsid w:val="002A2D2E"/>
    <w:rsid w:val="002C00E8"/>
    <w:rsid w:val="002D0759"/>
    <w:rsid w:val="002E00F8"/>
    <w:rsid w:val="002E0B47"/>
    <w:rsid w:val="00343749"/>
    <w:rsid w:val="003660ED"/>
    <w:rsid w:val="003B0550"/>
    <w:rsid w:val="003B694F"/>
    <w:rsid w:val="003F171C"/>
    <w:rsid w:val="00412FC5"/>
    <w:rsid w:val="00422276"/>
    <w:rsid w:val="004242F1"/>
    <w:rsid w:val="00445A00"/>
    <w:rsid w:val="00451B0F"/>
    <w:rsid w:val="00455A57"/>
    <w:rsid w:val="00463023"/>
    <w:rsid w:val="004B58FA"/>
    <w:rsid w:val="004C2EE3"/>
    <w:rsid w:val="004E4A22"/>
    <w:rsid w:val="00511968"/>
    <w:rsid w:val="00521CF4"/>
    <w:rsid w:val="0055614C"/>
    <w:rsid w:val="005B05D7"/>
    <w:rsid w:val="005D668A"/>
    <w:rsid w:val="005E14C2"/>
    <w:rsid w:val="005F4118"/>
    <w:rsid w:val="00607BA5"/>
    <w:rsid w:val="0061180A"/>
    <w:rsid w:val="006221AF"/>
    <w:rsid w:val="00626EB6"/>
    <w:rsid w:val="00630952"/>
    <w:rsid w:val="00640F74"/>
    <w:rsid w:val="00655D03"/>
    <w:rsid w:val="00683388"/>
    <w:rsid w:val="00683F84"/>
    <w:rsid w:val="006A1F49"/>
    <w:rsid w:val="006A6A81"/>
    <w:rsid w:val="006B1456"/>
    <w:rsid w:val="006B4BBF"/>
    <w:rsid w:val="006F7393"/>
    <w:rsid w:val="0070224F"/>
    <w:rsid w:val="007115F7"/>
    <w:rsid w:val="007679E5"/>
    <w:rsid w:val="00785689"/>
    <w:rsid w:val="0079754B"/>
    <w:rsid w:val="007A1E6D"/>
    <w:rsid w:val="007B0EB2"/>
    <w:rsid w:val="007E6B31"/>
    <w:rsid w:val="007F413A"/>
    <w:rsid w:val="00810B6F"/>
    <w:rsid w:val="00813593"/>
    <w:rsid w:val="00822CE0"/>
    <w:rsid w:val="00841AB1"/>
    <w:rsid w:val="008C68F1"/>
    <w:rsid w:val="008C6EFF"/>
    <w:rsid w:val="008D641B"/>
    <w:rsid w:val="008E4BB6"/>
    <w:rsid w:val="00921803"/>
    <w:rsid w:val="00926503"/>
    <w:rsid w:val="00943128"/>
    <w:rsid w:val="009726D8"/>
    <w:rsid w:val="00980B8B"/>
    <w:rsid w:val="009E4128"/>
    <w:rsid w:val="009F76DB"/>
    <w:rsid w:val="00A32C3B"/>
    <w:rsid w:val="00A45F4F"/>
    <w:rsid w:val="00A55EEE"/>
    <w:rsid w:val="00A600A9"/>
    <w:rsid w:val="00A814AD"/>
    <w:rsid w:val="00AA55B7"/>
    <w:rsid w:val="00AA5B9E"/>
    <w:rsid w:val="00AB2407"/>
    <w:rsid w:val="00AB53DF"/>
    <w:rsid w:val="00AC424B"/>
    <w:rsid w:val="00AF46DC"/>
    <w:rsid w:val="00B07E5C"/>
    <w:rsid w:val="00B15ABB"/>
    <w:rsid w:val="00B20363"/>
    <w:rsid w:val="00B338A9"/>
    <w:rsid w:val="00B35FDE"/>
    <w:rsid w:val="00B679AB"/>
    <w:rsid w:val="00B739FB"/>
    <w:rsid w:val="00B76DB8"/>
    <w:rsid w:val="00B811F7"/>
    <w:rsid w:val="00BA4297"/>
    <w:rsid w:val="00BA5DC6"/>
    <w:rsid w:val="00BA6196"/>
    <w:rsid w:val="00BC5B97"/>
    <w:rsid w:val="00BC6D8C"/>
    <w:rsid w:val="00C34006"/>
    <w:rsid w:val="00C426B1"/>
    <w:rsid w:val="00C64AD3"/>
    <w:rsid w:val="00C66160"/>
    <w:rsid w:val="00C721AC"/>
    <w:rsid w:val="00C808BD"/>
    <w:rsid w:val="00C90D6A"/>
    <w:rsid w:val="00C93529"/>
    <w:rsid w:val="00CA247E"/>
    <w:rsid w:val="00CC72B6"/>
    <w:rsid w:val="00CC776F"/>
    <w:rsid w:val="00D0218D"/>
    <w:rsid w:val="00D25FB5"/>
    <w:rsid w:val="00D44223"/>
    <w:rsid w:val="00D47505"/>
    <w:rsid w:val="00D745E1"/>
    <w:rsid w:val="00DA2529"/>
    <w:rsid w:val="00DB130A"/>
    <w:rsid w:val="00DB2EBB"/>
    <w:rsid w:val="00DC10A1"/>
    <w:rsid w:val="00DC655F"/>
    <w:rsid w:val="00DD0B59"/>
    <w:rsid w:val="00DD1618"/>
    <w:rsid w:val="00DD7EBD"/>
    <w:rsid w:val="00DE2665"/>
    <w:rsid w:val="00DE4C8D"/>
    <w:rsid w:val="00DF0810"/>
    <w:rsid w:val="00DF32A2"/>
    <w:rsid w:val="00DF62B6"/>
    <w:rsid w:val="00E07225"/>
    <w:rsid w:val="00E5409F"/>
    <w:rsid w:val="00EA3DD8"/>
    <w:rsid w:val="00EB4ACC"/>
    <w:rsid w:val="00EC4D50"/>
    <w:rsid w:val="00EE6488"/>
    <w:rsid w:val="00F021FA"/>
    <w:rsid w:val="00F62E97"/>
    <w:rsid w:val="00F64209"/>
    <w:rsid w:val="00F8591E"/>
    <w:rsid w:val="00F93BF5"/>
    <w:rsid w:val="00FA199E"/>
    <w:rsid w:val="00FB2521"/>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36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link w:val="FootnoteTextChar1"/>
    <w:rsid w:val="000E3D42"/>
    <w:pPr>
      <w:spacing w:after="120"/>
    </w:pPr>
  </w:style>
  <w:style w:type="character" w:styleId="FootnoteReference">
    <w:name w:val="footnote reference"/>
    <w:aliases w:val="(NECG) Footnote Reference,o,fr,Style 3,Appel note de bas de p,Style 12,Style 124,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Paranum">
    <w:name w:val="Paranum"/>
    <w:basedOn w:val="Normal"/>
    <w:rsid w:val="008E4BB6"/>
    <w:pPr>
      <w:numPr>
        <w:numId w:val="8"/>
      </w:numPr>
      <w:tabs>
        <w:tab w:val="clear" w:pos="1080"/>
      </w:tabs>
      <w:spacing w:after="220"/>
      <w:jc w:val="both"/>
    </w:pPr>
    <w:rPr>
      <w:snapToGrid/>
      <w:kern w:val="0"/>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locked/>
    <w:rsid w:val="008E4BB6"/>
  </w:style>
  <w:style w:type="character" w:styleId="CommentReference">
    <w:name w:val="annotation reference"/>
    <w:basedOn w:val="DefaultParagraphFont"/>
    <w:uiPriority w:val="99"/>
    <w:unhideWhenUsed/>
    <w:rsid w:val="008E4BB6"/>
    <w:rPr>
      <w:sz w:val="16"/>
      <w:szCs w:val="16"/>
    </w:rPr>
  </w:style>
  <w:style w:type="paragraph" w:styleId="CommentText">
    <w:name w:val="annotation text"/>
    <w:basedOn w:val="Normal"/>
    <w:link w:val="CommentTextChar"/>
    <w:uiPriority w:val="99"/>
    <w:unhideWhenUsed/>
    <w:rsid w:val="008E4BB6"/>
    <w:pPr>
      <w:widowControl/>
    </w:pPr>
    <w:rPr>
      <w:snapToGrid/>
      <w:kern w:val="0"/>
      <w:sz w:val="20"/>
    </w:rPr>
  </w:style>
  <w:style w:type="character" w:customStyle="1" w:styleId="CommentTextChar">
    <w:name w:val="Comment Text Char"/>
    <w:basedOn w:val="DefaultParagraphFont"/>
    <w:link w:val="CommentText"/>
    <w:uiPriority w:val="99"/>
    <w:rsid w:val="008E4BB6"/>
  </w:style>
  <w:style w:type="paragraph" w:styleId="CommentSubject">
    <w:name w:val="annotation subject"/>
    <w:basedOn w:val="CommentText"/>
    <w:next w:val="CommentText"/>
    <w:link w:val="CommentSubjectChar"/>
    <w:rsid w:val="002D0759"/>
    <w:pPr>
      <w:widowControl w:val="0"/>
    </w:pPr>
    <w:rPr>
      <w:b/>
      <w:bCs/>
      <w:snapToGrid w:val="0"/>
      <w:kern w:val="28"/>
    </w:rPr>
  </w:style>
  <w:style w:type="character" w:customStyle="1" w:styleId="CommentSubjectChar">
    <w:name w:val="Comment Subject Char"/>
    <w:basedOn w:val="CommentTextChar"/>
    <w:link w:val="CommentSubject"/>
    <w:rsid w:val="002D0759"/>
    <w:rPr>
      <w:b/>
      <w:bCs/>
      <w:snapToGrid w:val="0"/>
      <w:kern w:val="28"/>
    </w:rPr>
  </w:style>
  <w:style w:type="character" w:styleId="FollowedHyperlink">
    <w:name w:val="FollowedHyperlink"/>
    <w:basedOn w:val="DefaultParagraphFont"/>
    <w:rsid w:val="002D075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36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link w:val="FootnoteTextChar1"/>
    <w:rsid w:val="000E3D42"/>
    <w:pPr>
      <w:spacing w:after="120"/>
    </w:pPr>
  </w:style>
  <w:style w:type="character" w:styleId="FootnoteReference">
    <w:name w:val="footnote reference"/>
    <w:aliases w:val="(NECG) Footnote Reference,o,fr,Style 3,Appel note de bas de p,Style 12,Style 124,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Paranum">
    <w:name w:val="Paranum"/>
    <w:basedOn w:val="Normal"/>
    <w:rsid w:val="008E4BB6"/>
    <w:pPr>
      <w:numPr>
        <w:numId w:val="8"/>
      </w:numPr>
      <w:tabs>
        <w:tab w:val="clear" w:pos="1080"/>
      </w:tabs>
      <w:spacing w:after="220"/>
      <w:jc w:val="both"/>
    </w:pPr>
    <w:rPr>
      <w:snapToGrid/>
      <w:kern w:val="0"/>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locked/>
    <w:rsid w:val="008E4BB6"/>
  </w:style>
  <w:style w:type="character" w:styleId="CommentReference">
    <w:name w:val="annotation reference"/>
    <w:basedOn w:val="DefaultParagraphFont"/>
    <w:uiPriority w:val="99"/>
    <w:unhideWhenUsed/>
    <w:rsid w:val="008E4BB6"/>
    <w:rPr>
      <w:sz w:val="16"/>
      <w:szCs w:val="16"/>
    </w:rPr>
  </w:style>
  <w:style w:type="paragraph" w:styleId="CommentText">
    <w:name w:val="annotation text"/>
    <w:basedOn w:val="Normal"/>
    <w:link w:val="CommentTextChar"/>
    <w:uiPriority w:val="99"/>
    <w:unhideWhenUsed/>
    <w:rsid w:val="008E4BB6"/>
    <w:pPr>
      <w:widowControl/>
    </w:pPr>
    <w:rPr>
      <w:snapToGrid/>
      <w:kern w:val="0"/>
      <w:sz w:val="20"/>
    </w:rPr>
  </w:style>
  <w:style w:type="character" w:customStyle="1" w:styleId="CommentTextChar">
    <w:name w:val="Comment Text Char"/>
    <w:basedOn w:val="DefaultParagraphFont"/>
    <w:link w:val="CommentText"/>
    <w:uiPriority w:val="99"/>
    <w:rsid w:val="008E4BB6"/>
  </w:style>
  <w:style w:type="paragraph" w:styleId="CommentSubject">
    <w:name w:val="annotation subject"/>
    <w:basedOn w:val="CommentText"/>
    <w:next w:val="CommentText"/>
    <w:link w:val="CommentSubjectChar"/>
    <w:rsid w:val="002D0759"/>
    <w:pPr>
      <w:widowControl w:val="0"/>
    </w:pPr>
    <w:rPr>
      <w:b/>
      <w:bCs/>
      <w:snapToGrid w:val="0"/>
      <w:kern w:val="28"/>
    </w:rPr>
  </w:style>
  <w:style w:type="character" w:customStyle="1" w:styleId="CommentSubjectChar">
    <w:name w:val="Comment Subject Char"/>
    <w:basedOn w:val="CommentTextChar"/>
    <w:link w:val="CommentSubject"/>
    <w:rsid w:val="002D0759"/>
    <w:rPr>
      <w:b/>
      <w:bCs/>
      <w:snapToGrid w:val="0"/>
      <w:kern w:val="28"/>
    </w:rPr>
  </w:style>
  <w:style w:type="character" w:styleId="FollowedHyperlink">
    <w:name w:val="FollowedHyperlink"/>
    <w:basedOn w:val="DefaultParagraphFont"/>
    <w:rsid w:val="002D0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64090">
      <w:bodyDiv w:val="1"/>
      <w:marLeft w:val="0"/>
      <w:marRight w:val="0"/>
      <w:marTop w:val="0"/>
      <w:marBottom w:val="0"/>
      <w:divBdr>
        <w:top w:val="none" w:sz="0" w:space="0" w:color="auto"/>
        <w:left w:val="none" w:sz="0" w:space="0" w:color="auto"/>
        <w:bottom w:val="none" w:sz="0" w:space="0" w:color="auto"/>
        <w:right w:val="none" w:sz="0" w:space="0" w:color="auto"/>
      </w:divBdr>
    </w:div>
    <w:div w:id="19689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2demo.fcc.gov/dataentry/login.html" TargetMode="External"/><Relationship Id="rId13" Type="http://schemas.openxmlformats.org/officeDocument/2006/relationships/hyperlink" Target="mailto:Charles.Meisch@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phael.Sznajder@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ffrey.Neumann@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rm399beta@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incentiveauctions/reimbursemen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369</Words>
  <Characters>2134</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2016-10-04T12:12:00Z</dcterms:created>
  <dcterms:modified xsi:type="dcterms:W3CDTF">2016-10-04T12:12:00Z</dcterms:modified>
  <cp:category> </cp:category>
  <cp:contentStatus> </cp:contentStatus>
</cp:coreProperties>
</file>