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04C2" w14:textId="77777777" w:rsidR="00FF70DE" w:rsidRPr="0031182F" w:rsidRDefault="00FF70DE" w:rsidP="006D7ED8">
      <w:pPr>
        <w:rPr>
          <w:b/>
          <w:szCs w:val="22"/>
        </w:rPr>
      </w:pPr>
      <w:bookmarkStart w:id="0" w:name="_GoBack"/>
      <w:bookmarkEnd w:id="0"/>
    </w:p>
    <w:p w14:paraId="05381996" w14:textId="05A6BD14" w:rsidR="00D47505" w:rsidRPr="0031182F" w:rsidRDefault="00811A46" w:rsidP="00D47505">
      <w:pPr>
        <w:jc w:val="right"/>
        <w:rPr>
          <w:b/>
          <w:szCs w:val="22"/>
        </w:rPr>
      </w:pPr>
      <w:r>
        <w:rPr>
          <w:b/>
          <w:szCs w:val="22"/>
        </w:rPr>
        <w:t xml:space="preserve">DA </w:t>
      </w:r>
      <w:r w:rsidR="006D7ED8">
        <w:rPr>
          <w:b/>
          <w:szCs w:val="22"/>
        </w:rPr>
        <w:t>16-1141</w:t>
      </w:r>
    </w:p>
    <w:p w14:paraId="543A3003" w14:textId="232C61B7" w:rsidR="00D47505" w:rsidRPr="0031182F" w:rsidRDefault="00B338A9" w:rsidP="00D47505">
      <w:pPr>
        <w:spacing w:before="60"/>
        <w:jc w:val="right"/>
        <w:rPr>
          <w:b/>
          <w:szCs w:val="22"/>
        </w:rPr>
      </w:pPr>
      <w:r w:rsidRPr="0031182F">
        <w:rPr>
          <w:b/>
          <w:szCs w:val="22"/>
        </w:rPr>
        <w:t xml:space="preserve">Released:  </w:t>
      </w:r>
      <w:r w:rsidR="007350CD">
        <w:rPr>
          <w:b/>
          <w:szCs w:val="22"/>
        </w:rPr>
        <w:t>October 6</w:t>
      </w:r>
      <w:r w:rsidR="006D7ED8">
        <w:rPr>
          <w:b/>
          <w:szCs w:val="22"/>
        </w:rPr>
        <w:t>, 2016</w:t>
      </w:r>
    </w:p>
    <w:p w14:paraId="5750B67C" w14:textId="1A4C061E" w:rsidR="00D47505" w:rsidRDefault="00D47505" w:rsidP="00D47505">
      <w:pPr>
        <w:jc w:val="right"/>
        <w:rPr>
          <w:sz w:val="24"/>
        </w:rPr>
      </w:pPr>
    </w:p>
    <w:p w14:paraId="4E759341" w14:textId="6D3055E2" w:rsidR="0031182F" w:rsidRPr="0031182F" w:rsidRDefault="0031182F" w:rsidP="001A4DA7">
      <w:pPr>
        <w:jc w:val="center"/>
        <w:rPr>
          <w:b/>
          <w:szCs w:val="22"/>
        </w:rPr>
      </w:pPr>
      <w:r>
        <w:rPr>
          <w:b/>
          <w:szCs w:val="22"/>
        </w:rPr>
        <w:t xml:space="preserve">WIRELINE COMPETITION BUREAU ANNOUNCES </w:t>
      </w:r>
      <w:r w:rsidR="00EE03EB">
        <w:rPr>
          <w:b/>
          <w:szCs w:val="22"/>
        </w:rPr>
        <w:t xml:space="preserve">POSTING OF </w:t>
      </w:r>
      <w:r w:rsidR="007B0FB6">
        <w:rPr>
          <w:b/>
          <w:szCs w:val="22"/>
        </w:rPr>
        <w:t xml:space="preserve">INFORMATION REGARDING </w:t>
      </w:r>
      <w:r w:rsidR="002C0B63">
        <w:rPr>
          <w:b/>
          <w:szCs w:val="22"/>
        </w:rPr>
        <w:t>DE</w:t>
      </w:r>
      <w:r w:rsidR="00FA03D8">
        <w:rPr>
          <w:b/>
          <w:szCs w:val="22"/>
        </w:rPr>
        <w:t>PLOYMENT OBLIGATION</w:t>
      </w:r>
      <w:r w:rsidR="007B0FB6">
        <w:rPr>
          <w:b/>
          <w:szCs w:val="22"/>
        </w:rPr>
        <w:t>S</w:t>
      </w:r>
      <w:r w:rsidR="00FA03D8">
        <w:rPr>
          <w:b/>
          <w:szCs w:val="22"/>
        </w:rPr>
        <w:t xml:space="preserve"> </w:t>
      </w:r>
      <w:r w:rsidR="002C0B63">
        <w:rPr>
          <w:b/>
          <w:szCs w:val="22"/>
        </w:rPr>
        <w:t>FOR INCUMBENT RATE-OF-RETURN CARRIERS</w:t>
      </w:r>
    </w:p>
    <w:p w14:paraId="0F9F0726" w14:textId="77777777" w:rsidR="0031182F" w:rsidRPr="0031182F" w:rsidRDefault="0031182F" w:rsidP="0031182F">
      <w:pPr>
        <w:jc w:val="center"/>
        <w:rPr>
          <w:b/>
          <w:szCs w:val="22"/>
        </w:rPr>
      </w:pPr>
    </w:p>
    <w:p w14:paraId="62E1EACF" w14:textId="77777777" w:rsidR="00D47505" w:rsidRPr="0031182F" w:rsidRDefault="0031182F" w:rsidP="00D47505">
      <w:pPr>
        <w:jc w:val="center"/>
        <w:rPr>
          <w:b/>
          <w:szCs w:val="22"/>
        </w:rPr>
      </w:pPr>
      <w:r w:rsidRPr="0031182F">
        <w:rPr>
          <w:b/>
          <w:szCs w:val="22"/>
        </w:rPr>
        <w:t>WC Docket No. 10-90</w:t>
      </w:r>
    </w:p>
    <w:p w14:paraId="0FF9F546" w14:textId="77777777" w:rsidR="0031182F" w:rsidRDefault="0031182F" w:rsidP="00D47505">
      <w:pPr>
        <w:jc w:val="center"/>
        <w:rPr>
          <w:b/>
          <w:sz w:val="24"/>
        </w:rPr>
      </w:pPr>
    </w:p>
    <w:p w14:paraId="733060C2" w14:textId="7EC5926B" w:rsidR="00A75AFC" w:rsidRDefault="002C0B63" w:rsidP="0031182F">
      <w:pPr>
        <w:autoSpaceDE w:val="0"/>
        <w:autoSpaceDN w:val="0"/>
        <w:adjustRightInd w:val="0"/>
        <w:spacing w:after="120"/>
        <w:ind w:firstLine="720"/>
      </w:pPr>
      <w:r>
        <w:t xml:space="preserve">The Wireline Competition Bureau </w:t>
      </w:r>
      <w:r w:rsidR="00C84366">
        <w:t xml:space="preserve">(Bureau) </w:t>
      </w:r>
      <w:r>
        <w:t xml:space="preserve">announces the posting of </w:t>
      </w:r>
      <w:r w:rsidR="007B0FB6">
        <w:t xml:space="preserve">information regarding </w:t>
      </w:r>
      <w:r>
        <w:t xml:space="preserve">the </w:t>
      </w:r>
      <w:r w:rsidR="00FA03D8">
        <w:t>mandatory deployment obligation</w:t>
      </w:r>
      <w:r w:rsidR="007B0FB6">
        <w:t>s</w:t>
      </w:r>
      <w:r w:rsidR="00FA03D8">
        <w:t xml:space="preserve"> </w:t>
      </w:r>
      <w:r>
        <w:t>that will apply to rate-of-return carriers who remain on legacy universal service support mechanisms</w:t>
      </w:r>
      <w:r w:rsidR="008C655D">
        <w:t>.</w:t>
      </w:r>
      <w:r w:rsidR="00A84A1C">
        <w:rPr>
          <w:rStyle w:val="FootnoteReference"/>
        </w:rPr>
        <w:footnoteReference w:id="2"/>
      </w:r>
      <w:r w:rsidR="00A75AFC">
        <w:t xml:space="preserve"> </w:t>
      </w:r>
      <w:r>
        <w:t xml:space="preserve"> </w:t>
      </w:r>
      <w:r w:rsidR="007B0FB6">
        <w:t xml:space="preserve">Carriers may select one of two </w:t>
      </w:r>
      <w:r w:rsidR="003E0AA0">
        <w:t>methods for determining their deployment obligation</w:t>
      </w:r>
      <w:r w:rsidR="00375B3C">
        <w:t xml:space="preserve"> that must be fulfilled over a five-year period (2017-2021)</w:t>
      </w:r>
      <w:r w:rsidR="003E0AA0">
        <w:t xml:space="preserve">.  </w:t>
      </w:r>
      <w:r w:rsidR="00FA03D8">
        <w:t xml:space="preserve">The </w:t>
      </w:r>
      <w:r w:rsidR="003E0AA0">
        <w:t xml:space="preserve">deployment obligation under each method </w:t>
      </w:r>
      <w:r w:rsidR="00FA03D8">
        <w:t xml:space="preserve">for each study area </w:t>
      </w:r>
      <w:r w:rsidR="003E0AA0">
        <w:t>is</w:t>
      </w:r>
      <w:r w:rsidR="00FA03D8">
        <w:t xml:space="preserve"> available at:  </w:t>
      </w:r>
      <w:hyperlink r:id="rId8" w:history="1">
        <w:r w:rsidR="00074B70">
          <w:rPr>
            <w:rStyle w:val="Hyperlink"/>
          </w:rPr>
          <w:t>https://transition.fcc.gov/wcb/SacBuildoutSheetDisplay.xlsx</w:t>
        </w:r>
      </w:hyperlink>
      <w:r w:rsidR="00FA03D8">
        <w:t xml:space="preserve">.  </w:t>
      </w:r>
      <w:r w:rsidR="00927661">
        <w:t>At a later date, t</w:t>
      </w:r>
      <w:r w:rsidR="00FA03D8">
        <w:t xml:space="preserve">he Bureau will issue a public notice with information regarding how each carrier </w:t>
      </w:r>
      <w:r w:rsidR="00C65475">
        <w:t>will indicate</w:t>
      </w:r>
      <w:r w:rsidR="00FA03D8">
        <w:t xml:space="preserve"> which </w:t>
      </w:r>
      <w:r w:rsidR="003E0AA0">
        <w:t>method</w:t>
      </w:r>
      <w:r w:rsidR="00FA03D8">
        <w:t xml:space="preserve"> it is selecting</w:t>
      </w:r>
      <w:r w:rsidR="00C65475">
        <w:t xml:space="preserve"> to the Universal Service Administrative Company (USAC)</w:t>
      </w:r>
      <w:r w:rsidR="00FA03D8">
        <w:t>.</w:t>
      </w:r>
      <w:r>
        <w:t xml:space="preserve"> </w:t>
      </w:r>
    </w:p>
    <w:p w14:paraId="5BDA50DD" w14:textId="3110C9DC" w:rsidR="00C84366" w:rsidRDefault="00FA03D8" w:rsidP="0031182F">
      <w:pPr>
        <w:autoSpaceDE w:val="0"/>
        <w:autoSpaceDN w:val="0"/>
        <w:adjustRightInd w:val="0"/>
        <w:spacing w:after="120"/>
        <w:ind w:firstLine="720"/>
      </w:pPr>
      <w:r>
        <w:t xml:space="preserve">In the </w:t>
      </w:r>
      <w:r w:rsidRPr="00FA03D8">
        <w:rPr>
          <w:i/>
        </w:rPr>
        <w:t>Rate-of-Return Reform Order</w:t>
      </w:r>
      <w:r>
        <w:t>, the Commission adopted specific, defined deployment obligations that are a condition of the receipt of high-cost funding for those carriers continuing to receive support based on embedded costs.</w:t>
      </w:r>
      <w:r w:rsidR="003A142D">
        <w:rPr>
          <w:rStyle w:val="FootnoteReference"/>
        </w:rPr>
        <w:footnoteReference w:id="3"/>
      </w:r>
      <w:r w:rsidR="003A142D">
        <w:t xml:space="preserve">  </w:t>
      </w:r>
      <w:r w:rsidR="00356DAC">
        <w:t>As required by the Commission, the Nation</w:t>
      </w:r>
      <w:r w:rsidR="00C65475">
        <w:t>al</w:t>
      </w:r>
      <w:r w:rsidR="00356DAC">
        <w:t xml:space="preserve"> Exchange Carrier Association (NECA) developed a five-year forecast of the total Connect America Fund-Broadband Loop Support (CAF-BLS) for each rate-of-return carrier.</w:t>
      </w:r>
      <w:r w:rsidR="0053591A">
        <w:rPr>
          <w:rStyle w:val="FootnoteReference"/>
        </w:rPr>
        <w:footnoteReference w:id="4"/>
      </w:r>
      <w:r w:rsidR="00356DAC">
        <w:t xml:space="preserve">  That forecast </w:t>
      </w:r>
      <w:r w:rsidR="00A84A1C">
        <w:t xml:space="preserve">is </w:t>
      </w:r>
      <w:r w:rsidR="00356DAC">
        <w:t>multiplied</w:t>
      </w:r>
      <w:r w:rsidR="001459B7">
        <w:t xml:space="preserve"> </w:t>
      </w:r>
      <w:r w:rsidR="00356DAC">
        <w:t xml:space="preserve">by an appropriate percentage based on that carrier’s </w:t>
      </w:r>
      <w:r w:rsidR="003E0AA0">
        <w:t xml:space="preserve">reported </w:t>
      </w:r>
      <w:r w:rsidR="00356DAC">
        <w:t>deployment of 10 Mbps downstream/1 Mbps upstream (10/1 Mbps) broadband service within its study area.</w:t>
      </w:r>
      <w:r w:rsidR="00356DAC">
        <w:rPr>
          <w:rStyle w:val="FootnoteReference"/>
        </w:rPr>
        <w:footnoteReference w:id="5"/>
      </w:r>
      <w:r w:rsidR="00356DAC">
        <w:t xml:space="preserve">  </w:t>
      </w:r>
    </w:p>
    <w:p w14:paraId="23910EAA" w14:textId="0AEBB978" w:rsidR="00356DAC" w:rsidRDefault="00A84A1C" w:rsidP="006D7ED8">
      <w:pPr>
        <w:widowControl/>
        <w:autoSpaceDE w:val="0"/>
        <w:autoSpaceDN w:val="0"/>
        <w:adjustRightInd w:val="0"/>
        <w:spacing w:after="120"/>
        <w:ind w:firstLine="720"/>
      </w:pPr>
      <w:r>
        <w:t xml:space="preserve">Each </w:t>
      </w:r>
      <w:r w:rsidR="00356DAC">
        <w:t xml:space="preserve">carrier can choose to have </w:t>
      </w:r>
      <w:r w:rsidR="00823E29">
        <w:t xml:space="preserve">its </w:t>
      </w:r>
      <w:r w:rsidR="00622104">
        <w:t xml:space="preserve">deployment obligation determined by one of two methods:  the applicable </w:t>
      </w:r>
      <w:r w:rsidR="00356DAC">
        <w:t xml:space="preserve"> CAF</w:t>
      </w:r>
      <w:r w:rsidR="00622104">
        <w:t>-</w:t>
      </w:r>
      <w:r w:rsidR="00356DAC">
        <w:t xml:space="preserve">BLS </w:t>
      </w:r>
      <w:r w:rsidR="00622104">
        <w:t xml:space="preserve">amount </w:t>
      </w:r>
      <w:r w:rsidR="00356DAC">
        <w:t xml:space="preserve">divided by (1) the average cost of providing 10/1 Mbps service, based on the </w:t>
      </w:r>
      <w:r w:rsidR="00622104">
        <w:t xml:space="preserve">weighted average </w:t>
      </w:r>
      <w:r w:rsidR="00356DAC">
        <w:t xml:space="preserve"> cost</w:t>
      </w:r>
      <w:r w:rsidR="006F2029">
        <w:t xml:space="preserve"> per loop</w:t>
      </w:r>
      <w:r w:rsidR="00356DAC">
        <w:t xml:space="preserve"> of carriers that have deployed 10/1 </w:t>
      </w:r>
      <w:r>
        <w:t xml:space="preserve">Mbps </w:t>
      </w:r>
      <w:r w:rsidR="00356DAC">
        <w:t>service</w:t>
      </w:r>
      <w:r w:rsidR="00C84366">
        <w:t xml:space="preserve"> to 95 percent or more of the locations in their study area</w:t>
      </w:r>
      <w:r w:rsidR="00356DAC">
        <w:t xml:space="preserve">, or </w:t>
      </w:r>
      <w:r w:rsidR="00C84366">
        <w:t xml:space="preserve">150 percent of </w:t>
      </w:r>
      <w:r>
        <w:t xml:space="preserve">the weighted average </w:t>
      </w:r>
      <w:r w:rsidR="00375B3C">
        <w:t xml:space="preserve">cost per loop </w:t>
      </w:r>
      <w:r>
        <w:t xml:space="preserve">of companies with similar density and level of deployment, whichever is greater, or </w:t>
      </w:r>
      <w:r w:rsidR="00356DAC">
        <w:t xml:space="preserve">(2) the Alternative Connect America Cost Model’s calculation of the cost </w:t>
      </w:r>
      <w:r w:rsidR="00375B3C">
        <w:t xml:space="preserve">per location </w:t>
      </w:r>
      <w:r w:rsidR="00356DAC">
        <w:t>of providing 10/1 Mbps service in the unserved census blocks in the carrier’s study area.</w:t>
      </w:r>
      <w:r w:rsidR="0053591A">
        <w:rPr>
          <w:rStyle w:val="FootnoteReference"/>
        </w:rPr>
        <w:footnoteReference w:id="6"/>
      </w:r>
      <w:r w:rsidR="00EF0B7B">
        <w:t xml:space="preserve">  </w:t>
      </w:r>
    </w:p>
    <w:p w14:paraId="4E921B99" w14:textId="7DAE8D87" w:rsidR="00A84A1C" w:rsidRPr="00E978A2" w:rsidRDefault="00A84A1C" w:rsidP="006D7ED8">
      <w:pPr>
        <w:spacing w:after="120"/>
        <w:ind w:firstLine="720"/>
      </w:pPr>
      <w:r>
        <w:lastRenderedPageBreak/>
        <w:t xml:space="preserve">To calculate the cost metric to be used to determine </w:t>
      </w:r>
      <w:r w:rsidRPr="00E978A2">
        <w:t>deployment obligations</w:t>
      </w:r>
      <w:r>
        <w:t xml:space="preserve"> under the first </w:t>
      </w:r>
      <w:r w:rsidR="0019385E">
        <w:t>method</w:t>
      </w:r>
      <w:r w:rsidRPr="00E978A2">
        <w:t xml:space="preserve">, </w:t>
      </w:r>
      <w:r>
        <w:t>the Bureau divided</w:t>
      </w:r>
      <w:r w:rsidRPr="00E978A2">
        <w:t xml:space="preserve"> rate-of-return </w:t>
      </w:r>
      <w:r>
        <w:t xml:space="preserve">study areas </w:t>
      </w:r>
      <w:r w:rsidRPr="00E978A2">
        <w:t xml:space="preserve">into the following density groups </w:t>
      </w:r>
      <w:r w:rsidR="00F145CF">
        <w:t xml:space="preserve">based on 2010 U.S. Census data for </w:t>
      </w:r>
      <w:r w:rsidRPr="00E978A2">
        <w:t xml:space="preserve">housing </w:t>
      </w:r>
      <w:r>
        <w:t>unit density per square mile</w:t>
      </w:r>
      <w:r w:rsidRPr="00E978A2">
        <w:t>:  0-4; 4-11; 11-24; and 24 and above.  Those groups were then further subdivided into common deployment groups:  0</w:t>
      </w:r>
      <w:r w:rsidR="00F145CF">
        <w:t xml:space="preserve"> percent</w:t>
      </w:r>
      <w:r w:rsidRPr="00E978A2">
        <w:t xml:space="preserve"> deployment; </w:t>
      </w:r>
      <w:r w:rsidR="00F145CF">
        <w:t xml:space="preserve">greater than </w:t>
      </w:r>
      <w:r w:rsidRPr="00E978A2">
        <w:t>0</w:t>
      </w:r>
      <w:r w:rsidR="00F145CF">
        <w:t xml:space="preserve"> but less than</w:t>
      </w:r>
      <w:r w:rsidRPr="00E978A2">
        <w:t xml:space="preserve"> 50</w:t>
      </w:r>
      <w:r w:rsidR="00F145CF">
        <w:t xml:space="preserve"> percent</w:t>
      </w:r>
      <w:r w:rsidRPr="00E978A2">
        <w:t xml:space="preserve">; </w:t>
      </w:r>
      <w:r w:rsidR="00F145CF">
        <w:t xml:space="preserve">at least </w:t>
      </w:r>
      <w:r w:rsidRPr="00E978A2">
        <w:t>50</w:t>
      </w:r>
      <w:r w:rsidR="00F145CF">
        <w:t xml:space="preserve"> percent</w:t>
      </w:r>
      <w:r w:rsidRPr="00E978A2">
        <w:t xml:space="preserve"> </w:t>
      </w:r>
      <w:r w:rsidR="00F145CF">
        <w:t xml:space="preserve">but less than </w:t>
      </w:r>
      <w:r w:rsidRPr="00E978A2">
        <w:t>80</w:t>
      </w:r>
      <w:r w:rsidR="00F145CF">
        <w:t xml:space="preserve"> percent</w:t>
      </w:r>
      <w:r w:rsidRPr="00E978A2">
        <w:t xml:space="preserve">; </w:t>
      </w:r>
      <w:r w:rsidR="00F145CF">
        <w:t xml:space="preserve">at least </w:t>
      </w:r>
      <w:r w:rsidRPr="00E978A2">
        <w:t>80</w:t>
      </w:r>
      <w:r w:rsidR="00F145CF">
        <w:t xml:space="preserve"> percent</w:t>
      </w:r>
      <w:r w:rsidRPr="00E978A2">
        <w:t xml:space="preserve"> </w:t>
      </w:r>
      <w:r w:rsidR="00F145CF">
        <w:t xml:space="preserve">but less than </w:t>
      </w:r>
      <w:r w:rsidRPr="00E978A2">
        <w:t>95</w:t>
      </w:r>
      <w:r w:rsidR="00F145CF">
        <w:t xml:space="preserve"> percent;</w:t>
      </w:r>
      <w:r w:rsidRPr="00E978A2">
        <w:t xml:space="preserve"> and </w:t>
      </w:r>
      <w:r w:rsidR="00F145CF">
        <w:t>greater than</w:t>
      </w:r>
      <w:r w:rsidRPr="00E978A2">
        <w:t xml:space="preserve"> 95</w:t>
      </w:r>
      <w:r w:rsidR="00F145CF">
        <w:t xml:space="preserve"> percent</w:t>
      </w:r>
      <w:r w:rsidRPr="00E978A2">
        <w:t>. </w:t>
      </w:r>
      <w:r>
        <w:t xml:space="preserve"> A</w:t>
      </w:r>
      <w:r w:rsidRPr="00E978A2">
        <w:t xml:space="preserve">s </w:t>
      </w:r>
      <w:r>
        <w:t xml:space="preserve">required by the </w:t>
      </w:r>
      <w:r w:rsidRPr="00B27824">
        <w:rPr>
          <w:i/>
        </w:rPr>
        <w:t>Rate-of-Return Reform Order</w:t>
      </w:r>
      <w:r w:rsidRPr="00E978A2">
        <w:t xml:space="preserve">, study areas that are capped by the </w:t>
      </w:r>
      <w:r>
        <w:t>operating expense</w:t>
      </w:r>
      <w:r w:rsidRPr="00E978A2">
        <w:t xml:space="preserve"> limitation or by the $250 </w:t>
      </w:r>
      <w:r>
        <w:t xml:space="preserve">per-month, per line </w:t>
      </w:r>
      <w:r w:rsidRPr="00E978A2">
        <w:t xml:space="preserve">limitation were not included.  In addition, average schedule </w:t>
      </w:r>
      <w:r w:rsidR="00F145CF">
        <w:t xml:space="preserve">study areas </w:t>
      </w:r>
      <w:r w:rsidRPr="00E978A2">
        <w:t xml:space="preserve">were </w:t>
      </w:r>
      <w:r>
        <w:t>excluded because they do not calculate</w:t>
      </w:r>
      <w:r w:rsidRPr="00E978A2">
        <w:t xml:space="preserve"> “actual costs.”</w:t>
      </w:r>
    </w:p>
    <w:p w14:paraId="79F642C8" w14:textId="2C78603E" w:rsidR="00A84A1C" w:rsidRPr="006D7ED8" w:rsidRDefault="00A84A1C" w:rsidP="006D7ED8">
      <w:pPr>
        <w:autoSpaceDE w:val="0"/>
        <w:autoSpaceDN w:val="0"/>
        <w:adjustRightInd w:val="0"/>
        <w:spacing w:after="120"/>
        <w:ind w:firstLine="720"/>
      </w:pPr>
      <w:r>
        <w:t xml:space="preserve">The number of study areas </w:t>
      </w:r>
      <w:r w:rsidRPr="00E978A2">
        <w:t>in each group is as follows:</w:t>
      </w:r>
    </w:p>
    <w:tbl>
      <w:tblPr>
        <w:tblW w:w="9348" w:type="dxa"/>
        <w:tblInd w:w="2" w:type="dxa"/>
        <w:tblLayout w:type="fixed"/>
        <w:tblCellMar>
          <w:left w:w="0" w:type="dxa"/>
          <w:right w:w="0" w:type="dxa"/>
        </w:tblCellMar>
        <w:tblLook w:val="04A0" w:firstRow="1" w:lastRow="0" w:firstColumn="1" w:lastColumn="0" w:noHBand="0" w:noVBand="1"/>
        <w:tblDescription w:val="Page Layout"/>
      </w:tblPr>
      <w:tblGrid>
        <w:gridCol w:w="1608"/>
        <w:gridCol w:w="1350"/>
        <w:gridCol w:w="1800"/>
        <w:gridCol w:w="1530"/>
        <w:gridCol w:w="1440"/>
        <w:gridCol w:w="1620"/>
      </w:tblGrid>
      <w:tr w:rsidR="00E234FA" w:rsidRPr="00B27824" w14:paraId="3164CA0E" w14:textId="77777777" w:rsidTr="00E234FA">
        <w:trPr>
          <w:trHeight w:val="300"/>
        </w:trPr>
        <w:tc>
          <w:tcPr>
            <w:tcW w:w="1608"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14:paraId="776CFAF3" w14:textId="77777777" w:rsidR="00E234FA" w:rsidRPr="00E234FA" w:rsidRDefault="00E234FA" w:rsidP="00E234FA">
            <w:pPr>
              <w:jc w:val="center"/>
              <w:rPr>
                <w:sz w:val="20"/>
              </w:rPr>
            </w:pPr>
            <w:r w:rsidRPr="00E234FA">
              <w:rPr>
                <w:b/>
                <w:bCs/>
                <w:color w:val="000000"/>
                <w:sz w:val="20"/>
              </w:rPr>
              <w:t>Land Density in Square Miles</w:t>
            </w:r>
          </w:p>
        </w:tc>
        <w:tc>
          <w:tcPr>
            <w:tcW w:w="135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2AE425B4" w14:textId="2A63A397" w:rsidR="00E234FA" w:rsidRPr="00E234FA" w:rsidRDefault="00E234FA" w:rsidP="00E234FA">
            <w:pPr>
              <w:jc w:val="center"/>
              <w:rPr>
                <w:b/>
                <w:bCs/>
                <w:color w:val="000000"/>
                <w:sz w:val="20"/>
              </w:rPr>
            </w:pPr>
            <w:r w:rsidRPr="00E234FA">
              <w:rPr>
                <w:b/>
                <w:bCs/>
                <w:color w:val="000000"/>
                <w:sz w:val="20"/>
              </w:rPr>
              <w:t>No Broadband Coverage</w:t>
            </w:r>
          </w:p>
        </w:tc>
        <w:tc>
          <w:tcPr>
            <w:tcW w:w="180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4A0D92A5" w14:textId="41C003CC" w:rsidR="00E234FA" w:rsidRPr="00E234FA" w:rsidRDefault="00E234FA" w:rsidP="00E234FA">
            <w:pPr>
              <w:jc w:val="center"/>
              <w:rPr>
                <w:b/>
                <w:bCs/>
                <w:color w:val="000000"/>
                <w:sz w:val="20"/>
              </w:rPr>
            </w:pPr>
            <w:r w:rsidRPr="00E234FA">
              <w:rPr>
                <w:b/>
                <w:bCs/>
                <w:color w:val="000000"/>
                <w:sz w:val="20"/>
              </w:rPr>
              <w:t>0%</w:t>
            </w:r>
            <w:r>
              <w:rPr>
                <w:b/>
                <w:bCs/>
                <w:color w:val="000000"/>
                <w:sz w:val="20"/>
              </w:rPr>
              <w:t xml:space="preserve"> </w:t>
            </w:r>
            <w:r w:rsidRPr="00E234FA">
              <w:rPr>
                <w:b/>
                <w:bCs/>
                <w:color w:val="000000"/>
                <w:sz w:val="20"/>
              </w:rPr>
              <w:t xml:space="preserve">&lt; </w:t>
            </w:r>
          </w:p>
          <w:p w14:paraId="786F05B9" w14:textId="05BF91F2" w:rsidR="00E234FA" w:rsidRPr="00E234FA" w:rsidRDefault="00E234FA" w:rsidP="00E234FA">
            <w:pPr>
              <w:jc w:val="center"/>
              <w:rPr>
                <w:b/>
                <w:bCs/>
                <w:color w:val="000000"/>
                <w:sz w:val="20"/>
              </w:rPr>
            </w:pPr>
            <w:r w:rsidRPr="00E234FA">
              <w:rPr>
                <w:b/>
                <w:bCs/>
                <w:color w:val="000000"/>
                <w:sz w:val="20"/>
              </w:rPr>
              <w:t>Broadband Coverage</w:t>
            </w:r>
          </w:p>
          <w:p w14:paraId="16D8F98F" w14:textId="4A757B51" w:rsidR="00E234FA" w:rsidRPr="00E234FA" w:rsidRDefault="00E234FA" w:rsidP="00E234FA">
            <w:pPr>
              <w:jc w:val="center"/>
              <w:rPr>
                <w:b/>
                <w:bCs/>
                <w:color w:val="000000"/>
                <w:sz w:val="20"/>
              </w:rPr>
            </w:pPr>
            <w:r w:rsidRPr="00E234FA">
              <w:rPr>
                <w:b/>
                <w:bCs/>
                <w:color w:val="000000"/>
                <w:sz w:val="20"/>
              </w:rPr>
              <w:t>&lt; 50%</w:t>
            </w:r>
          </w:p>
        </w:tc>
        <w:tc>
          <w:tcPr>
            <w:tcW w:w="153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123F9804" w14:textId="77777777" w:rsidR="00E234FA" w:rsidRPr="00E234FA" w:rsidRDefault="00E234FA" w:rsidP="00E234FA">
            <w:pPr>
              <w:jc w:val="center"/>
              <w:rPr>
                <w:b/>
                <w:bCs/>
                <w:color w:val="000000"/>
                <w:sz w:val="20"/>
              </w:rPr>
            </w:pPr>
            <w:r w:rsidRPr="00E234FA">
              <w:rPr>
                <w:b/>
                <w:bCs/>
                <w:color w:val="000000"/>
                <w:sz w:val="20"/>
              </w:rPr>
              <w:t xml:space="preserve">50% ≤ Broadband Coverage </w:t>
            </w:r>
          </w:p>
          <w:p w14:paraId="722BBC24" w14:textId="2CB77C2A" w:rsidR="00E234FA" w:rsidRPr="00E234FA" w:rsidRDefault="00E234FA" w:rsidP="00E234FA">
            <w:pPr>
              <w:jc w:val="center"/>
              <w:rPr>
                <w:b/>
                <w:bCs/>
                <w:color w:val="000000"/>
                <w:sz w:val="20"/>
              </w:rPr>
            </w:pPr>
            <w:r w:rsidRPr="00E234FA">
              <w:rPr>
                <w:b/>
                <w:bCs/>
                <w:color w:val="000000"/>
                <w:sz w:val="20"/>
              </w:rPr>
              <w:t>&lt; 80%</w:t>
            </w:r>
          </w:p>
        </w:tc>
        <w:tc>
          <w:tcPr>
            <w:tcW w:w="144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7509FC76" w14:textId="29D01C21" w:rsidR="00E234FA" w:rsidRPr="00E234FA" w:rsidRDefault="00E234FA" w:rsidP="00E234FA">
            <w:pPr>
              <w:jc w:val="center"/>
              <w:rPr>
                <w:b/>
                <w:bCs/>
                <w:color w:val="000000"/>
                <w:sz w:val="20"/>
              </w:rPr>
            </w:pPr>
            <w:r w:rsidRPr="00E234FA">
              <w:rPr>
                <w:b/>
                <w:bCs/>
                <w:color w:val="000000"/>
                <w:sz w:val="20"/>
              </w:rPr>
              <w:t>80% ≤</w:t>
            </w:r>
          </w:p>
          <w:p w14:paraId="6ECC54BB" w14:textId="77777777" w:rsidR="00E234FA" w:rsidRPr="00E234FA" w:rsidRDefault="00E234FA" w:rsidP="00E234FA">
            <w:pPr>
              <w:jc w:val="center"/>
              <w:rPr>
                <w:b/>
                <w:bCs/>
                <w:color w:val="000000"/>
                <w:sz w:val="20"/>
              </w:rPr>
            </w:pPr>
            <w:r w:rsidRPr="00E234FA">
              <w:rPr>
                <w:b/>
                <w:bCs/>
                <w:color w:val="000000"/>
                <w:sz w:val="20"/>
              </w:rPr>
              <w:t xml:space="preserve">Broadband Coverage </w:t>
            </w:r>
          </w:p>
          <w:p w14:paraId="5CE9F448" w14:textId="2FDB8DF5" w:rsidR="00E234FA" w:rsidRPr="00E234FA" w:rsidRDefault="00E234FA" w:rsidP="00E234FA">
            <w:pPr>
              <w:jc w:val="center"/>
              <w:rPr>
                <w:b/>
                <w:bCs/>
                <w:color w:val="000000"/>
                <w:sz w:val="20"/>
              </w:rPr>
            </w:pPr>
            <w:r w:rsidRPr="00E234FA">
              <w:rPr>
                <w:b/>
                <w:bCs/>
                <w:color w:val="000000"/>
                <w:sz w:val="20"/>
              </w:rPr>
              <w:t>&lt; 95%</w:t>
            </w:r>
          </w:p>
        </w:tc>
        <w:tc>
          <w:tcPr>
            <w:tcW w:w="1620" w:type="dxa"/>
            <w:tcBorders>
              <w:top w:val="single" w:sz="8" w:space="0" w:color="000000"/>
              <w:left w:val="nil"/>
              <w:bottom w:val="single" w:sz="8" w:space="0" w:color="C1C1C1"/>
              <w:right w:val="single" w:sz="8" w:space="0" w:color="000000"/>
            </w:tcBorders>
            <w:tcMar>
              <w:top w:w="0" w:type="dxa"/>
              <w:left w:w="108" w:type="dxa"/>
              <w:bottom w:w="0" w:type="dxa"/>
              <w:right w:w="108" w:type="dxa"/>
            </w:tcMar>
            <w:hideMark/>
          </w:tcPr>
          <w:p w14:paraId="1D5F228A" w14:textId="09AF150C" w:rsidR="00E234FA" w:rsidRPr="00E234FA" w:rsidRDefault="00E234FA" w:rsidP="00E234FA">
            <w:pPr>
              <w:jc w:val="center"/>
              <w:rPr>
                <w:b/>
                <w:bCs/>
                <w:color w:val="000000"/>
                <w:sz w:val="20"/>
              </w:rPr>
            </w:pPr>
            <w:r w:rsidRPr="00E234FA">
              <w:rPr>
                <w:b/>
                <w:bCs/>
                <w:color w:val="000000"/>
                <w:sz w:val="20"/>
              </w:rPr>
              <w:t>95% ≤</w:t>
            </w:r>
          </w:p>
          <w:p w14:paraId="164D5FE6" w14:textId="1D0FF141" w:rsidR="00E234FA" w:rsidRPr="00E234FA" w:rsidRDefault="00E234FA" w:rsidP="00E234FA">
            <w:pPr>
              <w:jc w:val="center"/>
              <w:rPr>
                <w:b/>
                <w:bCs/>
                <w:color w:val="000000"/>
                <w:sz w:val="20"/>
              </w:rPr>
            </w:pPr>
            <w:r w:rsidRPr="00E234FA">
              <w:rPr>
                <w:b/>
                <w:bCs/>
                <w:color w:val="000000"/>
                <w:sz w:val="20"/>
              </w:rPr>
              <w:t>Broadband Coverage</w:t>
            </w:r>
          </w:p>
        </w:tc>
      </w:tr>
      <w:tr w:rsidR="00E234FA" w:rsidRPr="00B27824" w14:paraId="1FB0FEC4" w14:textId="77777777" w:rsidTr="00E234FA">
        <w:trPr>
          <w:trHeight w:val="300"/>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02A84A37" w14:textId="4505E798" w:rsidR="00E234FA" w:rsidRPr="00E234FA" w:rsidRDefault="00E234FA" w:rsidP="00E234FA">
            <w:pPr>
              <w:spacing w:line="276" w:lineRule="auto"/>
              <w:jc w:val="center"/>
              <w:rPr>
                <w:sz w:val="20"/>
              </w:rPr>
            </w:pPr>
            <w:r w:rsidRPr="00E234FA">
              <w:rPr>
                <w:color w:val="000000"/>
                <w:sz w:val="20"/>
              </w:rPr>
              <w:t>0 to ≤ 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0D33CC44" w14:textId="7C823F11" w:rsidR="00E234FA" w:rsidRPr="00E234FA" w:rsidRDefault="00E234FA" w:rsidP="00E234FA">
            <w:pPr>
              <w:spacing w:line="276" w:lineRule="auto"/>
              <w:jc w:val="center"/>
              <w:rPr>
                <w:color w:val="000000"/>
                <w:sz w:val="20"/>
              </w:rPr>
            </w:pPr>
            <w:r w:rsidRPr="00E234FA">
              <w:rPr>
                <w:color w:val="000000"/>
                <w:sz w:val="20"/>
              </w:rPr>
              <w:t>23</w:t>
            </w:r>
          </w:p>
        </w:tc>
        <w:tc>
          <w:tcPr>
            <w:tcW w:w="180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17300D99" w14:textId="27CBCAF5" w:rsidR="00E234FA" w:rsidRPr="00E234FA" w:rsidRDefault="00E234FA" w:rsidP="00E234FA">
            <w:pPr>
              <w:spacing w:line="276" w:lineRule="auto"/>
              <w:jc w:val="center"/>
              <w:rPr>
                <w:color w:val="000000"/>
                <w:sz w:val="20"/>
              </w:rPr>
            </w:pPr>
            <w:r w:rsidRPr="00E234FA">
              <w:rPr>
                <w:color w:val="000000"/>
                <w:sz w:val="20"/>
              </w:rPr>
              <w:t>27</w:t>
            </w:r>
          </w:p>
        </w:tc>
        <w:tc>
          <w:tcPr>
            <w:tcW w:w="153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2986563B" w14:textId="3C486CF7" w:rsidR="00E234FA" w:rsidRPr="00E234FA" w:rsidRDefault="00E234FA" w:rsidP="00E234FA">
            <w:pPr>
              <w:spacing w:line="276" w:lineRule="auto"/>
              <w:jc w:val="center"/>
              <w:rPr>
                <w:color w:val="000000"/>
                <w:sz w:val="20"/>
              </w:rPr>
            </w:pPr>
            <w:r w:rsidRPr="00E234FA">
              <w:rPr>
                <w:color w:val="000000"/>
                <w:sz w:val="20"/>
              </w:rPr>
              <w:t>38</w:t>
            </w:r>
          </w:p>
        </w:tc>
        <w:tc>
          <w:tcPr>
            <w:tcW w:w="144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21A6CDBF" w14:textId="44D49A22" w:rsidR="00E234FA" w:rsidRPr="00E234FA" w:rsidRDefault="00E234FA" w:rsidP="00E234FA">
            <w:pPr>
              <w:spacing w:line="276" w:lineRule="auto"/>
              <w:jc w:val="center"/>
              <w:rPr>
                <w:color w:val="000000"/>
                <w:sz w:val="20"/>
              </w:rPr>
            </w:pPr>
            <w:r w:rsidRPr="00E234FA">
              <w:rPr>
                <w:color w:val="000000"/>
                <w:sz w:val="20"/>
              </w:rPr>
              <w:t>45</w:t>
            </w:r>
          </w:p>
        </w:tc>
        <w:tc>
          <w:tcPr>
            <w:tcW w:w="1620" w:type="dxa"/>
            <w:tcBorders>
              <w:top w:val="nil"/>
              <w:left w:val="nil"/>
              <w:bottom w:val="single" w:sz="8" w:space="0" w:color="C1C1C1"/>
              <w:right w:val="single" w:sz="8" w:space="0" w:color="000000"/>
            </w:tcBorders>
            <w:tcMar>
              <w:top w:w="0" w:type="dxa"/>
              <w:left w:w="108" w:type="dxa"/>
              <w:bottom w:w="0" w:type="dxa"/>
              <w:right w:w="108" w:type="dxa"/>
            </w:tcMar>
            <w:vAlign w:val="bottom"/>
            <w:hideMark/>
          </w:tcPr>
          <w:p w14:paraId="172FCBFA" w14:textId="7F77B0BD" w:rsidR="00E234FA" w:rsidRPr="00E234FA" w:rsidRDefault="00E234FA" w:rsidP="00E234FA">
            <w:pPr>
              <w:spacing w:line="276" w:lineRule="auto"/>
              <w:jc w:val="center"/>
              <w:rPr>
                <w:color w:val="000000"/>
                <w:sz w:val="20"/>
              </w:rPr>
            </w:pPr>
            <w:r w:rsidRPr="00E234FA">
              <w:rPr>
                <w:color w:val="000000"/>
                <w:sz w:val="20"/>
              </w:rPr>
              <w:t>53</w:t>
            </w:r>
          </w:p>
        </w:tc>
      </w:tr>
      <w:tr w:rsidR="00E234FA" w:rsidRPr="00B27824" w14:paraId="0972C952" w14:textId="77777777" w:rsidTr="00E234FA">
        <w:trPr>
          <w:trHeight w:val="300"/>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642A653A" w14:textId="52D063ED" w:rsidR="00E234FA" w:rsidRPr="00E234FA" w:rsidRDefault="00E234FA" w:rsidP="00E234FA">
            <w:pPr>
              <w:spacing w:line="276" w:lineRule="auto"/>
              <w:jc w:val="center"/>
              <w:rPr>
                <w:sz w:val="20"/>
              </w:rPr>
            </w:pPr>
            <w:r w:rsidRPr="00E234FA">
              <w:rPr>
                <w:color w:val="000000"/>
                <w:sz w:val="20"/>
              </w:rPr>
              <w:t>4 to ≤ 11</w:t>
            </w:r>
          </w:p>
        </w:tc>
        <w:tc>
          <w:tcPr>
            <w:tcW w:w="135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497A5738" w14:textId="5D3D4A58" w:rsidR="00E234FA" w:rsidRPr="00E234FA" w:rsidRDefault="00E234FA" w:rsidP="00E234FA">
            <w:pPr>
              <w:spacing w:line="276" w:lineRule="auto"/>
              <w:jc w:val="center"/>
              <w:rPr>
                <w:color w:val="000000"/>
                <w:sz w:val="20"/>
              </w:rPr>
            </w:pPr>
            <w:r w:rsidRPr="00E234FA">
              <w:rPr>
                <w:color w:val="000000"/>
                <w:sz w:val="20"/>
              </w:rPr>
              <w:t>21</w:t>
            </w:r>
          </w:p>
        </w:tc>
        <w:tc>
          <w:tcPr>
            <w:tcW w:w="180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7570EC23" w14:textId="7D81414E" w:rsidR="00E234FA" w:rsidRPr="00E234FA" w:rsidRDefault="00E234FA" w:rsidP="00E234FA">
            <w:pPr>
              <w:spacing w:line="276" w:lineRule="auto"/>
              <w:jc w:val="center"/>
              <w:rPr>
                <w:color w:val="000000"/>
                <w:sz w:val="20"/>
              </w:rPr>
            </w:pPr>
            <w:r w:rsidRPr="00E234FA">
              <w:rPr>
                <w:color w:val="000000"/>
                <w:sz w:val="20"/>
              </w:rPr>
              <w:t>31</w:t>
            </w:r>
          </w:p>
        </w:tc>
        <w:tc>
          <w:tcPr>
            <w:tcW w:w="153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081FF108" w14:textId="132B5EE3" w:rsidR="00E234FA" w:rsidRPr="00E234FA" w:rsidRDefault="00E234FA" w:rsidP="00E234FA">
            <w:pPr>
              <w:spacing w:line="276" w:lineRule="auto"/>
              <w:jc w:val="center"/>
              <w:rPr>
                <w:color w:val="000000"/>
                <w:sz w:val="20"/>
              </w:rPr>
            </w:pPr>
            <w:r w:rsidRPr="00E234FA">
              <w:rPr>
                <w:color w:val="000000"/>
                <w:sz w:val="20"/>
              </w:rPr>
              <w:t>27</w:t>
            </w:r>
          </w:p>
        </w:tc>
        <w:tc>
          <w:tcPr>
            <w:tcW w:w="144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4C6E6C30" w14:textId="1DFCD5C5" w:rsidR="00E234FA" w:rsidRPr="00E234FA" w:rsidRDefault="00E234FA" w:rsidP="00E234FA">
            <w:pPr>
              <w:spacing w:line="276" w:lineRule="auto"/>
              <w:jc w:val="center"/>
              <w:rPr>
                <w:color w:val="000000"/>
                <w:sz w:val="20"/>
              </w:rPr>
            </w:pPr>
            <w:r w:rsidRPr="00E234FA">
              <w:rPr>
                <w:color w:val="000000"/>
                <w:sz w:val="20"/>
              </w:rPr>
              <w:t>44</w:t>
            </w:r>
          </w:p>
        </w:tc>
        <w:tc>
          <w:tcPr>
            <w:tcW w:w="1620" w:type="dxa"/>
            <w:tcBorders>
              <w:top w:val="nil"/>
              <w:left w:val="nil"/>
              <w:bottom w:val="single" w:sz="8" w:space="0" w:color="C1C1C1"/>
              <w:right w:val="single" w:sz="8" w:space="0" w:color="000000"/>
            </w:tcBorders>
            <w:tcMar>
              <w:top w:w="0" w:type="dxa"/>
              <w:left w:w="108" w:type="dxa"/>
              <w:bottom w:w="0" w:type="dxa"/>
              <w:right w:w="108" w:type="dxa"/>
            </w:tcMar>
            <w:vAlign w:val="bottom"/>
            <w:hideMark/>
          </w:tcPr>
          <w:p w14:paraId="433954B0" w14:textId="5D51E429" w:rsidR="00E234FA" w:rsidRPr="00E234FA" w:rsidRDefault="00E234FA" w:rsidP="00E234FA">
            <w:pPr>
              <w:spacing w:line="276" w:lineRule="auto"/>
              <w:jc w:val="center"/>
              <w:rPr>
                <w:color w:val="000000"/>
                <w:sz w:val="20"/>
              </w:rPr>
            </w:pPr>
            <w:r w:rsidRPr="00E234FA">
              <w:rPr>
                <w:color w:val="000000"/>
                <w:sz w:val="20"/>
              </w:rPr>
              <w:t>66</w:t>
            </w:r>
          </w:p>
        </w:tc>
      </w:tr>
      <w:tr w:rsidR="00E234FA" w:rsidRPr="00B27824" w14:paraId="72D82DF6" w14:textId="77777777" w:rsidTr="00E234FA">
        <w:trPr>
          <w:trHeight w:val="300"/>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13A1F90D" w14:textId="67EE8E35" w:rsidR="00E234FA" w:rsidRPr="00E234FA" w:rsidRDefault="00E234FA" w:rsidP="00E234FA">
            <w:pPr>
              <w:spacing w:line="276" w:lineRule="auto"/>
              <w:jc w:val="center"/>
              <w:rPr>
                <w:sz w:val="20"/>
              </w:rPr>
            </w:pPr>
            <w:r w:rsidRPr="00E234FA">
              <w:rPr>
                <w:color w:val="000000"/>
                <w:sz w:val="20"/>
              </w:rPr>
              <w:t>11 to ≤ 24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47DC2C48" w14:textId="1D235CC7" w:rsidR="00E234FA" w:rsidRPr="00E234FA" w:rsidRDefault="00E234FA" w:rsidP="00E234FA">
            <w:pPr>
              <w:spacing w:line="276" w:lineRule="auto"/>
              <w:jc w:val="center"/>
              <w:rPr>
                <w:color w:val="000000"/>
                <w:sz w:val="20"/>
              </w:rPr>
            </w:pPr>
            <w:r w:rsidRPr="00E234FA">
              <w:rPr>
                <w:color w:val="000000"/>
                <w:sz w:val="20"/>
              </w:rPr>
              <w:t>16</w:t>
            </w:r>
          </w:p>
        </w:tc>
        <w:tc>
          <w:tcPr>
            <w:tcW w:w="180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649BA7B6" w14:textId="69AADCFE" w:rsidR="00E234FA" w:rsidRPr="00E234FA" w:rsidRDefault="00E234FA" w:rsidP="00E234FA">
            <w:pPr>
              <w:spacing w:line="276" w:lineRule="auto"/>
              <w:jc w:val="center"/>
              <w:rPr>
                <w:color w:val="000000"/>
                <w:sz w:val="20"/>
              </w:rPr>
            </w:pPr>
            <w:r w:rsidRPr="00E234FA">
              <w:rPr>
                <w:color w:val="000000"/>
                <w:sz w:val="20"/>
              </w:rPr>
              <w:t>42</w:t>
            </w:r>
          </w:p>
        </w:tc>
        <w:tc>
          <w:tcPr>
            <w:tcW w:w="153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427DDDFD" w14:textId="507C278B" w:rsidR="00E234FA" w:rsidRPr="00E234FA" w:rsidRDefault="00E234FA" w:rsidP="00E234FA">
            <w:pPr>
              <w:spacing w:line="276" w:lineRule="auto"/>
              <w:jc w:val="center"/>
              <w:rPr>
                <w:color w:val="000000"/>
                <w:sz w:val="20"/>
              </w:rPr>
            </w:pPr>
            <w:r w:rsidRPr="00E234FA">
              <w:rPr>
                <w:color w:val="000000"/>
                <w:sz w:val="20"/>
              </w:rPr>
              <w:t>23</w:t>
            </w:r>
          </w:p>
        </w:tc>
        <w:tc>
          <w:tcPr>
            <w:tcW w:w="1440" w:type="dxa"/>
            <w:tcBorders>
              <w:top w:val="nil"/>
              <w:left w:val="nil"/>
              <w:bottom w:val="single" w:sz="8" w:space="0" w:color="C1C1C1"/>
              <w:right w:val="single" w:sz="8" w:space="0" w:color="C1C1C1"/>
            </w:tcBorders>
            <w:tcMar>
              <w:top w:w="0" w:type="dxa"/>
              <w:left w:w="108" w:type="dxa"/>
              <w:bottom w:w="0" w:type="dxa"/>
              <w:right w:w="108" w:type="dxa"/>
            </w:tcMar>
            <w:vAlign w:val="bottom"/>
            <w:hideMark/>
          </w:tcPr>
          <w:p w14:paraId="71BA09D3" w14:textId="6B07B78C" w:rsidR="00E234FA" w:rsidRPr="00E234FA" w:rsidRDefault="00E234FA" w:rsidP="00E234FA">
            <w:pPr>
              <w:spacing w:line="276" w:lineRule="auto"/>
              <w:jc w:val="center"/>
              <w:rPr>
                <w:color w:val="000000"/>
                <w:sz w:val="20"/>
              </w:rPr>
            </w:pPr>
            <w:r w:rsidRPr="00E234FA">
              <w:rPr>
                <w:color w:val="000000"/>
                <w:sz w:val="20"/>
              </w:rPr>
              <w:t>34</w:t>
            </w:r>
          </w:p>
        </w:tc>
        <w:tc>
          <w:tcPr>
            <w:tcW w:w="1620" w:type="dxa"/>
            <w:tcBorders>
              <w:top w:val="nil"/>
              <w:left w:val="nil"/>
              <w:bottom w:val="single" w:sz="8" w:space="0" w:color="C1C1C1"/>
              <w:right w:val="single" w:sz="8" w:space="0" w:color="000000"/>
            </w:tcBorders>
            <w:tcMar>
              <w:top w:w="0" w:type="dxa"/>
              <w:left w:w="108" w:type="dxa"/>
              <w:bottom w:w="0" w:type="dxa"/>
              <w:right w:w="108" w:type="dxa"/>
            </w:tcMar>
            <w:vAlign w:val="bottom"/>
            <w:hideMark/>
          </w:tcPr>
          <w:p w14:paraId="0917D878" w14:textId="444C2726" w:rsidR="00E234FA" w:rsidRPr="00E234FA" w:rsidRDefault="00E234FA" w:rsidP="00E234FA">
            <w:pPr>
              <w:spacing w:line="276" w:lineRule="auto"/>
              <w:jc w:val="center"/>
              <w:rPr>
                <w:color w:val="000000"/>
                <w:sz w:val="20"/>
              </w:rPr>
            </w:pPr>
            <w:r w:rsidRPr="00E234FA">
              <w:rPr>
                <w:color w:val="000000"/>
                <w:sz w:val="20"/>
              </w:rPr>
              <w:t>54</w:t>
            </w:r>
          </w:p>
        </w:tc>
      </w:tr>
      <w:tr w:rsidR="00E234FA" w:rsidRPr="00B27824" w14:paraId="6F289A9E" w14:textId="77777777" w:rsidTr="00E234FA">
        <w:trPr>
          <w:trHeight w:val="315"/>
        </w:trPr>
        <w:tc>
          <w:tcPr>
            <w:tcW w:w="1608"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14:paraId="6A682350" w14:textId="35EEA458" w:rsidR="00E234FA" w:rsidRPr="00E234FA" w:rsidRDefault="00E234FA" w:rsidP="00E234FA">
            <w:pPr>
              <w:spacing w:line="276" w:lineRule="auto"/>
              <w:jc w:val="center"/>
              <w:rPr>
                <w:sz w:val="20"/>
              </w:rPr>
            </w:pPr>
            <w:r w:rsidRPr="00E234FA">
              <w:rPr>
                <w:color w:val="000000"/>
                <w:sz w:val="20"/>
              </w:rPr>
              <w:t>24 +</w:t>
            </w:r>
          </w:p>
        </w:tc>
        <w:tc>
          <w:tcPr>
            <w:tcW w:w="1350" w:type="dxa"/>
            <w:tcBorders>
              <w:top w:val="nil"/>
              <w:left w:val="nil"/>
              <w:bottom w:val="single" w:sz="8" w:space="0" w:color="000000"/>
              <w:right w:val="single" w:sz="8" w:space="0" w:color="C1C1C1"/>
            </w:tcBorders>
            <w:tcMar>
              <w:top w:w="0" w:type="dxa"/>
              <w:left w:w="108" w:type="dxa"/>
              <w:bottom w:w="0" w:type="dxa"/>
              <w:right w:w="108" w:type="dxa"/>
            </w:tcMar>
            <w:vAlign w:val="bottom"/>
            <w:hideMark/>
          </w:tcPr>
          <w:p w14:paraId="381F9219" w14:textId="21D4D83B" w:rsidR="00E234FA" w:rsidRPr="00E234FA" w:rsidRDefault="00E234FA" w:rsidP="00E234FA">
            <w:pPr>
              <w:spacing w:line="276" w:lineRule="auto"/>
              <w:jc w:val="center"/>
              <w:rPr>
                <w:color w:val="000000"/>
                <w:sz w:val="20"/>
              </w:rPr>
            </w:pPr>
            <w:r w:rsidRPr="00E234FA">
              <w:rPr>
                <w:color w:val="000000"/>
                <w:sz w:val="20"/>
              </w:rPr>
              <w:t>19</w:t>
            </w:r>
          </w:p>
        </w:tc>
        <w:tc>
          <w:tcPr>
            <w:tcW w:w="1800" w:type="dxa"/>
            <w:tcBorders>
              <w:top w:val="nil"/>
              <w:left w:val="nil"/>
              <w:bottom w:val="single" w:sz="8" w:space="0" w:color="000000"/>
              <w:right w:val="single" w:sz="8" w:space="0" w:color="C1C1C1"/>
            </w:tcBorders>
            <w:tcMar>
              <w:top w:w="0" w:type="dxa"/>
              <w:left w:w="108" w:type="dxa"/>
              <w:bottom w:w="0" w:type="dxa"/>
              <w:right w:w="108" w:type="dxa"/>
            </w:tcMar>
            <w:vAlign w:val="bottom"/>
            <w:hideMark/>
          </w:tcPr>
          <w:p w14:paraId="2E34A159" w14:textId="00CF4DEA" w:rsidR="00E234FA" w:rsidRPr="00E234FA" w:rsidRDefault="00E234FA" w:rsidP="00E234FA">
            <w:pPr>
              <w:spacing w:line="276" w:lineRule="auto"/>
              <w:jc w:val="center"/>
              <w:rPr>
                <w:color w:val="000000"/>
                <w:sz w:val="20"/>
              </w:rPr>
            </w:pPr>
            <w:r w:rsidRPr="00E234FA">
              <w:rPr>
                <w:color w:val="000000"/>
                <w:sz w:val="20"/>
              </w:rPr>
              <w:t>32</w:t>
            </w:r>
          </w:p>
        </w:tc>
        <w:tc>
          <w:tcPr>
            <w:tcW w:w="1530" w:type="dxa"/>
            <w:tcBorders>
              <w:top w:val="nil"/>
              <w:left w:val="nil"/>
              <w:bottom w:val="single" w:sz="8" w:space="0" w:color="000000"/>
              <w:right w:val="single" w:sz="8" w:space="0" w:color="C1C1C1"/>
            </w:tcBorders>
            <w:tcMar>
              <w:top w:w="0" w:type="dxa"/>
              <w:left w:w="108" w:type="dxa"/>
              <w:bottom w:w="0" w:type="dxa"/>
              <w:right w:w="108" w:type="dxa"/>
            </w:tcMar>
            <w:vAlign w:val="bottom"/>
            <w:hideMark/>
          </w:tcPr>
          <w:p w14:paraId="341EAC20" w14:textId="34398F34" w:rsidR="00E234FA" w:rsidRPr="00E234FA" w:rsidRDefault="00E234FA" w:rsidP="00E234FA">
            <w:pPr>
              <w:spacing w:line="276" w:lineRule="auto"/>
              <w:jc w:val="center"/>
              <w:rPr>
                <w:color w:val="000000"/>
                <w:sz w:val="20"/>
              </w:rPr>
            </w:pPr>
            <w:r w:rsidRPr="00E234FA">
              <w:rPr>
                <w:color w:val="000000"/>
                <w:sz w:val="20"/>
              </w:rPr>
              <w:t>26</w:t>
            </w:r>
          </w:p>
        </w:tc>
        <w:tc>
          <w:tcPr>
            <w:tcW w:w="1440" w:type="dxa"/>
            <w:tcBorders>
              <w:top w:val="nil"/>
              <w:left w:val="nil"/>
              <w:bottom w:val="single" w:sz="8" w:space="0" w:color="000000"/>
              <w:right w:val="single" w:sz="8" w:space="0" w:color="C1C1C1"/>
            </w:tcBorders>
            <w:tcMar>
              <w:top w:w="0" w:type="dxa"/>
              <w:left w:w="108" w:type="dxa"/>
              <w:bottom w:w="0" w:type="dxa"/>
              <w:right w:w="108" w:type="dxa"/>
            </w:tcMar>
            <w:vAlign w:val="bottom"/>
            <w:hideMark/>
          </w:tcPr>
          <w:p w14:paraId="17BE0478" w14:textId="31F44BFC" w:rsidR="00E234FA" w:rsidRPr="00E234FA" w:rsidRDefault="00E234FA" w:rsidP="00E234FA">
            <w:pPr>
              <w:spacing w:line="276" w:lineRule="auto"/>
              <w:jc w:val="center"/>
              <w:rPr>
                <w:color w:val="000000"/>
                <w:sz w:val="20"/>
              </w:rPr>
            </w:pPr>
            <w:r w:rsidRPr="00E234FA">
              <w:rPr>
                <w:color w:val="000000"/>
                <w:sz w:val="20"/>
              </w:rPr>
              <w:t>42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FBE35F3" w14:textId="04D1938E" w:rsidR="00E234FA" w:rsidRPr="00E234FA" w:rsidRDefault="00E234FA" w:rsidP="00E234FA">
            <w:pPr>
              <w:spacing w:line="276" w:lineRule="auto"/>
              <w:jc w:val="center"/>
              <w:rPr>
                <w:color w:val="000000"/>
                <w:sz w:val="20"/>
              </w:rPr>
            </w:pPr>
            <w:r w:rsidRPr="00E234FA">
              <w:rPr>
                <w:color w:val="000000"/>
                <w:sz w:val="20"/>
              </w:rPr>
              <w:t>49</w:t>
            </w:r>
          </w:p>
        </w:tc>
      </w:tr>
    </w:tbl>
    <w:p w14:paraId="38F6BB07" w14:textId="77777777" w:rsidR="006D7ED8" w:rsidRDefault="006D7ED8" w:rsidP="006D7ED8">
      <w:pPr>
        <w:ind w:firstLine="720"/>
      </w:pPr>
    </w:p>
    <w:p w14:paraId="279742B7" w14:textId="2110E917" w:rsidR="001459B7" w:rsidRPr="00E978A2" w:rsidRDefault="001459B7" w:rsidP="006D7ED8">
      <w:pPr>
        <w:spacing w:after="120"/>
        <w:ind w:firstLine="720"/>
      </w:pPr>
      <w:r w:rsidRPr="00E978A2">
        <w:t xml:space="preserve">The chart below shows the </w:t>
      </w:r>
      <w:r>
        <w:t xml:space="preserve">weighted average unseparated cost per loop in dollars </w:t>
      </w:r>
      <w:r w:rsidRPr="00E978A2">
        <w:t>for each group</w:t>
      </w:r>
      <w:r w:rsidR="00F145CF">
        <w:t>, based on carrier reported data</w:t>
      </w:r>
      <w:r w:rsidR="0019385E">
        <w:rPr>
          <w:rStyle w:val="FootnoteReference"/>
        </w:rPr>
        <w:footnoteReference w:id="7"/>
      </w:r>
      <w:r w:rsidR="00F145CF">
        <w:t>:</w:t>
      </w:r>
      <w:r w:rsidRPr="00E978A2">
        <w:t xml:space="preserve">  </w:t>
      </w:r>
    </w:p>
    <w:tbl>
      <w:tblPr>
        <w:tblW w:w="9348" w:type="dxa"/>
        <w:tblInd w:w="2" w:type="dxa"/>
        <w:tblLayout w:type="fixed"/>
        <w:tblCellMar>
          <w:left w:w="0" w:type="dxa"/>
          <w:right w:w="0" w:type="dxa"/>
        </w:tblCellMar>
        <w:tblLook w:val="04A0" w:firstRow="1" w:lastRow="0" w:firstColumn="1" w:lastColumn="0" w:noHBand="0" w:noVBand="1"/>
        <w:tblDescription w:val="Page Layout"/>
      </w:tblPr>
      <w:tblGrid>
        <w:gridCol w:w="1608"/>
        <w:gridCol w:w="1350"/>
        <w:gridCol w:w="1800"/>
        <w:gridCol w:w="1530"/>
        <w:gridCol w:w="1440"/>
        <w:gridCol w:w="1620"/>
      </w:tblGrid>
      <w:tr w:rsidR="00E234FA" w:rsidRPr="00B27824" w14:paraId="12885274" w14:textId="77777777" w:rsidTr="00AB5D00">
        <w:trPr>
          <w:trHeight w:val="300"/>
        </w:trPr>
        <w:tc>
          <w:tcPr>
            <w:tcW w:w="1608"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14:paraId="0CBC3B48" w14:textId="77777777" w:rsidR="00E234FA" w:rsidRPr="00E234FA" w:rsidRDefault="00E234FA" w:rsidP="00AB5D00">
            <w:pPr>
              <w:jc w:val="center"/>
              <w:rPr>
                <w:sz w:val="20"/>
              </w:rPr>
            </w:pPr>
            <w:r w:rsidRPr="00E234FA">
              <w:rPr>
                <w:b/>
                <w:bCs/>
                <w:color w:val="000000"/>
                <w:sz w:val="20"/>
              </w:rPr>
              <w:t>Land Density in Square Miles</w:t>
            </w:r>
          </w:p>
        </w:tc>
        <w:tc>
          <w:tcPr>
            <w:tcW w:w="135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2C3AE4C4" w14:textId="77777777" w:rsidR="00E234FA" w:rsidRPr="00E234FA" w:rsidRDefault="00E234FA" w:rsidP="00AB5D00">
            <w:pPr>
              <w:jc w:val="center"/>
              <w:rPr>
                <w:b/>
                <w:bCs/>
                <w:color w:val="000000"/>
                <w:sz w:val="20"/>
              </w:rPr>
            </w:pPr>
            <w:r w:rsidRPr="00E234FA">
              <w:rPr>
                <w:b/>
                <w:bCs/>
                <w:color w:val="000000"/>
                <w:sz w:val="20"/>
              </w:rPr>
              <w:t>No Broadband Coverage</w:t>
            </w:r>
          </w:p>
        </w:tc>
        <w:tc>
          <w:tcPr>
            <w:tcW w:w="180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6A67021A" w14:textId="77777777" w:rsidR="00E234FA" w:rsidRPr="00E234FA" w:rsidRDefault="00E234FA" w:rsidP="00AB5D00">
            <w:pPr>
              <w:jc w:val="center"/>
              <w:rPr>
                <w:b/>
                <w:bCs/>
                <w:color w:val="000000"/>
                <w:sz w:val="20"/>
              </w:rPr>
            </w:pPr>
            <w:r w:rsidRPr="00E234FA">
              <w:rPr>
                <w:b/>
                <w:bCs/>
                <w:color w:val="000000"/>
                <w:sz w:val="20"/>
              </w:rPr>
              <w:t>0%</w:t>
            </w:r>
            <w:r>
              <w:rPr>
                <w:b/>
                <w:bCs/>
                <w:color w:val="000000"/>
                <w:sz w:val="20"/>
              </w:rPr>
              <w:t xml:space="preserve"> </w:t>
            </w:r>
            <w:r w:rsidRPr="00E234FA">
              <w:rPr>
                <w:b/>
                <w:bCs/>
                <w:color w:val="000000"/>
                <w:sz w:val="20"/>
              </w:rPr>
              <w:t xml:space="preserve">&lt; </w:t>
            </w:r>
          </w:p>
          <w:p w14:paraId="0CC8838E" w14:textId="77777777" w:rsidR="00E234FA" w:rsidRPr="00E234FA" w:rsidRDefault="00E234FA" w:rsidP="00AB5D00">
            <w:pPr>
              <w:jc w:val="center"/>
              <w:rPr>
                <w:b/>
                <w:bCs/>
                <w:color w:val="000000"/>
                <w:sz w:val="20"/>
              </w:rPr>
            </w:pPr>
            <w:r w:rsidRPr="00E234FA">
              <w:rPr>
                <w:b/>
                <w:bCs/>
                <w:color w:val="000000"/>
                <w:sz w:val="20"/>
              </w:rPr>
              <w:t>Broadband Coverage</w:t>
            </w:r>
          </w:p>
          <w:p w14:paraId="036B857A" w14:textId="77777777" w:rsidR="00E234FA" w:rsidRPr="00E234FA" w:rsidRDefault="00E234FA" w:rsidP="00AB5D00">
            <w:pPr>
              <w:jc w:val="center"/>
              <w:rPr>
                <w:b/>
                <w:bCs/>
                <w:color w:val="000000"/>
                <w:sz w:val="20"/>
              </w:rPr>
            </w:pPr>
            <w:r w:rsidRPr="00E234FA">
              <w:rPr>
                <w:b/>
                <w:bCs/>
                <w:color w:val="000000"/>
                <w:sz w:val="20"/>
              </w:rPr>
              <w:t>&lt; 50%</w:t>
            </w:r>
          </w:p>
        </w:tc>
        <w:tc>
          <w:tcPr>
            <w:tcW w:w="153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4EEC5736" w14:textId="77777777" w:rsidR="00E234FA" w:rsidRPr="00E234FA" w:rsidRDefault="00E234FA" w:rsidP="00AB5D00">
            <w:pPr>
              <w:jc w:val="center"/>
              <w:rPr>
                <w:b/>
                <w:bCs/>
                <w:color w:val="000000"/>
                <w:sz w:val="20"/>
              </w:rPr>
            </w:pPr>
            <w:r w:rsidRPr="00E234FA">
              <w:rPr>
                <w:b/>
                <w:bCs/>
                <w:color w:val="000000"/>
                <w:sz w:val="20"/>
              </w:rPr>
              <w:t xml:space="preserve">50% ≤ Broadband Coverage </w:t>
            </w:r>
          </w:p>
          <w:p w14:paraId="5BDA8DCE" w14:textId="77777777" w:rsidR="00E234FA" w:rsidRPr="00E234FA" w:rsidRDefault="00E234FA" w:rsidP="00AB5D00">
            <w:pPr>
              <w:jc w:val="center"/>
              <w:rPr>
                <w:b/>
                <w:bCs/>
                <w:color w:val="000000"/>
                <w:sz w:val="20"/>
              </w:rPr>
            </w:pPr>
            <w:r w:rsidRPr="00E234FA">
              <w:rPr>
                <w:b/>
                <w:bCs/>
                <w:color w:val="000000"/>
                <w:sz w:val="20"/>
              </w:rPr>
              <w:t>&lt; 80%</w:t>
            </w:r>
          </w:p>
        </w:tc>
        <w:tc>
          <w:tcPr>
            <w:tcW w:w="144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6A7EF3D8" w14:textId="77777777" w:rsidR="00E234FA" w:rsidRPr="00E234FA" w:rsidRDefault="00E234FA" w:rsidP="00AB5D00">
            <w:pPr>
              <w:jc w:val="center"/>
              <w:rPr>
                <w:b/>
                <w:bCs/>
                <w:color w:val="000000"/>
                <w:sz w:val="20"/>
              </w:rPr>
            </w:pPr>
            <w:r w:rsidRPr="00E234FA">
              <w:rPr>
                <w:b/>
                <w:bCs/>
                <w:color w:val="000000"/>
                <w:sz w:val="20"/>
              </w:rPr>
              <w:t>80% ≤</w:t>
            </w:r>
          </w:p>
          <w:p w14:paraId="235DA7C5" w14:textId="77777777" w:rsidR="00E234FA" w:rsidRPr="00E234FA" w:rsidRDefault="00E234FA" w:rsidP="00AB5D00">
            <w:pPr>
              <w:jc w:val="center"/>
              <w:rPr>
                <w:b/>
                <w:bCs/>
                <w:color w:val="000000"/>
                <w:sz w:val="20"/>
              </w:rPr>
            </w:pPr>
            <w:r w:rsidRPr="00E234FA">
              <w:rPr>
                <w:b/>
                <w:bCs/>
                <w:color w:val="000000"/>
                <w:sz w:val="20"/>
              </w:rPr>
              <w:t xml:space="preserve">Broadband Coverage </w:t>
            </w:r>
          </w:p>
          <w:p w14:paraId="5AFA0589" w14:textId="77777777" w:rsidR="00E234FA" w:rsidRPr="00E234FA" w:rsidRDefault="00E234FA" w:rsidP="00AB5D00">
            <w:pPr>
              <w:jc w:val="center"/>
              <w:rPr>
                <w:b/>
                <w:bCs/>
                <w:color w:val="000000"/>
                <w:sz w:val="20"/>
              </w:rPr>
            </w:pPr>
            <w:r w:rsidRPr="00E234FA">
              <w:rPr>
                <w:b/>
                <w:bCs/>
                <w:color w:val="000000"/>
                <w:sz w:val="20"/>
              </w:rPr>
              <w:t>&lt; 95%</w:t>
            </w:r>
          </w:p>
        </w:tc>
        <w:tc>
          <w:tcPr>
            <w:tcW w:w="1620" w:type="dxa"/>
            <w:tcBorders>
              <w:top w:val="single" w:sz="8" w:space="0" w:color="000000"/>
              <w:left w:val="nil"/>
              <w:bottom w:val="single" w:sz="8" w:space="0" w:color="C1C1C1"/>
              <w:right w:val="single" w:sz="8" w:space="0" w:color="000000"/>
            </w:tcBorders>
            <w:tcMar>
              <w:top w:w="0" w:type="dxa"/>
              <w:left w:w="108" w:type="dxa"/>
              <w:bottom w:w="0" w:type="dxa"/>
              <w:right w:w="108" w:type="dxa"/>
            </w:tcMar>
            <w:hideMark/>
          </w:tcPr>
          <w:p w14:paraId="44B331DC" w14:textId="77777777" w:rsidR="00E234FA" w:rsidRPr="00E234FA" w:rsidRDefault="00E234FA" w:rsidP="00AB5D00">
            <w:pPr>
              <w:jc w:val="center"/>
              <w:rPr>
                <w:b/>
                <w:bCs/>
                <w:color w:val="000000"/>
                <w:sz w:val="20"/>
              </w:rPr>
            </w:pPr>
            <w:r w:rsidRPr="00E234FA">
              <w:rPr>
                <w:b/>
                <w:bCs/>
                <w:color w:val="000000"/>
                <w:sz w:val="20"/>
              </w:rPr>
              <w:t>95% ≤</w:t>
            </w:r>
          </w:p>
          <w:p w14:paraId="298C9DA3" w14:textId="77777777" w:rsidR="00E234FA" w:rsidRPr="00E234FA" w:rsidRDefault="00E234FA" w:rsidP="00AB5D00">
            <w:pPr>
              <w:jc w:val="center"/>
              <w:rPr>
                <w:b/>
                <w:bCs/>
                <w:color w:val="000000"/>
                <w:sz w:val="20"/>
              </w:rPr>
            </w:pPr>
            <w:r w:rsidRPr="00E234FA">
              <w:rPr>
                <w:b/>
                <w:bCs/>
                <w:color w:val="000000"/>
                <w:sz w:val="20"/>
              </w:rPr>
              <w:t>Broadband Coverage</w:t>
            </w:r>
          </w:p>
        </w:tc>
      </w:tr>
      <w:tr w:rsidR="00E234FA" w:rsidRPr="00B27824" w14:paraId="16C8AE19" w14:textId="77777777" w:rsidTr="0038015D">
        <w:trPr>
          <w:trHeight w:val="300"/>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12CFF69F" w14:textId="77777777" w:rsidR="00E234FA" w:rsidRPr="00E234FA" w:rsidRDefault="00E234FA" w:rsidP="00E234FA">
            <w:pPr>
              <w:spacing w:line="276" w:lineRule="auto"/>
              <w:jc w:val="center"/>
              <w:rPr>
                <w:sz w:val="20"/>
              </w:rPr>
            </w:pPr>
            <w:r w:rsidRPr="00E234FA">
              <w:rPr>
                <w:color w:val="000000"/>
                <w:sz w:val="20"/>
              </w:rPr>
              <w:t>0 to ≤ 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14:paraId="4F34FA5E" w14:textId="64D4F4EF" w:rsidR="00E234FA" w:rsidRPr="00E234FA" w:rsidRDefault="00E234FA" w:rsidP="00E234FA">
            <w:pPr>
              <w:spacing w:line="276" w:lineRule="auto"/>
              <w:jc w:val="center"/>
              <w:rPr>
                <w:color w:val="000000"/>
                <w:sz w:val="20"/>
              </w:rPr>
            </w:pPr>
            <w:r w:rsidRPr="00E234FA">
              <w:rPr>
                <w:color w:val="000000"/>
                <w:sz w:val="20"/>
              </w:rPr>
              <w:t>$1,374</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14:paraId="3E75C25D" w14:textId="25127BC5" w:rsidR="00E234FA" w:rsidRPr="00E234FA" w:rsidRDefault="00E234FA" w:rsidP="00E234FA">
            <w:pPr>
              <w:spacing w:line="276" w:lineRule="auto"/>
              <w:jc w:val="center"/>
              <w:rPr>
                <w:color w:val="000000"/>
                <w:sz w:val="20"/>
              </w:rPr>
            </w:pPr>
            <w:r w:rsidRPr="00E234FA">
              <w:rPr>
                <w:color w:val="000000"/>
                <w:sz w:val="20"/>
              </w:rPr>
              <w:t>$1,690</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14:paraId="46AE37EF" w14:textId="44187510" w:rsidR="00E234FA" w:rsidRPr="00E234FA" w:rsidRDefault="00E234FA" w:rsidP="00E234FA">
            <w:pPr>
              <w:spacing w:line="276" w:lineRule="auto"/>
              <w:jc w:val="center"/>
              <w:rPr>
                <w:color w:val="000000"/>
                <w:sz w:val="20"/>
              </w:rPr>
            </w:pPr>
            <w:r w:rsidRPr="00E234FA">
              <w:rPr>
                <w:color w:val="000000"/>
                <w:sz w:val="20"/>
              </w:rPr>
              <w:t>$1,380</w:t>
            </w:r>
          </w:p>
        </w:tc>
        <w:tc>
          <w:tcPr>
            <w:tcW w:w="1440" w:type="dxa"/>
            <w:tcBorders>
              <w:top w:val="nil"/>
              <w:left w:val="nil"/>
              <w:bottom w:val="single" w:sz="8" w:space="0" w:color="C1C1C1"/>
              <w:right w:val="single" w:sz="8" w:space="0" w:color="C1C1C1"/>
            </w:tcBorders>
            <w:tcMar>
              <w:top w:w="0" w:type="dxa"/>
              <w:left w:w="108" w:type="dxa"/>
              <w:bottom w:w="0" w:type="dxa"/>
              <w:right w:w="108" w:type="dxa"/>
            </w:tcMar>
            <w:hideMark/>
          </w:tcPr>
          <w:p w14:paraId="24A4B6F9" w14:textId="04A70C72" w:rsidR="00E234FA" w:rsidRPr="00E234FA" w:rsidRDefault="00E234FA" w:rsidP="00E234FA">
            <w:pPr>
              <w:spacing w:line="276" w:lineRule="auto"/>
              <w:jc w:val="center"/>
              <w:rPr>
                <w:color w:val="000000"/>
                <w:sz w:val="20"/>
              </w:rPr>
            </w:pPr>
            <w:r w:rsidRPr="00E234FA">
              <w:rPr>
                <w:color w:val="000000"/>
                <w:sz w:val="20"/>
              </w:rPr>
              <w:t>$1,499</w:t>
            </w:r>
          </w:p>
        </w:tc>
        <w:tc>
          <w:tcPr>
            <w:tcW w:w="1620" w:type="dxa"/>
            <w:tcBorders>
              <w:top w:val="nil"/>
              <w:left w:val="nil"/>
              <w:bottom w:val="single" w:sz="8" w:space="0" w:color="C1C1C1"/>
              <w:right w:val="single" w:sz="8" w:space="0" w:color="000000"/>
            </w:tcBorders>
            <w:tcMar>
              <w:top w:w="0" w:type="dxa"/>
              <w:left w:w="108" w:type="dxa"/>
              <w:bottom w:w="0" w:type="dxa"/>
              <w:right w:w="108" w:type="dxa"/>
            </w:tcMar>
            <w:hideMark/>
          </w:tcPr>
          <w:p w14:paraId="5E0C3E8E" w14:textId="50560942" w:rsidR="00E234FA" w:rsidRPr="00E234FA" w:rsidRDefault="00E234FA" w:rsidP="00E234FA">
            <w:pPr>
              <w:spacing w:line="276" w:lineRule="auto"/>
              <w:jc w:val="center"/>
              <w:rPr>
                <w:color w:val="000000"/>
                <w:sz w:val="20"/>
              </w:rPr>
            </w:pPr>
            <w:r w:rsidRPr="00E234FA">
              <w:rPr>
                <w:color w:val="000000"/>
                <w:sz w:val="20"/>
              </w:rPr>
              <w:t>$1,532</w:t>
            </w:r>
          </w:p>
        </w:tc>
      </w:tr>
      <w:tr w:rsidR="00E234FA" w:rsidRPr="00B27824" w14:paraId="6803AAA7" w14:textId="77777777" w:rsidTr="0038015D">
        <w:trPr>
          <w:trHeight w:val="300"/>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2BCBA6C3" w14:textId="77777777" w:rsidR="00E234FA" w:rsidRPr="00E234FA" w:rsidRDefault="00E234FA" w:rsidP="00E234FA">
            <w:pPr>
              <w:spacing w:line="276" w:lineRule="auto"/>
              <w:jc w:val="center"/>
              <w:rPr>
                <w:sz w:val="20"/>
              </w:rPr>
            </w:pPr>
            <w:r w:rsidRPr="00E234FA">
              <w:rPr>
                <w:color w:val="000000"/>
                <w:sz w:val="20"/>
              </w:rPr>
              <w:t>4 to ≤ 11</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14:paraId="3EC94ABA" w14:textId="21869F69" w:rsidR="00E234FA" w:rsidRPr="00E234FA" w:rsidRDefault="00E234FA" w:rsidP="00E234FA">
            <w:pPr>
              <w:spacing w:line="276" w:lineRule="auto"/>
              <w:jc w:val="center"/>
              <w:rPr>
                <w:color w:val="000000"/>
                <w:sz w:val="20"/>
              </w:rPr>
            </w:pPr>
            <w:r w:rsidRPr="00E234FA">
              <w:rPr>
                <w:color w:val="000000"/>
                <w:sz w:val="20"/>
              </w:rPr>
              <w:t>$1,019</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14:paraId="4B448AC6" w14:textId="06DD2ED9" w:rsidR="00E234FA" w:rsidRPr="00E234FA" w:rsidRDefault="00E234FA" w:rsidP="00E234FA">
            <w:pPr>
              <w:spacing w:line="276" w:lineRule="auto"/>
              <w:jc w:val="center"/>
              <w:rPr>
                <w:color w:val="000000"/>
                <w:sz w:val="20"/>
              </w:rPr>
            </w:pPr>
            <w:r w:rsidRPr="00E234FA">
              <w:rPr>
                <w:color w:val="000000"/>
                <w:sz w:val="20"/>
              </w:rPr>
              <w:t>$984</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14:paraId="1F8CB987" w14:textId="30FC63CE" w:rsidR="00E234FA" w:rsidRPr="00E234FA" w:rsidRDefault="00E234FA" w:rsidP="00E234FA">
            <w:pPr>
              <w:spacing w:line="276" w:lineRule="auto"/>
              <w:jc w:val="center"/>
              <w:rPr>
                <w:color w:val="000000"/>
                <w:sz w:val="20"/>
              </w:rPr>
            </w:pPr>
            <w:r w:rsidRPr="00E234FA">
              <w:rPr>
                <w:color w:val="000000"/>
                <w:sz w:val="20"/>
              </w:rPr>
              <w:t>$880</w:t>
            </w:r>
          </w:p>
        </w:tc>
        <w:tc>
          <w:tcPr>
            <w:tcW w:w="1440" w:type="dxa"/>
            <w:tcBorders>
              <w:top w:val="nil"/>
              <w:left w:val="nil"/>
              <w:bottom w:val="single" w:sz="8" w:space="0" w:color="C1C1C1"/>
              <w:right w:val="single" w:sz="8" w:space="0" w:color="C1C1C1"/>
            </w:tcBorders>
            <w:tcMar>
              <w:top w:w="0" w:type="dxa"/>
              <w:left w:w="108" w:type="dxa"/>
              <w:bottom w:w="0" w:type="dxa"/>
              <w:right w:w="108" w:type="dxa"/>
            </w:tcMar>
            <w:hideMark/>
          </w:tcPr>
          <w:p w14:paraId="74B64396" w14:textId="1CB972A1" w:rsidR="00E234FA" w:rsidRPr="00E234FA" w:rsidRDefault="00E234FA" w:rsidP="00E234FA">
            <w:pPr>
              <w:spacing w:line="276" w:lineRule="auto"/>
              <w:jc w:val="center"/>
              <w:rPr>
                <w:color w:val="000000"/>
                <w:sz w:val="20"/>
              </w:rPr>
            </w:pPr>
            <w:r w:rsidRPr="00E234FA">
              <w:rPr>
                <w:color w:val="000000"/>
                <w:sz w:val="20"/>
              </w:rPr>
              <w:t>$1,045</w:t>
            </w:r>
          </w:p>
        </w:tc>
        <w:tc>
          <w:tcPr>
            <w:tcW w:w="1620" w:type="dxa"/>
            <w:tcBorders>
              <w:top w:val="nil"/>
              <w:left w:val="nil"/>
              <w:bottom w:val="single" w:sz="8" w:space="0" w:color="C1C1C1"/>
              <w:right w:val="single" w:sz="8" w:space="0" w:color="000000"/>
            </w:tcBorders>
            <w:tcMar>
              <w:top w:w="0" w:type="dxa"/>
              <w:left w:w="108" w:type="dxa"/>
              <w:bottom w:w="0" w:type="dxa"/>
              <w:right w:w="108" w:type="dxa"/>
            </w:tcMar>
            <w:hideMark/>
          </w:tcPr>
          <w:p w14:paraId="0F4BBFA4" w14:textId="76779E11" w:rsidR="00E234FA" w:rsidRPr="00E234FA" w:rsidRDefault="00E234FA" w:rsidP="00E234FA">
            <w:pPr>
              <w:spacing w:line="276" w:lineRule="auto"/>
              <w:jc w:val="center"/>
              <w:rPr>
                <w:color w:val="000000"/>
                <w:sz w:val="20"/>
              </w:rPr>
            </w:pPr>
            <w:r w:rsidRPr="00E234FA">
              <w:rPr>
                <w:color w:val="000000"/>
                <w:sz w:val="20"/>
              </w:rPr>
              <w:t>$1,319</w:t>
            </w:r>
          </w:p>
        </w:tc>
      </w:tr>
      <w:tr w:rsidR="00E234FA" w:rsidRPr="00B27824" w14:paraId="27D5B14F" w14:textId="77777777" w:rsidTr="0038015D">
        <w:trPr>
          <w:trHeight w:val="300"/>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6FB6ABB8" w14:textId="77777777" w:rsidR="00E234FA" w:rsidRPr="00E234FA" w:rsidRDefault="00E234FA" w:rsidP="00E234FA">
            <w:pPr>
              <w:spacing w:line="276" w:lineRule="auto"/>
              <w:jc w:val="center"/>
              <w:rPr>
                <w:sz w:val="20"/>
              </w:rPr>
            </w:pPr>
            <w:r w:rsidRPr="00E234FA">
              <w:rPr>
                <w:color w:val="000000"/>
                <w:sz w:val="20"/>
              </w:rPr>
              <w:t>11 to ≤ 24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14:paraId="4DE6B6FE" w14:textId="74DDBC30" w:rsidR="00E234FA" w:rsidRPr="00E234FA" w:rsidRDefault="00E234FA" w:rsidP="00E234FA">
            <w:pPr>
              <w:spacing w:line="276" w:lineRule="auto"/>
              <w:jc w:val="center"/>
              <w:rPr>
                <w:color w:val="000000"/>
                <w:sz w:val="20"/>
              </w:rPr>
            </w:pPr>
            <w:r w:rsidRPr="00E234FA">
              <w:rPr>
                <w:color w:val="000000"/>
                <w:sz w:val="20"/>
              </w:rPr>
              <w:t>$1,123</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14:paraId="2706FF93" w14:textId="29DF7753" w:rsidR="00E234FA" w:rsidRPr="00E234FA" w:rsidRDefault="00E234FA" w:rsidP="00E234FA">
            <w:pPr>
              <w:spacing w:line="276" w:lineRule="auto"/>
              <w:jc w:val="center"/>
              <w:rPr>
                <w:color w:val="000000"/>
                <w:sz w:val="20"/>
              </w:rPr>
            </w:pPr>
            <w:r w:rsidRPr="00E234FA">
              <w:rPr>
                <w:color w:val="000000"/>
                <w:sz w:val="20"/>
              </w:rPr>
              <w:t>$663</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14:paraId="528760F3" w14:textId="572EE577" w:rsidR="00E234FA" w:rsidRPr="00E234FA" w:rsidRDefault="00E234FA" w:rsidP="00E234FA">
            <w:pPr>
              <w:spacing w:line="276" w:lineRule="auto"/>
              <w:jc w:val="center"/>
              <w:rPr>
                <w:color w:val="000000"/>
                <w:sz w:val="20"/>
              </w:rPr>
            </w:pPr>
            <w:r w:rsidRPr="00E234FA">
              <w:rPr>
                <w:color w:val="000000"/>
                <w:sz w:val="20"/>
              </w:rPr>
              <w:t>$775</w:t>
            </w:r>
          </w:p>
        </w:tc>
        <w:tc>
          <w:tcPr>
            <w:tcW w:w="1440" w:type="dxa"/>
            <w:tcBorders>
              <w:top w:val="nil"/>
              <w:left w:val="nil"/>
              <w:bottom w:val="single" w:sz="8" w:space="0" w:color="C1C1C1"/>
              <w:right w:val="single" w:sz="8" w:space="0" w:color="C1C1C1"/>
            </w:tcBorders>
            <w:tcMar>
              <w:top w:w="0" w:type="dxa"/>
              <w:left w:w="108" w:type="dxa"/>
              <w:bottom w:w="0" w:type="dxa"/>
              <w:right w:w="108" w:type="dxa"/>
            </w:tcMar>
            <w:hideMark/>
          </w:tcPr>
          <w:p w14:paraId="2E9F2D1C" w14:textId="70656BF8" w:rsidR="00E234FA" w:rsidRPr="00E234FA" w:rsidRDefault="00E234FA" w:rsidP="00E234FA">
            <w:pPr>
              <w:spacing w:line="276" w:lineRule="auto"/>
              <w:jc w:val="center"/>
              <w:rPr>
                <w:color w:val="000000"/>
                <w:sz w:val="20"/>
              </w:rPr>
            </w:pPr>
            <w:r w:rsidRPr="00E234FA">
              <w:rPr>
                <w:color w:val="000000"/>
                <w:sz w:val="20"/>
              </w:rPr>
              <w:t>$1,063</w:t>
            </w:r>
          </w:p>
        </w:tc>
        <w:tc>
          <w:tcPr>
            <w:tcW w:w="1620" w:type="dxa"/>
            <w:tcBorders>
              <w:top w:val="nil"/>
              <w:left w:val="nil"/>
              <w:bottom w:val="single" w:sz="8" w:space="0" w:color="C1C1C1"/>
              <w:right w:val="single" w:sz="8" w:space="0" w:color="000000"/>
            </w:tcBorders>
            <w:tcMar>
              <w:top w:w="0" w:type="dxa"/>
              <w:left w:w="108" w:type="dxa"/>
              <w:bottom w:w="0" w:type="dxa"/>
              <w:right w:w="108" w:type="dxa"/>
            </w:tcMar>
            <w:hideMark/>
          </w:tcPr>
          <w:p w14:paraId="2B92550E" w14:textId="5FEBDFDC" w:rsidR="00E234FA" w:rsidRPr="00E234FA" w:rsidRDefault="00E234FA" w:rsidP="00E234FA">
            <w:pPr>
              <w:spacing w:line="276" w:lineRule="auto"/>
              <w:jc w:val="center"/>
              <w:rPr>
                <w:color w:val="000000"/>
                <w:sz w:val="20"/>
              </w:rPr>
            </w:pPr>
            <w:r w:rsidRPr="00E234FA">
              <w:rPr>
                <w:color w:val="000000"/>
                <w:sz w:val="20"/>
              </w:rPr>
              <w:t>$1,092</w:t>
            </w:r>
          </w:p>
        </w:tc>
      </w:tr>
      <w:tr w:rsidR="00E234FA" w:rsidRPr="00B27824" w14:paraId="7E5D0A43" w14:textId="77777777" w:rsidTr="0038015D">
        <w:trPr>
          <w:trHeight w:val="315"/>
        </w:trPr>
        <w:tc>
          <w:tcPr>
            <w:tcW w:w="1608"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14:paraId="4BFFF885" w14:textId="77777777" w:rsidR="00E234FA" w:rsidRPr="00E234FA" w:rsidRDefault="00E234FA" w:rsidP="00E234FA">
            <w:pPr>
              <w:spacing w:line="276" w:lineRule="auto"/>
              <w:jc w:val="center"/>
              <w:rPr>
                <w:sz w:val="20"/>
              </w:rPr>
            </w:pPr>
            <w:r w:rsidRPr="00E234FA">
              <w:rPr>
                <w:color w:val="000000"/>
                <w:sz w:val="20"/>
              </w:rPr>
              <w:t>24 +</w:t>
            </w:r>
          </w:p>
        </w:tc>
        <w:tc>
          <w:tcPr>
            <w:tcW w:w="1350" w:type="dxa"/>
            <w:tcBorders>
              <w:top w:val="nil"/>
              <w:left w:val="nil"/>
              <w:bottom w:val="single" w:sz="8" w:space="0" w:color="000000"/>
              <w:right w:val="single" w:sz="8" w:space="0" w:color="C1C1C1"/>
            </w:tcBorders>
            <w:tcMar>
              <w:top w:w="0" w:type="dxa"/>
              <w:left w:w="108" w:type="dxa"/>
              <w:bottom w:w="0" w:type="dxa"/>
              <w:right w:w="108" w:type="dxa"/>
            </w:tcMar>
            <w:hideMark/>
          </w:tcPr>
          <w:p w14:paraId="35EDD178" w14:textId="1E87390C" w:rsidR="00E234FA" w:rsidRPr="00E234FA" w:rsidRDefault="00E234FA" w:rsidP="00E234FA">
            <w:pPr>
              <w:spacing w:line="276" w:lineRule="auto"/>
              <w:jc w:val="center"/>
              <w:rPr>
                <w:color w:val="000000"/>
                <w:sz w:val="20"/>
              </w:rPr>
            </w:pPr>
            <w:r w:rsidRPr="00E234FA">
              <w:rPr>
                <w:color w:val="000000"/>
                <w:sz w:val="20"/>
              </w:rPr>
              <w:t>$722</w:t>
            </w:r>
          </w:p>
        </w:tc>
        <w:tc>
          <w:tcPr>
            <w:tcW w:w="1800" w:type="dxa"/>
            <w:tcBorders>
              <w:top w:val="nil"/>
              <w:left w:val="nil"/>
              <w:bottom w:val="single" w:sz="8" w:space="0" w:color="000000"/>
              <w:right w:val="single" w:sz="8" w:space="0" w:color="C1C1C1"/>
            </w:tcBorders>
            <w:tcMar>
              <w:top w:w="0" w:type="dxa"/>
              <w:left w:w="108" w:type="dxa"/>
              <w:bottom w:w="0" w:type="dxa"/>
              <w:right w:w="108" w:type="dxa"/>
            </w:tcMar>
            <w:hideMark/>
          </w:tcPr>
          <w:p w14:paraId="7F89C98C" w14:textId="6B71BD11" w:rsidR="00E234FA" w:rsidRPr="00E234FA" w:rsidRDefault="00E234FA" w:rsidP="00E234FA">
            <w:pPr>
              <w:spacing w:line="276" w:lineRule="auto"/>
              <w:jc w:val="center"/>
              <w:rPr>
                <w:color w:val="000000"/>
                <w:sz w:val="20"/>
              </w:rPr>
            </w:pPr>
            <w:r w:rsidRPr="00E234FA">
              <w:rPr>
                <w:color w:val="000000"/>
                <w:sz w:val="20"/>
              </w:rPr>
              <w:t>$818</w:t>
            </w:r>
          </w:p>
        </w:tc>
        <w:tc>
          <w:tcPr>
            <w:tcW w:w="1530" w:type="dxa"/>
            <w:tcBorders>
              <w:top w:val="nil"/>
              <w:left w:val="nil"/>
              <w:bottom w:val="single" w:sz="8" w:space="0" w:color="000000"/>
              <w:right w:val="single" w:sz="8" w:space="0" w:color="C1C1C1"/>
            </w:tcBorders>
            <w:tcMar>
              <w:top w:w="0" w:type="dxa"/>
              <w:left w:w="108" w:type="dxa"/>
              <w:bottom w:w="0" w:type="dxa"/>
              <w:right w:w="108" w:type="dxa"/>
            </w:tcMar>
            <w:hideMark/>
          </w:tcPr>
          <w:p w14:paraId="640601B5" w14:textId="12E48414" w:rsidR="00E234FA" w:rsidRPr="00E234FA" w:rsidRDefault="00E234FA" w:rsidP="00E234FA">
            <w:pPr>
              <w:spacing w:line="276" w:lineRule="auto"/>
              <w:jc w:val="center"/>
              <w:rPr>
                <w:color w:val="000000"/>
                <w:sz w:val="20"/>
              </w:rPr>
            </w:pPr>
            <w:r w:rsidRPr="00E234FA">
              <w:rPr>
                <w:color w:val="000000"/>
                <w:sz w:val="20"/>
              </w:rPr>
              <w:t>$657</w:t>
            </w:r>
          </w:p>
        </w:tc>
        <w:tc>
          <w:tcPr>
            <w:tcW w:w="1440" w:type="dxa"/>
            <w:tcBorders>
              <w:top w:val="nil"/>
              <w:left w:val="nil"/>
              <w:bottom w:val="single" w:sz="8" w:space="0" w:color="000000"/>
              <w:right w:val="single" w:sz="8" w:space="0" w:color="C1C1C1"/>
            </w:tcBorders>
            <w:tcMar>
              <w:top w:w="0" w:type="dxa"/>
              <w:left w:w="108" w:type="dxa"/>
              <w:bottom w:w="0" w:type="dxa"/>
              <w:right w:w="108" w:type="dxa"/>
            </w:tcMar>
            <w:hideMark/>
          </w:tcPr>
          <w:p w14:paraId="557C74B7" w14:textId="4DDD5987" w:rsidR="00E234FA" w:rsidRPr="00E234FA" w:rsidRDefault="00E234FA" w:rsidP="00E234FA">
            <w:pPr>
              <w:spacing w:line="276" w:lineRule="auto"/>
              <w:jc w:val="center"/>
              <w:rPr>
                <w:color w:val="000000"/>
                <w:sz w:val="20"/>
              </w:rPr>
            </w:pPr>
            <w:r w:rsidRPr="00E234FA">
              <w:rPr>
                <w:color w:val="000000"/>
                <w:sz w:val="20"/>
              </w:rPr>
              <w:t>$767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229662E7" w14:textId="543D6E2D" w:rsidR="00E234FA" w:rsidRPr="00E234FA" w:rsidRDefault="00E234FA" w:rsidP="00E234FA">
            <w:pPr>
              <w:spacing w:line="276" w:lineRule="auto"/>
              <w:jc w:val="center"/>
              <w:rPr>
                <w:color w:val="000000"/>
                <w:sz w:val="20"/>
              </w:rPr>
            </w:pPr>
            <w:r w:rsidRPr="00E234FA">
              <w:rPr>
                <w:color w:val="000000"/>
                <w:sz w:val="20"/>
              </w:rPr>
              <w:t>$795</w:t>
            </w:r>
          </w:p>
        </w:tc>
      </w:tr>
    </w:tbl>
    <w:p w14:paraId="76331590" w14:textId="77777777" w:rsidR="006D7ED8" w:rsidRDefault="006D7ED8" w:rsidP="006D7ED8">
      <w:pPr>
        <w:autoSpaceDE w:val="0"/>
        <w:autoSpaceDN w:val="0"/>
        <w:adjustRightInd w:val="0"/>
        <w:ind w:firstLine="720"/>
      </w:pPr>
    </w:p>
    <w:p w14:paraId="2202D8C7" w14:textId="4D34ED8B" w:rsidR="00C63F98" w:rsidRDefault="00C63F98" w:rsidP="006D7ED8">
      <w:pPr>
        <w:autoSpaceDE w:val="0"/>
        <w:autoSpaceDN w:val="0"/>
        <w:adjustRightInd w:val="0"/>
        <w:spacing w:after="120"/>
        <w:ind w:firstLine="720"/>
      </w:pPr>
      <w:r>
        <w:t xml:space="preserve">The chart below shows </w:t>
      </w:r>
      <w:r w:rsidR="00C55B17">
        <w:t>150 percent of the</w:t>
      </w:r>
      <w:r>
        <w:t xml:space="preserve"> weighted average unseparated cost per loop in dollars </w:t>
      </w:r>
      <w:r w:rsidRPr="00E978A2">
        <w:t>for each group</w:t>
      </w:r>
      <w:r>
        <w:t xml:space="preserve"> subject to the mandatory buildout obligation:</w:t>
      </w:r>
    </w:p>
    <w:tbl>
      <w:tblPr>
        <w:tblW w:w="6930" w:type="dxa"/>
        <w:tblInd w:w="980" w:type="dxa"/>
        <w:tblLayout w:type="fixed"/>
        <w:tblCellMar>
          <w:left w:w="0" w:type="dxa"/>
          <w:right w:w="0" w:type="dxa"/>
        </w:tblCellMar>
        <w:tblLook w:val="04A0" w:firstRow="1" w:lastRow="0" w:firstColumn="1" w:lastColumn="0" w:noHBand="0" w:noVBand="1"/>
      </w:tblPr>
      <w:tblGrid>
        <w:gridCol w:w="1412"/>
        <w:gridCol w:w="2098"/>
        <w:gridCol w:w="1980"/>
        <w:gridCol w:w="1440"/>
      </w:tblGrid>
      <w:tr w:rsidR="00C63F98" w:rsidRPr="00E234FA" w14:paraId="30D4F4FA" w14:textId="77777777" w:rsidTr="00C63F98">
        <w:trPr>
          <w:trHeight w:val="300"/>
        </w:trPr>
        <w:tc>
          <w:tcPr>
            <w:tcW w:w="1412"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14:paraId="28D2DA77" w14:textId="77777777" w:rsidR="00C63F98" w:rsidRPr="00E234FA" w:rsidRDefault="00C63F98" w:rsidP="00AB5D00">
            <w:pPr>
              <w:jc w:val="center"/>
              <w:rPr>
                <w:sz w:val="20"/>
              </w:rPr>
            </w:pPr>
            <w:r w:rsidRPr="00E234FA">
              <w:rPr>
                <w:b/>
                <w:bCs/>
                <w:color w:val="000000"/>
                <w:sz w:val="20"/>
              </w:rPr>
              <w:t>Land Density in Square Miles</w:t>
            </w:r>
          </w:p>
        </w:tc>
        <w:tc>
          <w:tcPr>
            <w:tcW w:w="2098"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3C13CABE" w14:textId="77777777" w:rsidR="00C63F98" w:rsidRPr="00E234FA" w:rsidRDefault="00C63F98" w:rsidP="00AB5D00">
            <w:pPr>
              <w:jc w:val="center"/>
              <w:rPr>
                <w:b/>
                <w:bCs/>
                <w:color w:val="000000"/>
                <w:sz w:val="20"/>
              </w:rPr>
            </w:pPr>
            <w:r w:rsidRPr="00E234FA">
              <w:rPr>
                <w:b/>
                <w:bCs/>
                <w:color w:val="000000"/>
                <w:sz w:val="20"/>
              </w:rPr>
              <w:t>No Broadband Coverage</w:t>
            </w:r>
          </w:p>
        </w:tc>
        <w:tc>
          <w:tcPr>
            <w:tcW w:w="198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5E55A7C0" w14:textId="77777777" w:rsidR="00C63F98" w:rsidRPr="00E234FA" w:rsidRDefault="00C63F98" w:rsidP="00AB5D00">
            <w:pPr>
              <w:jc w:val="center"/>
              <w:rPr>
                <w:b/>
                <w:bCs/>
                <w:color w:val="000000"/>
                <w:sz w:val="20"/>
              </w:rPr>
            </w:pPr>
            <w:r w:rsidRPr="00E234FA">
              <w:rPr>
                <w:b/>
                <w:bCs/>
                <w:color w:val="000000"/>
                <w:sz w:val="20"/>
              </w:rPr>
              <w:t>0%</w:t>
            </w:r>
            <w:r>
              <w:rPr>
                <w:b/>
                <w:bCs/>
                <w:color w:val="000000"/>
                <w:sz w:val="20"/>
              </w:rPr>
              <w:t xml:space="preserve"> </w:t>
            </w:r>
            <w:r w:rsidRPr="00E234FA">
              <w:rPr>
                <w:b/>
                <w:bCs/>
                <w:color w:val="000000"/>
                <w:sz w:val="20"/>
              </w:rPr>
              <w:t xml:space="preserve">&lt; </w:t>
            </w:r>
          </w:p>
          <w:p w14:paraId="17114A98" w14:textId="77777777" w:rsidR="00C63F98" w:rsidRPr="00E234FA" w:rsidRDefault="00C63F98" w:rsidP="00AB5D00">
            <w:pPr>
              <w:jc w:val="center"/>
              <w:rPr>
                <w:b/>
                <w:bCs/>
                <w:color w:val="000000"/>
                <w:sz w:val="20"/>
              </w:rPr>
            </w:pPr>
            <w:r w:rsidRPr="00E234FA">
              <w:rPr>
                <w:b/>
                <w:bCs/>
                <w:color w:val="000000"/>
                <w:sz w:val="20"/>
              </w:rPr>
              <w:t>Broadband Coverage</w:t>
            </w:r>
          </w:p>
          <w:p w14:paraId="0D675488" w14:textId="77777777" w:rsidR="00C63F98" w:rsidRPr="00E234FA" w:rsidRDefault="00C63F98" w:rsidP="00AB5D00">
            <w:pPr>
              <w:jc w:val="center"/>
              <w:rPr>
                <w:b/>
                <w:bCs/>
                <w:color w:val="000000"/>
                <w:sz w:val="20"/>
              </w:rPr>
            </w:pPr>
            <w:r w:rsidRPr="00E234FA">
              <w:rPr>
                <w:b/>
                <w:bCs/>
                <w:color w:val="000000"/>
                <w:sz w:val="20"/>
              </w:rPr>
              <w:t>&lt; 50%</w:t>
            </w:r>
          </w:p>
        </w:tc>
        <w:tc>
          <w:tcPr>
            <w:tcW w:w="1440" w:type="dxa"/>
            <w:tcBorders>
              <w:top w:val="single" w:sz="8" w:space="0" w:color="000000"/>
              <w:left w:val="nil"/>
              <w:bottom w:val="single" w:sz="8" w:space="0" w:color="C1C1C1"/>
              <w:right w:val="single" w:sz="4" w:space="0" w:color="auto"/>
            </w:tcBorders>
            <w:tcMar>
              <w:top w:w="0" w:type="dxa"/>
              <w:left w:w="108" w:type="dxa"/>
              <w:bottom w:w="0" w:type="dxa"/>
              <w:right w:w="108" w:type="dxa"/>
            </w:tcMar>
            <w:hideMark/>
          </w:tcPr>
          <w:p w14:paraId="5022986F" w14:textId="77777777" w:rsidR="00C63F98" w:rsidRPr="00E234FA" w:rsidRDefault="00C63F98" w:rsidP="00AB5D00">
            <w:pPr>
              <w:jc w:val="center"/>
              <w:rPr>
                <w:b/>
                <w:bCs/>
                <w:color w:val="000000"/>
                <w:sz w:val="20"/>
              </w:rPr>
            </w:pPr>
            <w:r w:rsidRPr="00E234FA">
              <w:rPr>
                <w:b/>
                <w:bCs/>
                <w:color w:val="000000"/>
                <w:sz w:val="20"/>
              </w:rPr>
              <w:t xml:space="preserve">50% ≤ Broadband Coverage </w:t>
            </w:r>
          </w:p>
          <w:p w14:paraId="5A3EA88C" w14:textId="77777777" w:rsidR="00C63F98" w:rsidRPr="00E234FA" w:rsidRDefault="00C63F98" w:rsidP="00AB5D00">
            <w:pPr>
              <w:jc w:val="center"/>
              <w:rPr>
                <w:b/>
                <w:bCs/>
                <w:color w:val="000000"/>
                <w:sz w:val="20"/>
              </w:rPr>
            </w:pPr>
            <w:r w:rsidRPr="00E234FA">
              <w:rPr>
                <w:b/>
                <w:bCs/>
                <w:color w:val="000000"/>
                <w:sz w:val="20"/>
              </w:rPr>
              <w:t>&lt; 80%</w:t>
            </w:r>
          </w:p>
        </w:tc>
      </w:tr>
      <w:tr w:rsidR="00C63F98" w:rsidRPr="00E234FA" w14:paraId="68DCD24B" w14:textId="77777777" w:rsidTr="00C63F98">
        <w:trPr>
          <w:trHeight w:val="300"/>
        </w:trPr>
        <w:tc>
          <w:tcPr>
            <w:tcW w:w="1412"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74C6E6CB" w14:textId="77777777" w:rsidR="00C63F98" w:rsidRPr="00E234FA" w:rsidRDefault="00C63F98" w:rsidP="00C63F98">
            <w:pPr>
              <w:spacing w:line="276" w:lineRule="auto"/>
              <w:jc w:val="center"/>
              <w:rPr>
                <w:sz w:val="20"/>
              </w:rPr>
            </w:pPr>
            <w:r w:rsidRPr="00E234FA">
              <w:rPr>
                <w:color w:val="000000"/>
                <w:sz w:val="20"/>
              </w:rPr>
              <w:t>0 to ≤ 4</w:t>
            </w:r>
          </w:p>
        </w:tc>
        <w:tc>
          <w:tcPr>
            <w:tcW w:w="2098" w:type="dxa"/>
            <w:tcBorders>
              <w:top w:val="nil"/>
              <w:left w:val="nil"/>
              <w:bottom w:val="single" w:sz="8" w:space="0" w:color="C1C1C1"/>
              <w:right w:val="single" w:sz="8" w:space="0" w:color="C1C1C1"/>
            </w:tcBorders>
            <w:tcMar>
              <w:top w:w="0" w:type="dxa"/>
              <w:left w:w="108" w:type="dxa"/>
              <w:bottom w:w="0" w:type="dxa"/>
              <w:right w:w="108" w:type="dxa"/>
            </w:tcMar>
            <w:hideMark/>
          </w:tcPr>
          <w:p w14:paraId="0D9100FF" w14:textId="0D497A38" w:rsidR="00C63F98" w:rsidRPr="00C63F98" w:rsidRDefault="00C63F98" w:rsidP="00C63F98">
            <w:pPr>
              <w:spacing w:line="276" w:lineRule="auto"/>
              <w:jc w:val="center"/>
              <w:rPr>
                <w:color w:val="000000"/>
                <w:sz w:val="20"/>
              </w:rPr>
            </w:pPr>
            <w:r w:rsidRPr="00C63F98">
              <w:rPr>
                <w:color w:val="000000"/>
                <w:sz w:val="20"/>
              </w:rPr>
              <w:t>$2,061</w:t>
            </w:r>
          </w:p>
        </w:tc>
        <w:tc>
          <w:tcPr>
            <w:tcW w:w="1980" w:type="dxa"/>
            <w:tcBorders>
              <w:top w:val="nil"/>
              <w:left w:val="nil"/>
              <w:bottom w:val="single" w:sz="8" w:space="0" w:color="C1C1C1"/>
              <w:right w:val="single" w:sz="8" w:space="0" w:color="C1C1C1"/>
            </w:tcBorders>
            <w:tcMar>
              <w:top w:w="0" w:type="dxa"/>
              <w:left w:w="108" w:type="dxa"/>
              <w:bottom w:w="0" w:type="dxa"/>
              <w:right w:w="108" w:type="dxa"/>
            </w:tcMar>
            <w:hideMark/>
          </w:tcPr>
          <w:p w14:paraId="0EDFE4DF" w14:textId="4A86267B" w:rsidR="00C63F98" w:rsidRPr="00C63F98" w:rsidRDefault="00C63F98" w:rsidP="00C63F98">
            <w:pPr>
              <w:spacing w:line="276" w:lineRule="auto"/>
              <w:jc w:val="center"/>
              <w:rPr>
                <w:color w:val="000000"/>
                <w:sz w:val="20"/>
              </w:rPr>
            </w:pPr>
            <w:r w:rsidRPr="00C63F98">
              <w:rPr>
                <w:color w:val="000000"/>
                <w:sz w:val="20"/>
              </w:rPr>
              <w:t>$2,535</w:t>
            </w:r>
          </w:p>
        </w:tc>
        <w:tc>
          <w:tcPr>
            <w:tcW w:w="1440" w:type="dxa"/>
            <w:tcBorders>
              <w:top w:val="single" w:sz="8" w:space="0" w:color="C1C1C1"/>
              <w:left w:val="nil"/>
              <w:bottom w:val="single" w:sz="8" w:space="0" w:color="C1C1C1"/>
              <w:right w:val="single" w:sz="4" w:space="0" w:color="auto"/>
            </w:tcBorders>
            <w:tcMar>
              <w:top w:w="0" w:type="dxa"/>
              <w:left w:w="108" w:type="dxa"/>
              <w:bottom w:w="0" w:type="dxa"/>
              <w:right w:w="108" w:type="dxa"/>
            </w:tcMar>
            <w:hideMark/>
          </w:tcPr>
          <w:p w14:paraId="3E5BF543" w14:textId="03A96C2C" w:rsidR="00C63F98" w:rsidRPr="00C63F98" w:rsidRDefault="00C63F98" w:rsidP="00C63F98">
            <w:pPr>
              <w:spacing w:line="276" w:lineRule="auto"/>
              <w:jc w:val="center"/>
              <w:rPr>
                <w:color w:val="000000"/>
                <w:sz w:val="20"/>
              </w:rPr>
            </w:pPr>
            <w:r w:rsidRPr="00C63F98">
              <w:rPr>
                <w:color w:val="000000"/>
                <w:sz w:val="20"/>
              </w:rPr>
              <w:t>$2,071</w:t>
            </w:r>
          </w:p>
        </w:tc>
      </w:tr>
      <w:tr w:rsidR="00C63F98" w:rsidRPr="00E234FA" w14:paraId="470A760F" w14:textId="77777777" w:rsidTr="00C63F98">
        <w:trPr>
          <w:trHeight w:val="300"/>
        </w:trPr>
        <w:tc>
          <w:tcPr>
            <w:tcW w:w="1412"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7A7C87F8" w14:textId="77777777" w:rsidR="00C63F98" w:rsidRPr="00E234FA" w:rsidRDefault="00C63F98" w:rsidP="00C63F98">
            <w:pPr>
              <w:spacing w:line="276" w:lineRule="auto"/>
              <w:jc w:val="center"/>
              <w:rPr>
                <w:sz w:val="20"/>
              </w:rPr>
            </w:pPr>
            <w:r w:rsidRPr="00E234FA">
              <w:rPr>
                <w:color w:val="000000"/>
                <w:sz w:val="20"/>
              </w:rPr>
              <w:t>4 to ≤ 11</w:t>
            </w:r>
          </w:p>
        </w:tc>
        <w:tc>
          <w:tcPr>
            <w:tcW w:w="2098" w:type="dxa"/>
            <w:tcBorders>
              <w:top w:val="nil"/>
              <w:left w:val="nil"/>
              <w:bottom w:val="single" w:sz="8" w:space="0" w:color="C1C1C1"/>
              <w:right w:val="single" w:sz="8" w:space="0" w:color="C1C1C1"/>
            </w:tcBorders>
            <w:tcMar>
              <w:top w:w="0" w:type="dxa"/>
              <w:left w:w="108" w:type="dxa"/>
              <w:bottom w:w="0" w:type="dxa"/>
              <w:right w:w="108" w:type="dxa"/>
            </w:tcMar>
            <w:hideMark/>
          </w:tcPr>
          <w:p w14:paraId="1679378C" w14:textId="5671F222" w:rsidR="00C63F98" w:rsidRPr="00C63F98" w:rsidRDefault="00C63F98" w:rsidP="00C63F98">
            <w:pPr>
              <w:spacing w:line="276" w:lineRule="auto"/>
              <w:jc w:val="center"/>
              <w:rPr>
                <w:color w:val="000000"/>
                <w:sz w:val="20"/>
              </w:rPr>
            </w:pPr>
            <w:r w:rsidRPr="00C63F98">
              <w:rPr>
                <w:color w:val="000000"/>
                <w:sz w:val="20"/>
              </w:rPr>
              <w:t>$1,528</w:t>
            </w:r>
          </w:p>
        </w:tc>
        <w:tc>
          <w:tcPr>
            <w:tcW w:w="1980" w:type="dxa"/>
            <w:tcBorders>
              <w:top w:val="nil"/>
              <w:left w:val="nil"/>
              <w:bottom w:val="single" w:sz="8" w:space="0" w:color="C1C1C1"/>
              <w:right w:val="single" w:sz="8" w:space="0" w:color="C1C1C1"/>
            </w:tcBorders>
            <w:tcMar>
              <w:top w:w="0" w:type="dxa"/>
              <w:left w:w="108" w:type="dxa"/>
              <w:bottom w:w="0" w:type="dxa"/>
              <w:right w:w="108" w:type="dxa"/>
            </w:tcMar>
            <w:hideMark/>
          </w:tcPr>
          <w:p w14:paraId="4354B27A" w14:textId="2A551691" w:rsidR="00C63F98" w:rsidRPr="00C63F98" w:rsidRDefault="00C63F98" w:rsidP="00C63F98">
            <w:pPr>
              <w:spacing w:line="276" w:lineRule="auto"/>
              <w:jc w:val="center"/>
              <w:rPr>
                <w:color w:val="000000"/>
                <w:sz w:val="20"/>
              </w:rPr>
            </w:pPr>
            <w:r w:rsidRPr="00C63F98">
              <w:rPr>
                <w:color w:val="000000"/>
                <w:sz w:val="20"/>
              </w:rPr>
              <w:t>$1,476</w:t>
            </w:r>
          </w:p>
        </w:tc>
        <w:tc>
          <w:tcPr>
            <w:tcW w:w="1440" w:type="dxa"/>
            <w:tcBorders>
              <w:top w:val="single" w:sz="8" w:space="0" w:color="C1C1C1"/>
              <w:left w:val="nil"/>
              <w:bottom w:val="single" w:sz="8" w:space="0" w:color="C1C1C1"/>
              <w:right w:val="single" w:sz="4" w:space="0" w:color="auto"/>
            </w:tcBorders>
            <w:tcMar>
              <w:top w:w="0" w:type="dxa"/>
              <w:left w:w="108" w:type="dxa"/>
              <w:bottom w:w="0" w:type="dxa"/>
              <w:right w:w="108" w:type="dxa"/>
            </w:tcMar>
            <w:hideMark/>
          </w:tcPr>
          <w:p w14:paraId="234FCA23" w14:textId="0CC690E4" w:rsidR="00C63F98" w:rsidRPr="00C63F98" w:rsidRDefault="00C63F98" w:rsidP="00C63F98">
            <w:pPr>
              <w:spacing w:line="276" w:lineRule="auto"/>
              <w:jc w:val="center"/>
              <w:rPr>
                <w:color w:val="000000"/>
                <w:sz w:val="20"/>
              </w:rPr>
            </w:pPr>
            <w:r w:rsidRPr="00C63F98">
              <w:rPr>
                <w:color w:val="000000"/>
                <w:sz w:val="20"/>
              </w:rPr>
              <w:t>$1,320</w:t>
            </w:r>
          </w:p>
        </w:tc>
      </w:tr>
      <w:tr w:rsidR="00C63F98" w:rsidRPr="00E234FA" w14:paraId="24E26DF9" w14:textId="77777777" w:rsidTr="00C63F98">
        <w:trPr>
          <w:trHeight w:val="300"/>
        </w:trPr>
        <w:tc>
          <w:tcPr>
            <w:tcW w:w="1412"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775FF304" w14:textId="77777777" w:rsidR="00C63F98" w:rsidRPr="00E234FA" w:rsidRDefault="00C63F98" w:rsidP="00C63F98">
            <w:pPr>
              <w:spacing w:line="276" w:lineRule="auto"/>
              <w:jc w:val="center"/>
              <w:rPr>
                <w:sz w:val="20"/>
              </w:rPr>
            </w:pPr>
            <w:r w:rsidRPr="00E234FA">
              <w:rPr>
                <w:color w:val="000000"/>
                <w:sz w:val="20"/>
              </w:rPr>
              <w:t>11 to ≤ 24</w:t>
            </w:r>
          </w:p>
        </w:tc>
        <w:tc>
          <w:tcPr>
            <w:tcW w:w="2098" w:type="dxa"/>
            <w:tcBorders>
              <w:top w:val="nil"/>
              <w:left w:val="nil"/>
              <w:bottom w:val="single" w:sz="8" w:space="0" w:color="C1C1C1"/>
              <w:right w:val="single" w:sz="8" w:space="0" w:color="C1C1C1"/>
            </w:tcBorders>
            <w:tcMar>
              <w:top w:w="0" w:type="dxa"/>
              <w:left w:w="108" w:type="dxa"/>
              <w:bottom w:w="0" w:type="dxa"/>
              <w:right w:w="108" w:type="dxa"/>
            </w:tcMar>
            <w:hideMark/>
          </w:tcPr>
          <w:p w14:paraId="36FACAED" w14:textId="03A89137" w:rsidR="00C63F98" w:rsidRPr="00C63F98" w:rsidRDefault="00C63F98" w:rsidP="00C63F98">
            <w:pPr>
              <w:spacing w:line="276" w:lineRule="auto"/>
              <w:jc w:val="center"/>
              <w:rPr>
                <w:color w:val="000000"/>
                <w:sz w:val="20"/>
              </w:rPr>
            </w:pPr>
            <w:r w:rsidRPr="00C63F98">
              <w:rPr>
                <w:color w:val="000000"/>
                <w:sz w:val="20"/>
              </w:rPr>
              <w:t>$1,684</w:t>
            </w:r>
          </w:p>
        </w:tc>
        <w:tc>
          <w:tcPr>
            <w:tcW w:w="1980" w:type="dxa"/>
            <w:tcBorders>
              <w:top w:val="nil"/>
              <w:left w:val="nil"/>
              <w:bottom w:val="single" w:sz="8" w:space="0" w:color="C1C1C1"/>
              <w:right w:val="single" w:sz="8" w:space="0" w:color="C1C1C1"/>
            </w:tcBorders>
            <w:tcMar>
              <w:top w:w="0" w:type="dxa"/>
              <w:left w:w="108" w:type="dxa"/>
              <w:bottom w:w="0" w:type="dxa"/>
              <w:right w:w="108" w:type="dxa"/>
            </w:tcMar>
            <w:hideMark/>
          </w:tcPr>
          <w:p w14:paraId="4E47C448" w14:textId="0D880FF5" w:rsidR="00C63F98" w:rsidRPr="00C63F98" w:rsidRDefault="00C63F98" w:rsidP="00C63F98">
            <w:pPr>
              <w:spacing w:line="276" w:lineRule="auto"/>
              <w:jc w:val="center"/>
              <w:rPr>
                <w:color w:val="000000"/>
                <w:sz w:val="20"/>
              </w:rPr>
            </w:pPr>
            <w:r w:rsidRPr="00C63F98">
              <w:rPr>
                <w:color w:val="000000"/>
                <w:sz w:val="20"/>
              </w:rPr>
              <w:t>$995</w:t>
            </w:r>
          </w:p>
        </w:tc>
        <w:tc>
          <w:tcPr>
            <w:tcW w:w="1440" w:type="dxa"/>
            <w:tcBorders>
              <w:top w:val="single" w:sz="8" w:space="0" w:color="C1C1C1"/>
              <w:left w:val="nil"/>
              <w:bottom w:val="single" w:sz="8" w:space="0" w:color="C1C1C1"/>
              <w:right w:val="single" w:sz="4" w:space="0" w:color="auto"/>
            </w:tcBorders>
            <w:tcMar>
              <w:top w:w="0" w:type="dxa"/>
              <w:left w:w="108" w:type="dxa"/>
              <w:bottom w:w="0" w:type="dxa"/>
              <w:right w:w="108" w:type="dxa"/>
            </w:tcMar>
            <w:hideMark/>
          </w:tcPr>
          <w:p w14:paraId="3241E45C" w14:textId="163F8327" w:rsidR="00C63F98" w:rsidRPr="00C63F98" w:rsidRDefault="00C63F98" w:rsidP="00C63F98">
            <w:pPr>
              <w:spacing w:line="276" w:lineRule="auto"/>
              <w:jc w:val="center"/>
              <w:rPr>
                <w:color w:val="000000"/>
                <w:sz w:val="20"/>
              </w:rPr>
            </w:pPr>
            <w:r w:rsidRPr="00C63F98">
              <w:rPr>
                <w:color w:val="000000"/>
                <w:sz w:val="20"/>
              </w:rPr>
              <w:t>$1,163</w:t>
            </w:r>
          </w:p>
        </w:tc>
      </w:tr>
      <w:tr w:rsidR="00C63F98" w:rsidRPr="00E234FA" w14:paraId="539B29A2" w14:textId="77777777" w:rsidTr="00C63F98">
        <w:trPr>
          <w:trHeight w:val="315"/>
        </w:trPr>
        <w:tc>
          <w:tcPr>
            <w:tcW w:w="1412"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14:paraId="1DA1A70D" w14:textId="77777777" w:rsidR="00C63F98" w:rsidRPr="00E234FA" w:rsidRDefault="00C63F98" w:rsidP="00C63F98">
            <w:pPr>
              <w:spacing w:line="276" w:lineRule="auto"/>
              <w:jc w:val="center"/>
              <w:rPr>
                <w:sz w:val="20"/>
              </w:rPr>
            </w:pPr>
            <w:r w:rsidRPr="00E234FA">
              <w:rPr>
                <w:color w:val="000000"/>
                <w:sz w:val="20"/>
              </w:rPr>
              <w:t>24 +</w:t>
            </w:r>
          </w:p>
        </w:tc>
        <w:tc>
          <w:tcPr>
            <w:tcW w:w="2098" w:type="dxa"/>
            <w:tcBorders>
              <w:top w:val="nil"/>
              <w:left w:val="nil"/>
              <w:bottom w:val="single" w:sz="8" w:space="0" w:color="000000"/>
              <w:right w:val="single" w:sz="8" w:space="0" w:color="C1C1C1"/>
            </w:tcBorders>
            <w:tcMar>
              <w:top w:w="0" w:type="dxa"/>
              <w:left w:w="108" w:type="dxa"/>
              <w:bottom w:w="0" w:type="dxa"/>
              <w:right w:w="108" w:type="dxa"/>
            </w:tcMar>
            <w:hideMark/>
          </w:tcPr>
          <w:p w14:paraId="5D925D09" w14:textId="4921B0BC" w:rsidR="00C63F98" w:rsidRPr="00C63F98" w:rsidRDefault="00C63F98" w:rsidP="00C63F98">
            <w:pPr>
              <w:spacing w:line="276" w:lineRule="auto"/>
              <w:jc w:val="center"/>
              <w:rPr>
                <w:color w:val="000000"/>
                <w:sz w:val="20"/>
              </w:rPr>
            </w:pPr>
            <w:r w:rsidRPr="00C63F98">
              <w:rPr>
                <w:color w:val="000000"/>
                <w:sz w:val="20"/>
              </w:rPr>
              <w:t>$1,083</w:t>
            </w:r>
          </w:p>
        </w:tc>
        <w:tc>
          <w:tcPr>
            <w:tcW w:w="1980" w:type="dxa"/>
            <w:tcBorders>
              <w:top w:val="nil"/>
              <w:left w:val="nil"/>
              <w:bottom w:val="single" w:sz="8" w:space="0" w:color="000000"/>
              <w:right w:val="single" w:sz="8" w:space="0" w:color="C1C1C1"/>
            </w:tcBorders>
            <w:tcMar>
              <w:top w:w="0" w:type="dxa"/>
              <w:left w:w="108" w:type="dxa"/>
              <w:bottom w:w="0" w:type="dxa"/>
              <w:right w:w="108" w:type="dxa"/>
            </w:tcMar>
            <w:hideMark/>
          </w:tcPr>
          <w:p w14:paraId="53080EC4" w14:textId="2B8DDF63" w:rsidR="00C63F98" w:rsidRPr="00C63F98" w:rsidRDefault="00C63F98" w:rsidP="00C63F98">
            <w:pPr>
              <w:spacing w:line="276" w:lineRule="auto"/>
              <w:jc w:val="center"/>
              <w:rPr>
                <w:color w:val="000000"/>
                <w:sz w:val="20"/>
              </w:rPr>
            </w:pPr>
            <w:r w:rsidRPr="00C63F98">
              <w:rPr>
                <w:color w:val="000000"/>
                <w:sz w:val="20"/>
              </w:rPr>
              <w:t>$1,227</w:t>
            </w:r>
          </w:p>
        </w:tc>
        <w:tc>
          <w:tcPr>
            <w:tcW w:w="1440" w:type="dxa"/>
            <w:tcBorders>
              <w:top w:val="single" w:sz="8" w:space="0" w:color="C1C1C1"/>
              <w:left w:val="nil"/>
              <w:bottom w:val="single" w:sz="8" w:space="0" w:color="000000"/>
              <w:right w:val="single" w:sz="4" w:space="0" w:color="auto"/>
            </w:tcBorders>
            <w:tcMar>
              <w:top w:w="0" w:type="dxa"/>
              <w:left w:w="108" w:type="dxa"/>
              <w:bottom w:w="0" w:type="dxa"/>
              <w:right w:w="108" w:type="dxa"/>
            </w:tcMar>
            <w:hideMark/>
          </w:tcPr>
          <w:p w14:paraId="772B4FA3" w14:textId="5E83B9CE" w:rsidR="00C63F98" w:rsidRPr="00C63F98" w:rsidRDefault="00C63F98" w:rsidP="00C63F98">
            <w:pPr>
              <w:spacing w:line="276" w:lineRule="auto"/>
              <w:jc w:val="center"/>
              <w:rPr>
                <w:color w:val="000000"/>
                <w:sz w:val="20"/>
              </w:rPr>
            </w:pPr>
            <w:r w:rsidRPr="00C63F98">
              <w:rPr>
                <w:color w:val="000000"/>
                <w:sz w:val="20"/>
              </w:rPr>
              <w:t>$986</w:t>
            </w:r>
          </w:p>
        </w:tc>
      </w:tr>
    </w:tbl>
    <w:p w14:paraId="20CF2435" w14:textId="77777777" w:rsidR="006D7ED8" w:rsidRDefault="006D7ED8" w:rsidP="006D7ED8">
      <w:pPr>
        <w:autoSpaceDE w:val="0"/>
        <w:autoSpaceDN w:val="0"/>
        <w:adjustRightInd w:val="0"/>
        <w:ind w:firstLine="720"/>
      </w:pPr>
    </w:p>
    <w:p w14:paraId="5DAF5363" w14:textId="77777777" w:rsidR="00FC6BC3" w:rsidRDefault="00FC6BC3" w:rsidP="00FC6BC3">
      <w:pPr>
        <w:widowControl/>
        <w:autoSpaceDE w:val="0"/>
        <w:autoSpaceDN w:val="0"/>
        <w:adjustRightInd w:val="0"/>
        <w:spacing w:after="120"/>
        <w:ind w:firstLine="720"/>
      </w:pPr>
    </w:p>
    <w:p w14:paraId="2A1EE5CB" w14:textId="77777777" w:rsidR="00FC6BC3" w:rsidRDefault="00FC6BC3" w:rsidP="006D7ED8">
      <w:pPr>
        <w:widowControl/>
        <w:autoSpaceDE w:val="0"/>
        <w:autoSpaceDN w:val="0"/>
        <w:adjustRightInd w:val="0"/>
        <w:spacing w:after="120"/>
        <w:ind w:firstLine="720"/>
      </w:pPr>
    </w:p>
    <w:p w14:paraId="45D2CBD8" w14:textId="0289C9F6" w:rsidR="00C63F98" w:rsidRDefault="00F145CF" w:rsidP="006D7ED8">
      <w:pPr>
        <w:widowControl/>
        <w:autoSpaceDE w:val="0"/>
        <w:autoSpaceDN w:val="0"/>
        <w:adjustRightInd w:val="0"/>
        <w:spacing w:after="120"/>
        <w:ind w:firstLine="720"/>
      </w:pPr>
      <w:r>
        <w:t xml:space="preserve">Based on this analysis, </w:t>
      </w:r>
      <w:r w:rsidR="001459B7">
        <w:t>t</w:t>
      </w:r>
      <w:r w:rsidR="00A84A1C">
        <w:t xml:space="preserve">he cost metric to be used </w:t>
      </w:r>
      <w:r>
        <w:t xml:space="preserve">in determining the deployment obligation </w:t>
      </w:r>
      <w:r w:rsidR="00A84A1C">
        <w:t>for each density/deployment grouping is as follows:</w:t>
      </w:r>
    </w:p>
    <w:tbl>
      <w:tblPr>
        <w:tblW w:w="6930" w:type="dxa"/>
        <w:tblInd w:w="980" w:type="dxa"/>
        <w:tblLayout w:type="fixed"/>
        <w:tblCellMar>
          <w:left w:w="0" w:type="dxa"/>
          <w:right w:w="0" w:type="dxa"/>
        </w:tblCellMar>
        <w:tblLook w:val="04A0" w:firstRow="1" w:lastRow="0" w:firstColumn="1" w:lastColumn="0" w:noHBand="0" w:noVBand="1"/>
      </w:tblPr>
      <w:tblGrid>
        <w:gridCol w:w="1412"/>
        <w:gridCol w:w="2098"/>
        <w:gridCol w:w="1980"/>
        <w:gridCol w:w="1440"/>
      </w:tblGrid>
      <w:tr w:rsidR="00C63F98" w:rsidRPr="00E234FA" w14:paraId="0C212EFB" w14:textId="77777777" w:rsidTr="00C63F98">
        <w:trPr>
          <w:trHeight w:val="300"/>
        </w:trPr>
        <w:tc>
          <w:tcPr>
            <w:tcW w:w="1412"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14:paraId="4E35B2C2" w14:textId="77777777" w:rsidR="00C63F98" w:rsidRPr="00E234FA" w:rsidRDefault="00C63F98" w:rsidP="00AB5D00">
            <w:pPr>
              <w:jc w:val="center"/>
              <w:rPr>
                <w:sz w:val="20"/>
              </w:rPr>
            </w:pPr>
            <w:r w:rsidRPr="00E234FA">
              <w:rPr>
                <w:b/>
                <w:bCs/>
                <w:color w:val="000000"/>
                <w:sz w:val="20"/>
              </w:rPr>
              <w:t>Land Density in Square Miles</w:t>
            </w:r>
          </w:p>
        </w:tc>
        <w:tc>
          <w:tcPr>
            <w:tcW w:w="2098"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7D179EC7" w14:textId="77777777" w:rsidR="00C63F98" w:rsidRPr="00E234FA" w:rsidRDefault="00C63F98" w:rsidP="00AB5D00">
            <w:pPr>
              <w:jc w:val="center"/>
              <w:rPr>
                <w:b/>
                <w:bCs/>
                <w:color w:val="000000"/>
                <w:sz w:val="20"/>
              </w:rPr>
            </w:pPr>
            <w:r w:rsidRPr="00E234FA">
              <w:rPr>
                <w:b/>
                <w:bCs/>
                <w:color w:val="000000"/>
                <w:sz w:val="20"/>
              </w:rPr>
              <w:t>No Broadband Coverage</w:t>
            </w:r>
          </w:p>
        </w:tc>
        <w:tc>
          <w:tcPr>
            <w:tcW w:w="198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14:paraId="0E33447D" w14:textId="77777777" w:rsidR="00C63F98" w:rsidRPr="00E234FA" w:rsidRDefault="00C63F98" w:rsidP="00AB5D00">
            <w:pPr>
              <w:jc w:val="center"/>
              <w:rPr>
                <w:b/>
                <w:bCs/>
                <w:color w:val="000000"/>
                <w:sz w:val="20"/>
              </w:rPr>
            </w:pPr>
            <w:r w:rsidRPr="00E234FA">
              <w:rPr>
                <w:b/>
                <w:bCs/>
                <w:color w:val="000000"/>
                <w:sz w:val="20"/>
              </w:rPr>
              <w:t>0%</w:t>
            </w:r>
            <w:r>
              <w:rPr>
                <w:b/>
                <w:bCs/>
                <w:color w:val="000000"/>
                <w:sz w:val="20"/>
              </w:rPr>
              <w:t xml:space="preserve"> </w:t>
            </w:r>
            <w:r w:rsidRPr="00E234FA">
              <w:rPr>
                <w:b/>
                <w:bCs/>
                <w:color w:val="000000"/>
                <w:sz w:val="20"/>
              </w:rPr>
              <w:t xml:space="preserve">&lt; </w:t>
            </w:r>
          </w:p>
          <w:p w14:paraId="5FD71D31" w14:textId="77777777" w:rsidR="00C63F98" w:rsidRPr="00E234FA" w:rsidRDefault="00C63F98" w:rsidP="00AB5D00">
            <w:pPr>
              <w:jc w:val="center"/>
              <w:rPr>
                <w:b/>
                <w:bCs/>
                <w:color w:val="000000"/>
                <w:sz w:val="20"/>
              </w:rPr>
            </w:pPr>
            <w:r w:rsidRPr="00E234FA">
              <w:rPr>
                <w:b/>
                <w:bCs/>
                <w:color w:val="000000"/>
                <w:sz w:val="20"/>
              </w:rPr>
              <w:t>Broadband Coverage</w:t>
            </w:r>
          </w:p>
          <w:p w14:paraId="5A87B9F7" w14:textId="77777777" w:rsidR="00C63F98" w:rsidRPr="00E234FA" w:rsidRDefault="00C63F98" w:rsidP="00AB5D00">
            <w:pPr>
              <w:jc w:val="center"/>
              <w:rPr>
                <w:b/>
                <w:bCs/>
                <w:color w:val="000000"/>
                <w:sz w:val="20"/>
              </w:rPr>
            </w:pPr>
            <w:r w:rsidRPr="00E234FA">
              <w:rPr>
                <w:b/>
                <w:bCs/>
                <w:color w:val="000000"/>
                <w:sz w:val="20"/>
              </w:rPr>
              <w:t>&lt; 50%</w:t>
            </w:r>
          </w:p>
        </w:tc>
        <w:tc>
          <w:tcPr>
            <w:tcW w:w="1440" w:type="dxa"/>
            <w:tcBorders>
              <w:top w:val="single" w:sz="8" w:space="0" w:color="000000"/>
              <w:left w:val="nil"/>
              <w:bottom w:val="single" w:sz="8" w:space="0" w:color="C1C1C1"/>
              <w:right w:val="single" w:sz="4" w:space="0" w:color="auto"/>
            </w:tcBorders>
            <w:tcMar>
              <w:top w:w="0" w:type="dxa"/>
              <w:left w:w="108" w:type="dxa"/>
              <w:bottom w:w="0" w:type="dxa"/>
              <w:right w:w="108" w:type="dxa"/>
            </w:tcMar>
            <w:hideMark/>
          </w:tcPr>
          <w:p w14:paraId="23F6186A" w14:textId="77777777" w:rsidR="00C63F98" w:rsidRPr="00E234FA" w:rsidRDefault="00C63F98" w:rsidP="00AB5D00">
            <w:pPr>
              <w:jc w:val="center"/>
              <w:rPr>
                <w:b/>
                <w:bCs/>
                <w:color w:val="000000"/>
                <w:sz w:val="20"/>
              </w:rPr>
            </w:pPr>
            <w:r w:rsidRPr="00E234FA">
              <w:rPr>
                <w:b/>
                <w:bCs/>
                <w:color w:val="000000"/>
                <w:sz w:val="20"/>
              </w:rPr>
              <w:t xml:space="preserve">50% ≤ Broadband Coverage </w:t>
            </w:r>
          </w:p>
          <w:p w14:paraId="331372A0" w14:textId="77777777" w:rsidR="00C63F98" w:rsidRPr="00E234FA" w:rsidRDefault="00C63F98" w:rsidP="00AB5D00">
            <w:pPr>
              <w:jc w:val="center"/>
              <w:rPr>
                <w:b/>
                <w:bCs/>
                <w:color w:val="000000"/>
                <w:sz w:val="20"/>
              </w:rPr>
            </w:pPr>
            <w:r w:rsidRPr="00E234FA">
              <w:rPr>
                <w:b/>
                <w:bCs/>
                <w:color w:val="000000"/>
                <w:sz w:val="20"/>
              </w:rPr>
              <w:t>&lt; 80%</w:t>
            </w:r>
          </w:p>
        </w:tc>
      </w:tr>
      <w:tr w:rsidR="00C63F98" w:rsidRPr="00C63F98" w14:paraId="34E7DB47" w14:textId="77777777" w:rsidTr="00C63F98">
        <w:trPr>
          <w:trHeight w:val="300"/>
        </w:trPr>
        <w:tc>
          <w:tcPr>
            <w:tcW w:w="1412"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70141844" w14:textId="77777777" w:rsidR="00C63F98" w:rsidRPr="00E234FA" w:rsidRDefault="00C63F98" w:rsidP="00C63F98">
            <w:pPr>
              <w:spacing w:line="276" w:lineRule="auto"/>
              <w:jc w:val="center"/>
              <w:rPr>
                <w:sz w:val="20"/>
              </w:rPr>
            </w:pPr>
            <w:r w:rsidRPr="00E234FA">
              <w:rPr>
                <w:color w:val="000000"/>
                <w:sz w:val="20"/>
              </w:rPr>
              <w:t>0 to ≤ 4</w:t>
            </w:r>
          </w:p>
        </w:tc>
        <w:tc>
          <w:tcPr>
            <w:tcW w:w="2098" w:type="dxa"/>
            <w:tcBorders>
              <w:top w:val="nil"/>
              <w:left w:val="nil"/>
              <w:bottom w:val="single" w:sz="8" w:space="0" w:color="C1C1C1"/>
              <w:right w:val="single" w:sz="8" w:space="0" w:color="C1C1C1"/>
            </w:tcBorders>
            <w:tcMar>
              <w:top w:w="0" w:type="dxa"/>
              <w:left w:w="108" w:type="dxa"/>
              <w:bottom w:w="0" w:type="dxa"/>
              <w:right w:w="108" w:type="dxa"/>
            </w:tcMar>
            <w:hideMark/>
          </w:tcPr>
          <w:p w14:paraId="4DF3D4AD" w14:textId="5C1D1F60" w:rsidR="00C63F98" w:rsidRPr="00C63F98" w:rsidRDefault="00C63F98" w:rsidP="00C63F98">
            <w:pPr>
              <w:spacing w:line="276" w:lineRule="auto"/>
              <w:jc w:val="center"/>
              <w:rPr>
                <w:color w:val="000000"/>
                <w:sz w:val="20"/>
              </w:rPr>
            </w:pPr>
            <w:r w:rsidRPr="00C63F98">
              <w:rPr>
                <w:color w:val="000000"/>
                <w:sz w:val="20"/>
              </w:rPr>
              <w:t>2,061</w:t>
            </w:r>
          </w:p>
        </w:tc>
        <w:tc>
          <w:tcPr>
            <w:tcW w:w="1980" w:type="dxa"/>
            <w:tcBorders>
              <w:top w:val="nil"/>
              <w:left w:val="nil"/>
              <w:bottom w:val="single" w:sz="8" w:space="0" w:color="C1C1C1"/>
              <w:right w:val="single" w:sz="8" w:space="0" w:color="C1C1C1"/>
            </w:tcBorders>
            <w:tcMar>
              <w:top w:w="0" w:type="dxa"/>
              <w:left w:w="108" w:type="dxa"/>
              <w:bottom w:w="0" w:type="dxa"/>
              <w:right w:w="108" w:type="dxa"/>
            </w:tcMar>
            <w:hideMark/>
          </w:tcPr>
          <w:p w14:paraId="1E32C0F3" w14:textId="76449827" w:rsidR="00C63F98" w:rsidRPr="00C63F98" w:rsidRDefault="00C63F98" w:rsidP="00C63F98">
            <w:pPr>
              <w:spacing w:line="276" w:lineRule="auto"/>
              <w:jc w:val="center"/>
              <w:rPr>
                <w:color w:val="000000"/>
                <w:sz w:val="20"/>
              </w:rPr>
            </w:pPr>
            <w:r w:rsidRPr="00C63F98">
              <w:rPr>
                <w:color w:val="000000"/>
                <w:sz w:val="20"/>
              </w:rPr>
              <w:t>2,535</w:t>
            </w:r>
          </w:p>
        </w:tc>
        <w:tc>
          <w:tcPr>
            <w:tcW w:w="1440" w:type="dxa"/>
            <w:tcBorders>
              <w:top w:val="single" w:sz="8" w:space="0" w:color="C1C1C1"/>
              <w:left w:val="nil"/>
              <w:bottom w:val="single" w:sz="8" w:space="0" w:color="C1C1C1"/>
              <w:right w:val="single" w:sz="4" w:space="0" w:color="auto"/>
            </w:tcBorders>
            <w:tcMar>
              <w:top w:w="0" w:type="dxa"/>
              <w:left w:w="108" w:type="dxa"/>
              <w:bottom w:w="0" w:type="dxa"/>
              <w:right w:w="108" w:type="dxa"/>
            </w:tcMar>
            <w:hideMark/>
          </w:tcPr>
          <w:p w14:paraId="1C20E46D" w14:textId="24B8029A" w:rsidR="00C63F98" w:rsidRPr="00C63F98" w:rsidRDefault="00C63F98" w:rsidP="00C63F98">
            <w:pPr>
              <w:spacing w:line="276" w:lineRule="auto"/>
              <w:jc w:val="center"/>
              <w:rPr>
                <w:color w:val="000000"/>
                <w:sz w:val="20"/>
              </w:rPr>
            </w:pPr>
            <w:r w:rsidRPr="00C63F98">
              <w:rPr>
                <w:color w:val="000000"/>
                <w:sz w:val="20"/>
              </w:rPr>
              <w:t>2,071</w:t>
            </w:r>
          </w:p>
        </w:tc>
      </w:tr>
      <w:tr w:rsidR="00C63F98" w:rsidRPr="00C63F98" w14:paraId="6AB14DD6" w14:textId="77777777" w:rsidTr="00C63F98">
        <w:trPr>
          <w:trHeight w:val="300"/>
        </w:trPr>
        <w:tc>
          <w:tcPr>
            <w:tcW w:w="1412"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3DD3F6AE" w14:textId="77777777" w:rsidR="00C63F98" w:rsidRPr="00E234FA" w:rsidRDefault="00C63F98" w:rsidP="00C63F98">
            <w:pPr>
              <w:spacing w:line="276" w:lineRule="auto"/>
              <w:jc w:val="center"/>
              <w:rPr>
                <w:sz w:val="20"/>
              </w:rPr>
            </w:pPr>
            <w:r w:rsidRPr="00E234FA">
              <w:rPr>
                <w:color w:val="000000"/>
                <w:sz w:val="20"/>
              </w:rPr>
              <w:t>4 to ≤ 11</w:t>
            </w:r>
          </w:p>
        </w:tc>
        <w:tc>
          <w:tcPr>
            <w:tcW w:w="2098" w:type="dxa"/>
            <w:tcBorders>
              <w:top w:val="nil"/>
              <w:left w:val="nil"/>
              <w:bottom w:val="single" w:sz="8" w:space="0" w:color="C1C1C1"/>
              <w:right w:val="single" w:sz="8" w:space="0" w:color="C1C1C1"/>
            </w:tcBorders>
            <w:tcMar>
              <w:top w:w="0" w:type="dxa"/>
              <w:left w:w="108" w:type="dxa"/>
              <w:bottom w:w="0" w:type="dxa"/>
              <w:right w:w="108" w:type="dxa"/>
            </w:tcMar>
            <w:hideMark/>
          </w:tcPr>
          <w:p w14:paraId="07AB3A6B" w14:textId="77C1428B" w:rsidR="00C63F98" w:rsidRPr="00C63F98" w:rsidRDefault="00C63F98" w:rsidP="00C63F98">
            <w:pPr>
              <w:spacing w:line="276" w:lineRule="auto"/>
              <w:jc w:val="center"/>
              <w:rPr>
                <w:color w:val="000000"/>
                <w:sz w:val="20"/>
              </w:rPr>
            </w:pPr>
            <w:r w:rsidRPr="00C63F98">
              <w:rPr>
                <w:color w:val="000000"/>
                <w:sz w:val="20"/>
              </w:rPr>
              <w:t>1,528</w:t>
            </w:r>
          </w:p>
        </w:tc>
        <w:tc>
          <w:tcPr>
            <w:tcW w:w="1980" w:type="dxa"/>
            <w:tcBorders>
              <w:top w:val="nil"/>
              <w:left w:val="nil"/>
              <w:bottom w:val="single" w:sz="8" w:space="0" w:color="C1C1C1"/>
              <w:right w:val="single" w:sz="8" w:space="0" w:color="C1C1C1"/>
            </w:tcBorders>
            <w:tcMar>
              <w:top w:w="0" w:type="dxa"/>
              <w:left w:w="108" w:type="dxa"/>
              <w:bottom w:w="0" w:type="dxa"/>
              <w:right w:w="108" w:type="dxa"/>
            </w:tcMar>
            <w:hideMark/>
          </w:tcPr>
          <w:p w14:paraId="4EECE01B" w14:textId="6C8BEFC7" w:rsidR="00C63F98" w:rsidRPr="00C63F98" w:rsidRDefault="00C63F98" w:rsidP="00C63F98">
            <w:pPr>
              <w:spacing w:line="276" w:lineRule="auto"/>
              <w:jc w:val="center"/>
              <w:rPr>
                <w:color w:val="000000"/>
                <w:sz w:val="20"/>
              </w:rPr>
            </w:pPr>
            <w:r w:rsidRPr="00C63F98">
              <w:rPr>
                <w:color w:val="000000"/>
                <w:sz w:val="20"/>
              </w:rPr>
              <w:t>1,476</w:t>
            </w:r>
          </w:p>
        </w:tc>
        <w:tc>
          <w:tcPr>
            <w:tcW w:w="1440" w:type="dxa"/>
            <w:tcBorders>
              <w:top w:val="single" w:sz="8" w:space="0" w:color="C1C1C1"/>
              <w:left w:val="nil"/>
              <w:bottom w:val="single" w:sz="8" w:space="0" w:color="C1C1C1"/>
              <w:right w:val="single" w:sz="4" w:space="0" w:color="auto"/>
            </w:tcBorders>
            <w:tcMar>
              <w:top w:w="0" w:type="dxa"/>
              <w:left w:w="108" w:type="dxa"/>
              <w:bottom w:w="0" w:type="dxa"/>
              <w:right w:w="108" w:type="dxa"/>
            </w:tcMar>
            <w:hideMark/>
          </w:tcPr>
          <w:p w14:paraId="705E3F5A" w14:textId="2C490C32" w:rsidR="00C63F98" w:rsidRPr="00C63F98" w:rsidRDefault="00C63F98" w:rsidP="00C63F98">
            <w:pPr>
              <w:spacing w:line="276" w:lineRule="auto"/>
              <w:jc w:val="center"/>
              <w:rPr>
                <w:color w:val="000000"/>
                <w:sz w:val="20"/>
              </w:rPr>
            </w:pPr>
            <w:r w:rsidRPr="00C63F98">
              <w:rPr>
                <w:color w:val="000000"/>
                <w:sz w:val="20"/>
              </w:rPr>
              <w:t>1,320</w:t>
            </w:r>
          </w:p>
        </w:tc>
      </w:tr>
      <w:tr w:rsidR="00C63F98" w:rsidRPr="00C63F98" w14:paraId="5F4F5738" w14:textId="77777777" w:rsidTr="00C63F98">
        <w:trPr>
          <w:trHeight w:val="300"/>
        </w:trPr>
        <w:tc>
          <w:tcPr>
            <w:tcW w:w="1412"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14:paraId="2F040B8C" w14:textId="77777777" w:rsidR="00C63F98" w:rsidRPr="00E234FA" w:rsidRDefault="00C63F98" w:rsidP="00C63F98">
            <w:pPr>
              <w:spacing w:line="276" w:lineRule="auto"/>
              <w:jc w:val="center"/>
              <w:rPr>
                <w:sz w:val="20"/>
              </w:rPr>
            </w:pPr>
            <w:r w:rsidRPr="00E234FA">
              <w:rPr>
                <w:color w:val="000000"/>
                <w:sz w:val="20"/>
              </w:rPr>
              <w:t>11 to ≤ 24</w:t>
            </w:r>
          </w:p>
        </w:tc>
        <w:tc>
          <w:tcPr>
            <w:tcW w:w="2098" w:type="dxa"/>
            <w:tcBorders>
              <w:top w:val="nil"/>
              <w:left w:val="nil"/>
              <w:bottom w:val="single" w:sz="8" w:space="0" w:color="C1C1C1"/>
              <w:right w:val="single" w:sz="8" w:space="0" w:color="C1C1C1"/>
            </w:tcBorders>
            <w:tcMar>
              <w:top w:w="0" w:type="dxa"/>
              <w:left w:w="108" w:type="dxa"/>
              <w:bottom w:w="0" w:type="dxa"/>
              <w:right w:w="108" w:type="dxa"/>
            </w:tcMar>
            <w:hideMark/>
          </w:tcPr>
          <w:p w14:paraId="493BB68D" w14:textId="1D7AFEC1" w:rsidR="00C63F98" w:rsidRPr="00C63F98" w:rsidRDefault="00C63F98" w:rsidP="00C63F98">
            <w:pPr>
              <w:spacing w:line="276" w:lineRule="auto"/>
              <w:jc w:val="center"/>
              <w:rPr>
                <w:color w:val="000000"/>
                <w:sz w:val="20"/>
              </w:rPr>
            </w:pPr>
            <w:r w:rsidRPr="00C63F98">
              <w:rPr>
                <w:color w:val="000000"/>
                <w:sz w:val="20"/>
              </w:rPr>
              <w:t>1,684</w:t>
            </w:r>
          </w:p>
        </w:tc>
        <w:tc>
          <w:tcPr>
            <w:tcW w:w="1980" w:type="dxa"/>
            <w:tcBorders>
              <w:top w:val="nil"/>
              <w:left w:val="nil"/>
              <w:bottom w:val="single" w:sz="8" w:space="0" w:color="C1C1C1"/>
              <w:right w:val="single" w:sz="8" w:space="0" w:color="C1C1C1"/>
            </w:tcBorders>
            <w:tcMar>
              <w:top w:w="0" w:type="dxa"/>
              <w:left w:w="108" w:type="dxa"/>
              <w:bottom w:w="0" w:type="dxa"/>
              <w:right w:w="108" w:type="dxa"/>
            </w:tcMar>
            <w:hideMark/>
          </w:tcPr>
          <w:p w14:paraId="12D71E03" w14:textId="1D5AF35D" w:rsidR="00C63F98" w:rsidRPr="00C63F98" w:rsidRDefault="00C63F98" w:rsidP="00C63F98">
            <w:pPr>
              <w:spacing w:line="276" w:lineRule="auto"/>
              <w:jc w:val="center"/>
              <w:rPr>
                <w:color w:val="000000"/>
                <w:sz w:val="20"/>
              </w:rPr>
            </w:pPr>
            <w:r w:rsidRPr="00C63F98">
              <w:rPr>
                <w:color w:val="000000"/>
                <w:sz w:val="20"/>
              </w:rPr>
              <w:t>1,092</w:t>
            </w:r>
          </w:p>
        </w:tc>
        <w:tc>
          <w:tcPr>
            <w:tcW w:w="1440" w:type="dxa"/>
            <w:tcBorders>
              <w:top w:val="single" w:sz="8" w:space="0" w:color="C1C1C1"/>
              <w:left w:val="nil"/>
              <w:bottom w:val="single" w:sz="8" w:space="0" w:color="C1C1C1"/>
              <w:right w:val="single" w:sz="4" w:space="0" w:color="auto"/>
            </w:tcBorders>
            <w:tcMar>
              <w:top w:w="0" w:type="dxa"/>
              <w:left w:w="108" w:type="dxa"/>
              <w:bottom w:w="0" w:type="dxa"/>
              <w:right w:w="108" w:type="dxa"/>
            </w:tcMar>
            <w:hideMark/>
          </w:tcPr>
          <w:p w14:paraId="61A703F2" w14:textId="69FED8E5" w:rsidR="00C63F98" w:rsidRPr="00C63F98" w:rsidRDefault="00C63F98" w:rsidP="00C63F98">
            <w:pPr>
              <w:spacing w:line="276" w:lineRule="auto"/>
              <w:jc w:val="center"/>
              <w:rPr>
                <w:color w:val="000000"/>
                <w:sz w:val="20"/>
              </w:rPr>
            </w:pPr>
            <w:r w:rsidRPr="00C63F98">
              <w:rPr>
                <w:color w:val="000000"/>
                <w:sz w:val="20"/>
              </w:rPr>
              <w:t>1,163</w:t>
            </w:r>
          </w:p>
        </w:tc>
      </w:tr>
      <w:tr w:rsidR="00C63F98" w:rsidRPr="00C63F98" w14:paraId="3BD118D0" w14:textId="77777777" w:rsidTr="00C63F98">
        <w:trPr>
          <w:trHeight w:val="315"/>
        </w:trPr>
        <w:tc>
          <w:tcPr>
            <w:tcW w:w="1412"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14:paraId="01D1E64D" w14:textId="77777777" w:rsidR="00C63F98" w:rsidRPr="00E234FA" w:rsidRDefault="00C63F98" w:rsidP="00C63F98">
            <w:pPr>
              <w:spacing w:line="276" w:lineRule="auto"/>
              <w:jc w:val="center"/>
              <w:rPr>
                <w:sz w:val="20"/>
              </w:rPr>
            </w:pPr>
            <w:r w:rsidRPr="00E234FA">
              <w:rPr>
                <w:color w:val="000000"/>
                <w:sz w:val="20"/>
              </w:rPr>
              <w:t>24 +</w:t>
            </w:r>
          </w:p>
        </w:tc>
        <w:tc>
          <w:tcPr>
            <w:tcW w:w="2098" w:type="dxa"/>
            <w:tcBorders>
              <w:top w:val="nil"/>
              <w:left w:val="nil"/>
              <w:bottom w:val="single" w:sz="8" w:space="0" w:color="000000"/>
              <w:right w:val="single" w:sz="8" w:space="0" w:color="C1C1C1"/>
            </w:tcBorders>
            <w:tcMar>
              <w:top w:w="0" w:type="dxa"/>
              <w:left w:w="108" w:type="dxa"/>
              <w:bottom w:w="0" w:type="dxa"/>
              <w:right w:w="108" w:type="dxa"/>
            </w:tcMar>
            <w:hideMark/>
          </w:tcPr>
          <w:p w14:paraId="6C7CBB1D" w14:textId="030B111B" w:rsidR="00C63F98" w:rsidRPr="00C63F98" w:rsidRDefault="00C63F98" w:rsidP="00C63F98">
            <w:pPr>
              <w:spacing w:line="276" w:lineRule="auto"/>
              <w:jc w:val="center"/>
              <w:rPr>
                <w:color w:val="000000"/>
                <w:sz w:val="20"/>
              </w:rPr>
            </w:pPr>
            <w:r w:rsidRPr="00C63F98">
              <w:rPr>
                <w:color w:val="000000"/>
                <w:sz w:val="20"/>
              </w:rPr>
              <w:t>1,083</w:t>
            </w:r>
          </w:p>
        </w:tc>
        <w:tc>
          <w:tcPr>
            <w:tcW w:w="1980" w:type="dxa"/>
            <w:tcBorders>
              <w:top w:val="nil"/>
              <w:left w:val="nil"/>
              <w:bottom w:val="single" w:sz="8" w:space="0" w:color="000000"/>
              <w:right w:val="single" w:sz="8" w:space="0" w:color="C1C1C1"/>
            </w:tcBorders>
            <w:tcMar>
              <w:top w:w="0" w:type="dxa"/>
              <w:left w:w="108" w:type="dxa"/>
              <w:bottom w:w="0" w:type="dxa"/>
              <w:right w:w="108" w:type="dxa"/>
            </w:tcMar>
            <w:hideMark/>
          </w:tcPr>
          <w:p w14:paraId="082328A6" w14:textId="2C6DEB0E" w:rsidR="00C63F98" w:rsidRPr="00C63F98" w:rsidRDefault="00C63F98" w:rsidP="00C63F98">
            <w:pPr>
              <w:spacing w:line="276" w:lineRule="auto"/>
              <w:jc w:val="center"/>
              <w:rPr>
                <w:color w:val="000000"/>
                <w:sz w:val="20"/>
              </w:rPr>
            </w:pPr>
            <w:r w:rsidRPr="00C63F98">
              <w:rPr>
                <w:color w:val="000000"/>
                <w:sz w:val="20"/>
              </w:rPr>
              <w:t>1,227</w:t>
            </w:r>
          </w:p>
        </w:tc>
        <w:tc>
          <w:tcPr>
            <w:tcW w:w="1440" w:type="dxa"/>
            <w:tcBorders>
              <w:top w:val="single" w:sz="8" w:space="0" w:color="C1C1C1"/>
              <w:left w:val="nil"/>
              <w:bottom w:val="single" w:sz="8" w:space="0" w:color="000000"/>
              <w:right w:val="single" w:sz="4" w:space="0" w:color="auto"/>
            </w:tcBorders>
            <w:tcMar>
              <w:top w:w="0" w:type="dxa"/>
              <w:left w:w="108" w:type="dxa"/>
              <w:bottom w:w="0" w:type="dxa"/>
              <w:right w:w="108" w:type="dxa"/>
            </w:tcMar>
            <w:hideMark/>
          </w:tcPr>
          <w:p w14:paraId="47DB1C14" w14:textId="038DB756" w:rsidR="00C63F98" w:rsidRPr="00C63F98" w:rsidRDefault="00C63F98" w:rsidP="00C63F98">
            <w:pPr>
              <w:spacing w:line="276" w:lineRule="auto"/>
              <w:jc w:val="center"/>
              <w:rPr>
                <w:color w:val="000000"/>
                <w:sz w:val="20"/>
              </w:rPr>
            </w:pPr>
            <w:r w:rsidRPr="00C63F98">
              <w:rPr>
                <w:color w:val="000000"/>
                <w:sz w:val="20"/>
              </w:rPr>
              <w:t>986</w:t>
            </w:r>
          </w:p>
        </w:tc>
      </w:tr>
    </w:tbl>
    <w:p w14:paraId="77EF10D1" w14:textId="77777777" w:rsidR="006D7ED8" w:rsidRDefault="006D7ED8" w:rsidP="006D7ED8">
      <w:pPr>
        <w:autoSpaceDE w:val="0"/>
        <w:autoSpaceDN w:val="0"/>
        <w:adjustRightInd w:val="0"/>
        <w:ind w:firstLine="720"/>
      </w:pPr>
    </w:p>
    <w:p w14:paraId="493F7438" w14:textId="1F057495" w:rsidR="00356DAC" w:rsidRDefault="00356DAC" w:rsidP="006D7ED8">
      <w:pPr>
        <w:autoSpaceDE w:val="0"/>
        <w:autoSpaceDN w:val="0"/>
        <w:adjustRightInd w:val="0"/>
        <w:spacing w:after="120"/>
        <w:ind w:firstLine="720"/>
      </w:pPr>
      <w:r>
        <w:t xml:space="preserve">The spreadsheet being posted today provides the deployment obligation for each study area for </w:t>
      </w:r>
      <w:r w:rsidR="00C84366">
        <w:t>both</w:t>
      </w:r>
      <w:r>
        <w:t xml:space="preserve"> </w:t>
      </w:r>
      <w:r w:rsidR="0019385E">
        <w:t xml:space="preserve">methods </w:t>
      </w:r>
      <w:r w:rsidR="001459B7">
        <w:t xml:space="preserve">as </w:t>
      </w:r>
      <w:r>
        <w:t xml:space="preserve">outlined in the </w:t>
      </w:r>
      <w:r w:rsidRPr="00356DAC">
        <w:rPr>
          <w:i/>
        </w:rPr>
        <w:t>Order</w:t>
      </w:r>
      <w:r>
        <w:t xml:space="preserve">.  </w:t>
      </w:r>
      <w:r w:rsidR="00FE3B67">
        <w:t xml:space="preserve">In addition, the spreadsheet </w:t>
      </w:r>
      <w:r w:rsidR="00375B3C">
        <w:t xml:space="preserve">includes </w:t>
      </w:r>
      <w:r w:rsidR="00823E29">
        <w:t>further</w:t>
      </w:r>
      <w:r w:rsidR="00FE3B67">
        <w:t xml:space="preserve"> information used for the calculations for each study area. </w:t>
      </w:r>
    </w:p>
    <w:p w14:paraId="48C34A7E" w14:textId="1D27AEE0" w:rsidR="0031182F" w:rsidRDefault="0031182F" w:rsidP="0031182F">
      <w:pPr>
        <w:ind w:firstLine="720"/>
        <w:rPr>
          <w:szCs w:val="22"/>
        </w:rPr>
      </w:pPr>
      <w:r>
        <w:rPr>
          <w:szCs w:val="22"/>
        </w:rPr>
        <w:t xml:space="preserve">For additional information about this Public Notice, please contact Suzanne Yelen at (202) 418-0626 or </w:t>
      </w:r>
      <w:hyperlink r:id="rId9" w:history="1">
        <w:r>
          <w:rPr>
            <w:rStyle w:val="Hyperlink"/>
            <w:szCs w:val="22"/>
          </w:rPr>
          <w:t>Suzanne.Yelen@fcc.gov</w:t>
        </w:r>
      </w:hyperlink>
      <w:r>
        <w:rPr>
          <w:szCs w:val="22"/>
        </w:rPr>
        <w:t>.</w:t>
      </w:r>
    </w:p>
    <w:p w14:paraId="67685F68" w14:textId="14876FBA" w:rsidR="006A1F49" w:rsidRDefault="0031182F" w:rsidP="00DF69EC">
      <w:pPr>
        <w:jc w:val="center"/>
        <w:rPr>
          <w:sz w:val="24"/>
        </w:rPr>
      </w:pPr>
      <w:r>
        <w:rPr>
          <w:b/>
          <w:szCs w:val="22"/>
        </w:rPr>
        <w:t>- FCC -</w:t>
      </w: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B87A5" w14:textId="77777777" w:rsidR="00823E10" w:rsidRDefault="00823E10">
      <w:pPr>
        <w:spacing w:line="20" w:lineRule="exact"/>
      </w:pPr>
    </w:p>
  </w:endnote>
  <w:endnote w:type="continuationSeparator" w:id="0">
    <w:p w14:paraId="2D3534AD" w14:textId="77777777" w:rsidR="00823E10" w:rsidRDefault="00823E10">
      <w:r>
        <w:t xml:space="preserve"> </w:t>
      </w:r>
    </w:p>
  </w:endnote>
  <w:endnote w:type="continuationNotice" w:id="1">
    <w:p w14:paraId="4783C4E2" w14:textId="77777777" w:rsidR="00823E10" w:rsidRDefault="00823E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62825">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959A1" w14:textId="77777777" w:rsidR="00823E10" w:rsidRDefault="00823E10">
      <w:r>
        <w:separator/>
      </w:r>
    </w:p>
  </w:footnote>
  <w:footnote w:type="continuationSeparator" w:id="0">
    <w:p w14:paraId="2CA70FC0" w14:textId="77777777" w:rsidR="00823E10" w:rsidRDefault="00823E10" w:rsidP="00C721AC">
      <w:pPr>
        <w:spacing w:before="120"/>
        <w:rPr>
          <w:sz w:val="20"/>
        </w:rPr>
      </w:pPr>
      <w:r>
        <w:rPr>
          <w:sz w:val="20"/>
        </w:rPr>
        <w:t xml:space="preserve">(Continued from previous page)  </w:t>
      </w:r>
      <w:r>
        <w:rPr>
          <w:sz w:val="20"/>
        </w:rPr>
        <w:separator/>
      </w:r>
    </w:p>
  </w:footnote>
  <w:footnote w:type="continuationNotice" w:id="1">
    <w:p w14:paraId="3D7E9800" w14:textId="77777777" w:rsidR="00823E10" w:rsidRDefault="00823E10" w:rsidP="00C721AC">
      <w:pPr>
        <w:jc w:val="right"/>
        <w:rPr>
          <w:sz w:val="20"/>
        </w:rPr>
      </w:pPr>
      <w:r>
        <w:rPr>
          <w:sz w:val="20"/>
        </w:rPr>
        <w:t>(continued….)</w:t>
      </w:r>
    </w:p>
  </w:footnote>
  <w:footnote w:id="2">
    <w:p w14:paraId="5557D8B0" w14:textId="5DBDB139" w:rsidR="00A84A1C" w:rsidRDefault="00A84A1C">
      <w:pPr>
        <w:pStyle w:val="FootnoteText"/>
      </w:pPr>
      <w:r>
        <w:rPr>
          <w:rStyle w:val="FootnoteReference"/>
        </w:rPr>
        <w:footnoteRef/>
      </w:r>
      <w:r>
        <w:t xml:space="preserve"> Carriers with 80 percent or greater broadband deployment in their study areas are not subject to a defined deployment obligation.</w:t>
      </w:r>
    </w:p>
  </w:footnote>
  <w:footnote w:id="3">
    <w:p w14:paraId="31E5BE10" w14:textId="01BAD21D" w:rsidR="003A142D" w:rsidRDefault="003A142D">
      <w:pPr>
        <w:pStyle w:val="FootnoteText"/>
      </w:pPr>
      <w:r>
        <w:rPr>
          <w:rStyle w:val="FootnoteReference"/>
        </w:rPr>
        <w:footnoteRef/>
      </w:r>
      <w:r>
        <w:t xml:space="preserve"> </w:t>
      </w:r>
      <w:r w:rsidR="006211D6" w:rsidRPr="00276EEC">
        <w:rPr>
          <w:i/>
        </w:rPr>
        <w:t>Connect America Fund et al.,</w:t>
      </w:r>
      <w:r w:rsidR="006211D6">
        <w:t xml:space="preserve"> WC Docket No. 10-90 et al., Report and Order, Order and Order on Reconsideration and Further Notice of Proposed Rulemaking, 31 FCC Rcd 3087, </w:t>
      </w:r>
      <w:r w:rsidR="00FA03D8">
        <w:t>3145, para</w:t>
      </w:r>
      <w:r w:rsidR="006211D6">
        <w:t xml:space="preserve">. </w:t>
      </w:r>
      <w:r w:rsidR="00FA03D8">
        <w:t>156</w:t>
      </w:r>
      <w:r w:rsidR="006211D6">
        <w:t xml:space="preserve"> (2016) (</w:t>
      </w:r>
      <w:r w:rsidR="006211D6" w:rsidRPr="002C0B63">
        <w:rPr>
          <w:i/>
        </w:rPr>
        <w:t>Rate-of-Return Reform Order</w:t>
      </w:r>
      <w:r w:rsidR="006211D6">
        <w:t>).</w:t>
      </w:r>
    </w:p>
  </w:footnote>
  <w:footnote w:id="4">
    <w:p w14:paraId="163DF6E8" w14:textId="275A1188" w:rsidR="0053591A" w:rsidRDefault="0053591A">
      <w:pPr>
        <w:pStyle w:val="FootnoteText"/>
      </w:pPr>
      <w:r>
        <w:rPr>
          <w:rStyle w:val="FootnoteReference"/>
        </w:rPr>
        <w:footnoteRef/>
      </w:r>
      <w:r>
        <w:t xml:space="preserve"> </w:t>
      </w:r>
      <w:r w:rsidRPr="0053591A">
        <w:rPr>
          <w:i/>
        </w:rPr>
        <w:t>Id</w:t>
      </w:r>
      <w:r>
        <w:t>. at 3150, n.373, para. 167.</w:t>
      </w:r>
      <w:r w:rsidR="00A84A1C">
        <w:t xml:space="preserve">  The Bureau expects to post additional information regarding how the five-year forecasts were calculated at a later date.  </w:t>
      </w:r>
    </w:p>
  </w:footnote>
  <w:footnote w:id="5">
    <w:p w14:paraId="72B93DE6" w14:textId="27EB1AF0" w:rsidR="00356DAC" w:rsidRDefault="00356DAC">
      <w:pPr>
        <w:pStyle w:val="FootnoteText"/>
      </w:pPr>
      <w:r>
        <w:rPr>
          <w:rStyle w:val="FootnoteReference"/>
        </w:rPr>
        <w:footnoteRef/>
      </w:r>
      <w:r>
        <w:t xml:space="preserve"> The percentage deployment for each carrier as calculated by the Commission is available at </w:t>
      </w:r>
      <w:hyperlink r:id="rId1" w:history="1">
        <w:r w:rsidR="00823E29">
          <w:rPr>
            <w:rStyle w:val="Hyperlink"/>
          </w:rPr>
          <w:t>https://transition.fcc.gov/wcb/Revised coverage data.xlsx</w:t>
        </w:r>
      </w:hyperlink>
      <w:r>
        <w:t>.</w:t>
      </w:r>
    </w:p>
  </w:footnote>
  <w:footnote w:id="6">
    <w:p w14:paraId="3E9CD11D" w14:textId="3B8A2E74" w:rsidR="0053591A" w:rsidRPr="0053591A" w:rsidRDefault="0053591A">
      <w:pPr>
        <w:pStyle w:val="FootnoteText"/>
      </w:pPr>
      <w:r>
        <w:rPr>
          <w:rStyle w:val="FootnoteReference"/>
        </w:rPr>
        <w:footnoteRef/>
      </w:r>
      <w:r>
        <w:t xml:space="preserve"> </w:t>
      </w:r>
      <w:r w:rsidRPr="002C0B63">
        <w:rPr>
          <w:i/>
        </w:rPr>
        <w:t>Rate-of-Return Reform Order</w:t>
      </w:r>
      <w:r>
        <w:rPr>
          <w:i/>
        </w:rPr>
        <w:t xml:space="preserve">, </w:t>
      </w:r>
      <w:r>
        <w:t>31 FCC Rcd at 3149, para. 166.</w:t>
      </w:r>
    </w:p>
  </w:footnote>
  <w:footnote w:id="7">
    <w:p w14:paraId="5355D30D" w14:textId="3DA21693" w:rsidR="0019385E" w:rsidRDefault="0019385E">
      <w:pPr>
        <w:pStyle w:val="FootnoteText"/>
      </w:pPr>
      <w:r>
        <w:rPr>
          <w:rStyle w:val="FootnoteReference"/>
        </w:rPr>
        <w:footnoteRef/>
      </w:r>
      <w:r>
        <w:t xml:space="preserve"> </w:t>
      </w:r>
      <w:r w:rsidR="00FB3F6B" w:rsidRPr="00FB3F6B">
        <w:t xml:space="preserve"> </w:t>
      </w:r>
      <w:r w:rsidR="00FB3F6B">
        <w:t>T</w:t>
      </w:r>
      <w:r w:rsidR="00FB3F6B" w:rsidRPr="00E978A2">
        <w:t xml:space="preserve">he </w:t>
      </w:r>
      <w:r w:rsidR="00FB3F6B">
        <w:t xml:space="preserve">weighted average unseparated cost per loop data is derived from NECA’s 2015 Study Results.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DFEF" w14:textId="77777777" w:rsidR="00253E8C" w:rsidRDefault="0025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4DD1" w14:textId="77777777" w:rsidR="00253E8C" w:rsidRDefault="00253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4D4DA3" wp14:editId="3FA8511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4D4DA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73AAD67" wp14:editId="611B130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9726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3BC9C271"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62825">
                            <w:rPr>
                              <w:rFonts w:ascii="Arial" w:hAnsi="Arial"/>
                              <w:b/>
                              <w:sz w:val="16"/>
                            </w:rPr>
                            <w:instrText>HYPERLINK "https://www.fcc.gov/"</w:instrText>
                          </w:r>
                          <w:r w:rsidR="00B6282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3BC9C271"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62825">
                      <w:rPr>
                        <w:rFonts w:ascii="Arial" w:hAnsi="Arial"/>
                        <w:b/>
                        <w:sz w:val="16"/>
                      </w:rPr>
                      <w:instrText>HYPERLINK "https://www.fcc.gov/"</w:instrText>
                    </w:r>
                    <w:r w:rsidR="00B6282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10FD6"/>
    <w:rsid w:val="00036039"/>
    <w:rsid w:val="00037F90"/>
    <w:rsid w:val="00050D31"/>
    <w:rsid w:val="00074B70"/>
    <w:rsid w:val="000875BF"/>
    <w:rsid w:val="00096D8C"/>
    <w:rsid w:val="000C0B65"/>
    <w:rsid w:val="000E05FE"/>
    <w:rsid w:val="000E3D42"/>
    <w:rsid w:val="00122BD5"/>
    <w:rsid w:val="00133F79"/>
    <w:rsid w:val="001459B7"/>
    <w:rsid w:val="00155A8E"/>
    <w:rsid w:val="0019385E"/>
    <w:rsid w:val="00194A66"/>
    <w:rsid w:val="001A4DA7"/>
    <w:rsid w:val="001D6BCF"/>
    <w:rsid w:val="001E01CA"/>
    <w:rsid w:val="0021710D"/>
    <w:rsid w:val="00253E8C"/>
    <w:rsid w:val="002649CA"/>
    <w:rsid w:val="00275CF5"/>
    <w:rsid w:val="0028301F"/>
    <w:rsid w:val="00285017"/>
    <w:rsid w:val="002A2D2E"/>
    <w:rsid w:val="002A5FBC"/>
    <w:rsid w:val="002C00E8"/>
    <w:rsid w:val="002C0B63"/>
    <w:rsid w:val="002D342A"/>
    <w:rsid w:val="002F00EC"/>
    <w:rsid w:val="00304374"/>
    <w:rsid w:val="0031182F"/>
    <w:rsid w:val="00343749"/>
    <w:rsid w:val="00356DAC"/>
    <w:rsid w:val="003660ED"/>
    <w:rsid w:val="00375B3C"/>
    <w:rsid w:val="003A0C62"/>
    <w:rsid w:val="003A142D"/>
    <w:rsid w:val="003B0550"/>
    <w:rsid w:val="003B694F"/>
    <w:rsid w:val="003E0AA0"/>
    <w:rsid w:val="003E7702"/>
    <w:rsid w:val="003F171C"/>
    <w:rsid w:val="003F67C1"/>
    <w:rsid w:val="0040447B"/>
    <w:rsid w:val="0040750A"/>
    <w:rsid w:val="00412FC5"/>
    <w:rsid w:val="00415FF1"/>
    <w:rsid w:val="00422276"/>
    <w:rsid w:val="004242F1"/>
    <w:rsid w:val="00445A00"/>
    <w:rsid w:val="00451B0F"/>
    <w:rsid w:val="00456DBA"/>
    <w:rsid w:val="004C2EE3"/>
    <w:rsid w:val="004E4A22"/>
    <w:rsid w:val="00511968"/>
    <w:rsid w:val="0053591A"/>
    <w:rsid w:val="0055392A"/>
    <w:rsid w:val="0055614C"/>
    <w:rsid w:val="005B02A2"/>
    <w:rsid w:val="005E14C2"/>
    <w:rsid w:val="005E6864"/>
    <w:rsid w:val="005F4EA6"/>
    <w:rsid w:val="006055F3"/>
    <w:rsid w:val="00607BA5"/>
    <w:rsid w:val="0061180A"/>
    <w:rsid w:val="006211D6"/>
    <w:rsid w:val="00622104"/>
    <w:rsid w:val="00626EB6"/>
    <w:rsid w:val="00642530"/>
    <w:rsid w:val="00655D03"/>
    <w:rsid w:val="00683388"/>
    <w:rsid w:val="00683F84"/>
    <w:rsid w:val="006A1F49"/>
    <w:rsid w:val="006A6A81"/>
    <w:rsid w:val="006B1456"/>
    <w:rsid w:val="006D4EF8"/>
    <w:rsid w:val="006D7ED8"/>
    <w:rsid w:val="006F2029"/>
    <w:rsid w:val="006F7393"/>
    <w:rsid w:val="0070224F"/>
    <w:rsid w:val="00705AEC"/>
    <w:rsid w:val="007115F7"/>
    <w:rsid w:val="007350CD"/>
    <w:rsid w:val="00775A31"/>
    <w:rsid w:val="00785689"/>
    <w:rsid w:val="0079754B"/>
    <w:rsid w:val="007A1E6D"/>
    <w:rsid w:val="007B0EB2"/>
    <w:rsid w:val="007B0FB6"/>
    <w:rsid w:val="007F413A"/>
    <w:rsid w:val="00810B6F"/>
    <w:rsid w:val="00811A46"/>
    <w:rsid w:val="00822CE0"/>
    <w:rsid w:val="00823E10"/>
    <w:rsid w:val="00823E29"/>
    <w:rsid w:val="008305C7"/>
    <w:rsid w:val="00841AB1"/>
    <w:rsid w:val="008C655D"/>
    <w:rsid w:val="008C68F1"/>
    <w:rsid w:val="008E0EA1"/>
    <w:rsid w:val="008E4A57"/>
    <w:rsid w:val="00912D36"/>
    <w:rsid w:val="0091408C"/>
    <w:rsid w:val="00920375"/>
    <w:rsid w:val="00921803"/>
    <w:rsid w:val="00926503"/>
    <w:rsid w:val="00927661"/>
    <w:rsid w:val="009726D8"/>
    <w:rsid w:val="009F76DB"/>
    <w:rsid w:val="00A135BA"/>
    <w:rsid w:val="00A32C3B"/>
    <w:rsid w:val="00A45F4F"/>
    <w:rsid w:val="00A600A9"/>
    <w:rsid w:val="00A75AFC"/>
    <w:rsid w:val="00A84A1C"/>
    <w:rsid w:val="00A902B5"/>
    <w:rsid w:val="00AA55B7"/>
    <w:rsid w:val="00AA5B9E"/>
    <w:rsid w:val="00AB2407"/>
    <w:rsid w:val="00AB53DF"/>
    <w:rsid w:val="00AC20EC"/>
    <w:rsid w:val="00AC424B"/>
    <w:rsid w:val="00AF46DC"/>
    <w:rsid w:val="00B07E5C"/>
    <w:rsid w:val="00B20363"/>
    <w:rsid w:val="00B338A9"/>
    <w:rsid w:val="00B62825"/>
    <w:rsid w:val="00B67852"/>
    <w:rsid w:val="00B679AB"/>
    <w:rsid w:val="00B76DB8"/>
    <w:rsid w:val="00B811F7"/>
    <w:rsid w:val="00BA5DC6"/>
    <w:rsid w:val="00BA6196"/>
    <w:rsid w:val="00BC088E"/>
    <w:rsid w:val="00BC6D8C"/>
    <w:rsid w:val="00C34006"/>
    <w:rsid w:val="00C426B1"/>
    <w:rsid w:val="00C55B17"/>
    <w:rsid w:val="00C56037"/>
    <w:rsid w:val="00C63F98"/>
    <w:rsid w:val="00C65475"/>
    <w:rsid w:val="00C66160"/>
    <w:rsid w:val="00C721AC"/>
    <w:rsid w:val="00C84366"/>
    <w:rsid w:val="00C90D6A"/>
    <w:rsid w:val="00CA247E"/>
    <w:rsid w:val="00CB3752"/>
    <w:rsid w:val="00CC72B6"/>
    <w:rsid w:val="00CC776F"/>
    <w:rsid w:val="00CE3952"/>
    <w:rsid w:val="00D0218D"/>
    <w:rsid w:val="00D04B33"/>
    <w:rsid w:val="00D25FB5"/>
    <w:rsid w:val="00D44223"/>
    <w:rsid w:val="00D47505"/>
    <w:rsid w:val="00D54375"/>
    <w:rsid w:val="00D8064A"/>
    <w:rsid w:val="00D95CA4"/>
    <w:rsid w:val="00DA2529"/>
    <w:rsid w:val="00DB130A"/>
    <w:rsid w:val="00DB2EBB"/>
    <w:rsid w:val="00DB2FB2"/>
    <w:rsid w:val="00DC10A1"/>
    <w:rsid w:val="00DC5C8D"/>
    <w:rsid w:val="00DC655F"/>
    <w:rsid w:val="00DD0B59"/>
    <w:rsid w:val="00DD29D3"/>
    <w:rsid w:val="00DD7EBD"/>
    <w:rsid w:val="00DE4C8D"/>
    <w:rsid w:val="00DF0810"/>
    <w:rsid w:val="00DF1003"/>
    <w:rsid w:val="00DF62B6"/>
    <w:rsid w:val="00DF69EC"/>
    <w:rsid w:val="00E0344C"/>
    <w:rsid w:val="00E07225"/>
    <w:rsid w:val="00E234FA"/>
    <w:rsid w:val="00E5409F"/>
    <w:rsid w:val="00EB4ACC"/>
    <w:rsid w:val="00ED110B"/>
    <w:rsid w:val="00EE03EB"/>
    <w:rsid w:val="00EE3ED8"/>
    <w:rsid w:val="00EE6488"/>
    <w:rsid w:val="00EF0B7B"/>
    <w:rsid w:val="00F021FA"/>
    <w:rsid w:val="00F145CF"/>
    <w:rsid w:val="00F62E97"/>
    <w:rsid w:val="00F64209"/>
    <w:rsid w:val="00F8591E"/>
    <w:rsid w:val="00F93BF5"/>
    <w:rsid w:val="00FA03D8"/>
    <w:rsid w:val="00FB03B1"/>
    <w:rsid w:val="00FB3F6B"/>
    <w:rsid w:val="00FC6BC3"/>
    <w:rsid w:val="00FE2C64"/>
    <w:rsid w:val="00FE3B67"/>
    <w:rsid w:val="00FF14E0"/>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paragraph" w:styleId="Revision">
    <w:name w:val="Revision"/>
    <w:hidden/>
    <w:uiPriority w:val="99"/>
    <w:semiHidden/>
    <w:rsid w:val="00F145C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paragraph" w:styleId="Revision">
    <w:name w:val="Revision"/>
    <w:hidden/>
    <w:uiPriority w:val="99"/>
    <w:semiHidden/>
    <w:rsid w:val="00F145C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SacBuildoutSheetDisplay.xls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wcb/Revised%20coverage%20data.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806</Words>
  <Characters>4098</Characters>
  <Application>Microsoft Office Word</Application>
  <DocSecurity>0</DocSecurity>
  <Lines>206</Lines>
  <Paragraphs>133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2016-10-06T14:20:00Z</dcterms:created>
  <dcterms:modified xsi:type="dcterms:W3CDTF">2016-10-06T14:20:00Z</dcterms:modified>
  <cp:category> </cp:category>
  <cp:contentStatus> </cp:contentStatus>
</cp:coreProperties>
</file>