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E3" w:rsidRDefault="00FD4118" w:rsidP="00FD4118">
      <w:pPr>
        <w:tabs>
          <w:tab w:val="left" w:pos="4020"/>
        </w:tabs>
        <w:rPr>
          <w:sz w:val="22"/>
          <w:szCs w:val="22"/>
        </w:rPr>
      </w:pPr>
      <w:bookmarkStart w:id="0" w:name="_GoBack"/>
      <w:bookmarkEnd w:id="0"/>
      <w:r>
        <w:rPr>
          <w:sz w:val="22"/>
          <w:szCs w:val="22"/>
        </w:rPr>
        <w:tab/>
      </w:r>
    </w:p>
    <w:p w:rsidR="000A4A8F" w:rsidRPr="00282B93" w:rsidRDefault="001B6BDF" w:rsidP="001B6BDF">
      <w:pPr>
        <w:tabs>
          <w:tab w:val="left" w:pos="7080"/>
        </w:tabs>
        <w:rPr>
          <w:b/>
          <w:sz w:val="22"/>
          <w:szCs w:val="22"/>
        </w:rPr>
      </w:pPr>
      <w:r>
        <w:rPr>
          <w:sz w:val="22"/>
          <w:szCs w:val="22"/>
        </w:rPr>
        <w:tab/>
      </w:r>
      <w:r w:rsidR="00282B93">
        <w:rPr>
          <w:sz w:val="22"/>
          <w:szCs w:val="22"/>
        </w:rPr>
        <w:tab/>
      </w:r>
      <w:r w:rsidR="009B6CD3">
        <w:rPr>
          <w:b/>
          <w:sz w:val="22"/>
          <w:szCs w:val="22"/>
        </w:rPr>
        <w:t xml:space="preserve">DA </w:t>
      </w:r>
      <w:r w:rsidR="0095623D">
        <w:rPr>
          <w:b/>
          <w:sz w:val="22"/>
          <w:szCs w:val="22"/>
        </w:rPr>
        <w:t>16</w:t>
      </w:r>
      <w:r w:rsidR="00DA1327" w:rsidRPr="00DA1327">
        <w:rPr>
          <w:b/>
          <w:sz w:val="22"/>
          <w:szCs w:val="22"/>
        </w:rPr>
        <w:t>-</w:t>
      </w:r>
      <w:r w:rsidR="00972FD7">
        <w:rPr>
          <w:b/>
          <w:sz w:val="22"/>
          <w:szCs w:val="22"/>
        </w:rPr>
        <w:t>1182</w:t>
      </w:r>
    </w:p>
    <w:p w:rsidR="000A4A8F" w:rsidRDefault="00391A36">
      <w:pPr>
        <w:rPr>
          <w:sz w:val="22"/>
          <w:szCs w:val="22"/>
        </w:rPr>
      </w:pPr>
      <w:r>
        <w:rPr>
          <w:sz w:val="22"/>
          <w:szCs w:val="22"/>
        </w:rPr>
        <w:t>Suzanne S</w:t>
      </w:r>
      <w:r w:rsidR="00E65776">
        <w:rPr>
          <w:sz w:val="22"/>
          <w:szCs w:val="22"/>
        </w:rPr>
        <w:t>.</w:t>
      </w:r>
      <w:r>
        <w:rPr>
          <w:sz w:val="22"/>
          <w:szCs w:val="22"/>
        </w:rPr>
        <w:t xml:space="preserve"> Goodwyn</w:t>
      </w:r>
      <w:r w:rsidR="00866464">
        <w:rPr>
          <w:sz w:val="22"/>
          <w:szCs w:val="22"/>
        </w:rPr>
        <w:t>, Esq.</w:t>
      </w:r>
    </w:p>
    <w:p w:rsidR="00A21467" w:rsidRDefault="00391A36">
      <w:pPr>
        <w:rPr>
          <w:sz w:val="22"/>
          <w:szCs w:val="22"/>
        </w:rPr>
      </w:pPr>
      <w:r>
        <w:rPr>
          <w:sz w:val="22"/>
          <w:szCs w:val="22"/>
        </w:rPr>
        <w:t>Law Office of Suzanne S. Goodwyn</w:t>
      </w:r>
    </w:p>
    <w:p w:rsidR="000A4A8F" w:rsidRDefault="00391A36">
      <w:pPr>
        <w:rPr>
          <w:sz w:val="22"/>
          <w:szCs w:val="22"/>
        </w:rPr>
      </w:pPr>
      <w:r>
        <w:rPr>
          <w:sz w:val="22"/>
          <w:szCs w:val="22"/>
        </w:rPr>
        <w:t>1234 Tottenham Court</w:t>
      </w:r>
    </w:p>
    <w:p w:rsidR="00391A36" w:rsidRDefault="00391A36">
      <w:pPr>
        <w:rPr>
          <w:sz w:val="22"/>
          <w:szCs w:val="22"/>
        </w:rPr>
      </w:pPr>
      <w:r>
        <w:rPr>
          <w:sz w:val="22"/>
          <w:szCs w:val="22"/>
        </w:rPr>
        <w:t>Reston, VA</w:t>
      </w:r>
      <w:r w:rsidR="00DA1327">
        <w:rPr>
          <w:sz w:val="22"/>
          <w:szCs w:val="22"/>
        </w:rPr>
        <w:t xml:space="preserve"> 20194</w:t>
      </w:r>
    </w:p>
    <w:p w:rsidR="00391A36" w:rsidRDefault="00391A36">
      <w:pPr>
        <w:rPr>
          <w:sz w:val="22"/>
          <w:szCs w:val="22"/>
        </w:rPr>
      </w:pPr>
    </w:p>
    <w:p w:rsidR="000A4A8F" w:rsidRDefault="000A4A8F">
      <w:pPr>
        <w:rPr>
          <w:sz w:val="22"/>
          <w:szCs w:val="22"/>
        </w:rPr>
      </w:pPr>
    </w:p>
    <w:p w:rsidR="00D17D71" w:rsidRPr="002A41BB" w:rsidRDefault="00D17D71">
      <w:pPr>
        <w:rPr>
          <w:sz w:val="22"/>
          <w:szCs w:val="22"/>
        </w:rPr>
      </w:pPr>
      <w:r w:rsidRPr="002A41BB">
        <w:rPr>
          <w:sz w:val="22"/>
          <w:szCs w:val="22"/>
        </w:rPr>
        <w:t xml:space="preserve">Dear </w:t>
      </w:r>
      <w:r w:rsidR="00391A36">
        <w:rPr>
          <w:sz w:val="22"/>
          <w:szCs w:val="22"/>
        </w:rPr>
        <w:t>Ms. Goodwyn</w:t>
      </w:r>
      <w:r w:rsidRPr="002A41BB">
        <w:rPr>
          <w:sz w:val="22"/>
          <w:szCs w:val="22"/>
        </w:rPr>
        <w:t>:</w:t>
      </w:r>
    </w:p>
    <w:p w:rsidR="00A21467" w:rsidRPr="0033619E" w:rsidRDefault="00A21467" w:rsidP="00FE10E2">
      <w:pPr>
        <w:ind w:firstLine="720"/>
        <w:rPr>
          <w:sz w:val="22"/>
          <w:szCs w:val="22"/>
        </w:rPr>
      </w:pPr>
    </w:p>
    <w:p w:rsidR="00226BD1" w:rsidRDefault="008601F8" w:rsidP="00E6112C">
      <w:pPr>
        <w:ind w:firstLine="720"/>
        <w:rPr>
          <w:sz w:val="22"/>
          <w:szCs w:val="22"/>
        </w:rPr>
      </w:pPr>
      <w:r w:rsidRPr="0033619E">
        <w:rPr>
          <w:sz w:val="22"/>
          <w:szCs w:val="22"/>
        </w:rPr>
        <w:t>On July 11, 2016, the Shekinah Network</w:t>
      </w:r>
      <w:r w:rsidR="00A5470C">
        <w:rPr>
          <w:sz w:val="22"/>
          <w:szCs w:val="22"/>
        </w:rPr>
        <w:t xml:space="preserve"> (“Shekinah”)</w:t>
      </w:r>
      <w:r w:rsidRPr="0033619E">
        <w:rPr>
          <w:sz w:val="22"/>
          <w:szCs w:val="22"/>
        </w:rPr>
        <w:t xml:space="preserve"> filed a </w:t>
      </w:r>
      <w:r w:rsidR="00650F45">
        <w:rPr>
          <w:sz w:val="22"/>
          <w:szCs w:val="22"/>
        </w:rPr>
        <w:t>p</w:t>
      </w:r>
      <w:r w:rsidRPr="0033619E">
        <w:rPr>
          <w:sz w:val="22"/>
          <w:szCs w:val="22"/>
        </w:rPr>
        <w:t xml:space="preserve">etition for </w:t>
      </w:r>
      <w:r w:rsidR="00650F45">
        <w:rPr>
          <w:sz w:val="22"/>
          <w:szCs w:val="22"/>
        </w:rPr>
        <w:t>r</w:t>
      </w:r>
      <w:r w:rsidRPr="0033619E">
        <w:rPr>
          <w:sz w:val="22"/>
          <w:szCs w:val="22"/>
        </w:rPr>
        <w:t xml:space="preserve">econsideration </w:t>
      </w:r>
      <w:r w:rsidR="002A675F" w:rsidRPr="0033619E">
        <w:rPr>
          <w:rStyle w:val="FootnoteReference"/>
          <w:sz w:val="22"/>
          <w:szCs w:val="22"/>
        </w:rPr>
        <w:footnoteReference w:id="1"/>
      </w:r>
      <w:r w:rsidRPr="0033619E">
        <w:rPr>
          <w:sz w:val="22"/>
          <w:szCs w:val="22"/>
        </w:rPr>
        <w:t xml:space="preserve">  ask</w:t>
      </w:r>
      <w:r w:rsidR="00650F45">
        <w:rPr>
          <w:sz w:val="22"/>
          <w:szCs w:val="22"/>
        </w:rPr>
        <w:t>ing</w:t>
      </w:r>
      <w:r w:rsidRPr="0033619E">
        <w:rPr>
          <w:sz w:val="22"/>
          <w:szCs w:val="22"/>
        </w:rPr>
        <w:t xml:space="preserve"> the </w:t>
      </w:r>
      <w:r w:rsidR="00650F45">
        <w:rPr>
          <w:sz w:val="22"/>
          <w:szCs w:val="22"/>
        </w:rPr>
        <w:t xml:space="preserve">Wireless Telecommunications Bureau </w:t>
      </w:r>
      <w:r w:rsidRPr="0033619E">
        <w:rPr>
          <w:sz w:val="22"/>
          <w:szCs w:val="22"/>
        </w:rPr>
        <w:t xml:space="preserve">to </w:t>
      </w:r>
      <w:r w:rsidR="002A675F" w:rsidRPr="0033619E">
        <w:rPr>
          <w:sz w:val="22"/>
          <w:szCs w:val="22"/>
        </w:rPr>
        <w:t>reconsider</w:t>
      </w:r>
      <w:r w:rsidRPr="0033619E">
        <w:rPr>
          <w:sz w:val="22"/>
          <w:szCs w:val="22"/>
        </w:rPr>
        <w:t xml:space="preserve"> its decision</w:t>
      </w:r>
      <w:r w:rsidR="00B82E65">
        <w:rPr>
          <w:rStyle w:val="FootnoteReference"/>
          <w:szCs w:val="22"/>
        </w:rPr>
        <w:footnoteReference w:id="2"/>
      </w:r>
      <w:r w:rsidRPr="0033619E">
        <w:rPr>
          <w:sz w:val="22"/>
          <w:szCs w:val="22"/>
        </w:rPr>
        <w:t xml:space="preserve"> to deny Shekinah’s </w:t>
      </w:r>
      <w:r w:rsidR="00650F45">
        <w:rPr>
          <w:sz w:val="22"/>
          <w:szCs w:val="22"/>
        </w:rPr>
        <w:t>m</w:t>
      </w:r>
      <w:r w:rsidRPr="0033619E">
        <w:rPr>
          <w:sz w:val="22"/>
          <w:szCs w:val="22"/>
        </w:rPr>
        <w:t xml:space="preserve">otion for </w:t>
      </w:r>
      <w:r w:rsidR="00650F45">
        <w:rPr>
          <w:sz w:val="22"/>
          <w:szCs w:val="22"/>
        </w:rPr>
        <w:t>d</w:t>
      </w:r>
      <w:r w:rsidRPr="0033619E">
        <w:rPr>
          <w:sz w:val="22"/>
          <w:szCs w:val="22"/>
        </w:rPr>
        <w:t>ec</w:t>
      </w:r>
      <w:r w:rsidR="002A675F" w:rsidRPr="0033619E">
        <w:rPr>
          <w:sz w:val="22"/>
          <w:szCs w:val="22"/>
        </w:rPr>
        <w:t>laratory</w:t>
      </w:r>
      <w:r w:rsidRPr="0033619E">
        <w:rPr>
          <w:sz w:val="22"/>
          <w:szCs w:val="22"/>
        </w:rPr>
        <w:t xml:space="preserve"> </w:t>
      </w:r>
      <w:r w:rsidR="00650F45">
        <w:rPr>
          <w:sz w:val="22"/>
          <w:szCs w:val="22"/>
        </w:rPr>
        <w:t>r</w:t>
      </w:r>
      <w:r w:rsidRPr="0033619E">
        <w:rPr>
          <w:sz w:val="22"/>
          <w:szCs w:val="22"/>
        </w:rPr>
        <w:t>uling</w:t>
      </w:r>
      <w:r w:rsidR="002A675F" w:rsidRPr="0033619E">
        <w:rPr>
          <w:sz w:val="22"/>
          <w:szCs w:val="22"/>
        </w:rPr>
        <w:t>.</w:t>
      </w:r>
      <w:r w:rsidR="00E14870">
        <w:rPr>
          <w:rStyle w:val="FootnoteReference"/>
          <w:szCs w:val="22"/>
        </w:rPr>
        <w:footnoteReference w:id="3"/>
      </w:r>
      <w:r w:rsidR="00411CEE" w:rsidRPr="00411CEE">
        <w:rPr>
          <w:rStyle w:val="FootnoteReference"/>
          <w:sz w:val="22"/>
          <w:szCs w:val="22"/>
        </w:rPr>
        <w:t xml:space="preserve"> </w:t>
      </w:r>
      <w:r w:rsidR="00E14870">
        <w:rPr>
          <w:rStyle w:val="FootnoteReference"/>
          <w:sz w:val="22"/>
          <w:szCs w:val="22"/>
        </w:rPr>
        <w:t xml:space="preserve"> </w:t>
      </w:r>
      <w:r w:rsidR="002A675F" w:rsidRPr="0033619E">
        <w:rPr>
          <w:sz w:val="22"/>
          <w:szCs w:val="22"/>
        </w:rPr>
        <w:t xml:space="preserve">For the reasons stated below, we </w:t>
      </w:r>
      <w:r w:rsidR="00650F45">
        <w:rPr>
          <w:sz w:val="22"/>
          <w:szCs w:val="22"/>
        </w:rPr>
        <w:t xml:space="preserve">dismiss the Petition in part and </w:t>
      </w:r>
      <w:r w:rsidR="002A675F" w:rsidRPr="0033619E">
        <w:rPr>
          <w:sz w:val="22"/>
          <w:szCs w:val="22"/>
        </w:rPr>
        <w:t xml:space="preserve">deny </w:t>
      </w:r>
      <w:r w:rsidR="00650F45">
        <w:rPr>
          <w:sz w:val="22"/>
          <w:szCs w:val="22"/>
        </w:rPr>
        <w:t>it in part</w:t>
      </w:r>
      <w:r w:rsidR="002A675F" w:rsidRPr="0033619E">
        <w:rPr>
          <w:sz w:val="22"/>
          <w:szCs w:val="22"/>
        </w:rPr>
        <w:t>.</w:t>
      </w:r>
      <w:r w:rsidR="00226BD1" w:rsidRPr="0033619E">
        <w:rPr>
          <w:rStyle w:val="FootnoteReference"/>
          <w:sz w:val="22"/>
          <w:szCs w:val="22"/>
        </w:rPr>
        <w:footnoteReference w:id="4"/>
      </w:r>
      <w:r w:rsidR="002A675F" w:rsidRPr="0033619E">
        <w:rPr>
          <w:sz w:val="22"/>
          <w:szCs w:val="22"/>
        </w:rPr>
        <w:t xml:space="preserve">  </w:t>
      </w:r>
      <w:r w:rsidR="001C380F">
        <w:rPr>
          <w:sz w:val="22"/>
          <w:szCs w:val="22"/>
        </w:rPr>
        <w:t>We also deny a motion to strike filed Des Moines F MPSG Partnership (Partnership) seeking to strike Shekinah’s reply pleading.</w:t>
      </w:r>
      <w:r w:rsidR="001C380F">
        <w:rPr>
          <w:rStyle w:val="FootnoteReference"/>
          <w:szCs w:val="22"/>
        </w:rPr>
        <w:footnoteReference w:id="5"/>
      </w:r>
    </w:p>
    <w:p w:rsidR="004262EC" w:rsidRDefault="004262EC" w:rsidP="00E6112C">
      <w:pPr>
        <w:ind w:firstLine="720"/>
        <w:rPr>
          <w:sz w:val="22"/>
          <w:szCs w:val="22"/>
        </w:rPr>
      </w:pPr>
    </w:p>
    <w:p w:rsidR="004262EC" w:rsidRPr="0033619E" w:rsidRDefault="004262EC" w:rsidP="00E6112C">
      <w:pPr>
        <w:ind w:firstLine="720"/>
        <w:rPr>
          <w:sz w:val="22"/>
          <w:szCs w:val="22"/>
        </w:rPr>
      </w:pPr>
      <w:r w:rsidRPr="00AF10E1">
        <w:rPr>
          <w:sz w:val="22"/>
          <w:szCs w:val="22"/>
        </w:rPr>
        <w:t xml:space="preserve">In its </w:t>
      </w:r>
      <w:r>
        <w:rPr>
          <w:sz w:val="22"/>
          <w:szCs w:val="22"/>
        </w:rPr>
        <w:t>Motion</w:t>
      </w:r>
      <w:r w:rsidRPr="00AF10E1">
        <w:rPr>
          <w:b/>
          <w:sz w:val="22"/>
          <w:szCs w:val="22"/>
        </w:rPr>
        <w:t>,</w:t>
      </w:r>
      <w:r w:rsidRPr="00AF10E1">
        <w:rPr>
          <w:sz w:val="22"/>
          <w:szCs w:val="22"/>
        </w:rPr>
        <w:t xml:space="preserve"> </w:t>
      </w:r>
      <w:r>
        <w:rPr>
          <w:sz w:val="22"/>
          <w:szCs w:val="22"/>
        </w:rPr>
        <w:t>Shekinah Network</w:t>
      </w:r>
      <w:r w:rsidRPr="00AF10E1">
        <w:rPr>
          <w:sz w:val="22"/>
          <w:szCs w:val="22"/>
        </w:rPr>
        <w:t xml:space="preserve"> ask</w:t>
      </w:r>
      <w:r w:rsidR="003C5D91">
        <w:rPr>
          <w:sz w:val="22"/>
          <w:szCs w:val="22"/>
        </w:rPr>
        <w:t>ed</w:t>
      </w:r>
      <w:r w:rsidRPr="00AF10E1">
        <w:rPr>
          <w:sz w:val="22"/>
          <w:szCs w:val="22"/>
        </w:rPr>
        <w:t xml:space="preserve"> the </w:t>
      </w:r>
      <w:r>
        <w:rPr>
          <w:sz w:val="22"/>
          <w:szCs w:val="22"/>
        </w:rPr>
        <w:t>Commission</w:t>
      </w:r>
      <w:r w:rsidRPr="00AF10E1">
        <w:rPr>
          <w:sz w:val="22"/>
          <w:szCs w:val="22"/>
        </w:rPr>
        <w:t xml:space="preserve"> to use </w:t>
      </w:r>
      <w:r>
        <w:rPr>
          <w:sz w:val="22"/>
          <w:szCs w:val="22"/>
        </w:rPr>
        <w:t>its</w:t>
      </w:r>
      <w:r w:rsidRPr="00AF10E1">
        <w:rPr>
          <w:sz w:val="22"/>
          <w:szCs w:val="22"/>
        </w:rPr>
        <w:t xml:space="preserve"> authority under Section </w:t>
      </w:r>
      <w:r>
        <w:rPr>
          <w:sz w:val="22"/>
          <w:szCs w:val="22"/>
        </w:rPr>
        <w:t xml:space="preserve">1.2 </w:t>
      </w:r>
      <w:r w:rsidRPr="00AF10E1">
        <w:rPr>
          <w:sz w:val="22"/>
          <w:szCs w:val="22"/>
        </w:rPr>
        <w:t xml:space="preserve">of the Commission’s rules to </w:t>
      </w:r>
      <w:r>
        <w:rPr>
          <w:sz w:val="22"/>
          <w:szCs w:val="22"/>
        </w:rPr>
        <w:t xml:space="preserve">clarify whether the ITFS Air Time Lease Agreement (Lease) between Shekinah Network and </w:t>
      </w:r>
      <w:r w:rsidR="001C380F">
        <w:rPr>
          <w:sz w:val="22"/>
          <w:szCs w:val="22"/>
        </w:rPr>
        <w:t xml:space="preserve">the Partnership </w:t>
      </w:r>
      <w:r>
        <w:rPr>
          <w:sz w:val="22"/>
          <w:szCs w:val="22"/>
        </w:rPr>
        <w:t>for the use of the excess capacity of EBS Station WND401 in Des Moines, Iowa can continue.</w:t>
      </w:r>
      <w:r w:rsidRPr="00AF10E1">
        <w:rPr>
          <w:rStyle w:val="FootnoteReference"/>
          <w:sz w:val="22"/>
          <w:szCs w:val="22"/>
        </w:rPr>
        <w:footnoteReference w:id="6"/>
      </w:r>
      <w:r w:rsidRPr="00AF10E1">
        <w:rPr>
          <w:sz w:val="22"/>
          <w:szCs w:val="22"/>
        </w:rPr>
        <w:t xml:space="preserve"> </w:t>
      </w:r>
      <w:r>
        <w:rPr>
          <w:sz w:val="22"/>
          <w:szCs w:val="22"/>
        </w:rPr>
        <w:t xml:space="preserve">  </w:t>
      </w:r>
      <w:r w:rsidRPr="004262EC">
        <w:rPr>
          <w:sz w:val="22"/>
          <w:szCs w:val="22"/>
        </w:rPr>
        <w:t xml:space="preserve">The </w:t>
      </w:r>
      <w:r>
        <w:rPr>
          <w:sz w:val="22"/>
          <w:szCs w:val="22"/>
        </w:rPr>
        <w:t xml:space="preserve">Broadband Division </w:t>
      </w:r>
      <w:r w:rsidRPr="004262EC">
        <w:rPr>
          <w:sz w:val="22"/>
          <w:szCs w:val="22"/>
        </w:rPr>
        <w:t>denied Shekinah’s Motion because it found that the Commission was not the correct forum for the relief sought, because a determinant contractual term, the start date of the lease at issue, should be decided in another forum.</w:t>
      </w:r>
      <w:r w:rsidRPr="004262EC">
        <w:rPr>
          <w:sz w:val="22"/>
          <w:szCs w:val="22"/>
          <w:vertAlign w:val="superscript"/>
        </w:rPr>
        <w:footnoteReference w:id="7"/>
      </w:r>
      <w:r w:rsidRPr="004262EC">
        <w:rPr>
          <w:sz w:val="22"/>
          <w:szCs w:val="22"/>
        </w:rPr>
        <w:t xml:space="preserve"> </w:t>
      </w:r>
    </w:p>
    <w:p w:rsidR="00226BD1" w:rsidRPr="0033619E" w:rsidRDefault="00226BD1">
      <w:pPr>
        <w:rPr>
          <w:sz w:val="22"/>
          <w:szCs w:val="22"/>
        </w:rPr>
      </w:pPr>
    </w:p>
    <w:p w:rsidR="00300889" w:rsidRDefault="00A0553A" w:rsidP="00E6112C">
      <w:pPr>
        <w:ind w:firstLine="720"/>
        <w:rPr>
          <w:sz w:val="22"/>
          <w:szCs w:val="22"/>
        </w:rPr>
      </w:pPr>
      <w:r w:rsidRPr="00A0553A">
        <w:rPr>
          <w:sz w:val="22"/>
          <w:szCs w:val="22"/>
        </w:rPr>
        <w:t>In its Petition, Shekinah argues that there is no dispute regarding the start date and that the Commission should rule as to whether Shekinah is obliged to continue leasing its spectrum.</w:t>
      </w:r>
      <w:r w:rsidRPr="00A0553A">
        <w:rPr>
          <w:sz w:val="22"/>
          <w:szCs w:val="22"/>
          <w:vertAlign w:val="superscript"/>
        </w:rPr>
        <w:footnoteReference w:id="8"/>
      </w:r>
      <w:r w:rsidRPr="00A0553A">
        <w:rPr>
          <w:sz w:val="22"/>
          <w:szCs w:val="22"/>
        </w:rPr>
        <w:t xml:space="preserve"> </w:t>
      </w:r>
      <w:r>
        <w:rPr>
          <w:sz w:val="22"/>
          <w:szCs w:val="22"/>
        </w:rPr>
        <w:t xml:space="preserve"> </w:t>
      </w:r>
      <w:r w:rsidR="00A5470C">
        <w:rPr>
          <w:sz w:val="22"/>
          <w:szCs w:val="22"/>
        </w:rPr>
        <w:t>To</w:t>
      </w:r>
      <w:r w:rsidR="003B46D6" w:rsidRPr="0033619E">
        <w:rPr>
          <w:sz w:val="22"/>
          <w:szCs w:val="22"/>
        </w:rPr>
        <w:t xml:space="preserve"> support its argument, Shekinah attache</w:t>
      </w:r>
      <w:r w:rsidR="004E3F30">
        <w:rPr>
          <w:sz w:val="22"/>
          <w:szCs w:val="22"/>
        </w:rPr>
        <w:t>s</w:t>
      </w:r>
      <w:r w:rsidR="00C67495" w:rsidRPr="0033619E">
        <w:rPr>
          <w:sz w:val="22"/>
          <w:szCs w:val="22"/>
        </w:rPr>
        <w:t xml:space="preserve"> </w:t>
      </w:r>
      <w:r w:rsidR="004E3F30">
        <w:rPr>
          <w:sz w:val="22"/>
          <w:szCs w:val="22"/>
        </w:rPr>
        <w:t>information that it believes supports its position</w:t>
      </w:r>
      <w:r w:rsidR="0033619E">
        <w:rPr>
          <w:sz w:val="22"/>
          <w:szCs w:val="22"/>
        </w:rPr>
        <w:t>.</w:t>
      </w:r>
      <w:r w:rsidR="0033619E">
        <w:rPr>
          <w:rStyle w:val="FootnoteReference"/>
          <w:szCs w:val="22"/>
        </w:rPr>
        <w:footnoteReference w:id="9"/>
      </w:r>
    </w:p>
    <w:p w:rsidR="00F1222D" w:rsidRDefault="00F1222D" w:rsidP="00E6112C">
      <w:pPr>
        <w:ind w:firstLine="720"/>
        <w:rPr>
          <w:sz w:val="22"/>
          <w:szCs w:val="22"/>
        </w:rPr>
      </w:pPr>
    </w:p>
    <w:p w:rsidR="00887D9E" w:rsidRDefault="00CB59DF" w:rsidP="00E6112C">
      <w:pPr>
        <w:ind w:firstLine="720"/>
        <w:rPr>
          <w:sz w:val="22"/>
          <w:szCs w:val="22"/>
        </w:rPr>
      </w:pPr>
      <w:r>
        <w:rPr>
          <w:sz w:val="22"/>
          <w:szCs w:val="22"/>
        </w:rPr>
        <w:lastRenderedPageBreak/>
        <w:t>N</w:t>
      </w:r>
      <w:r w:rsidR="00300889">
        <w:rPr>
          <w:sz w:val="22"/>
          <w:szCs w:val="22"/>
        </w:rPr>
        <w:t xml:space="preserve">one of the information provided by Shekinah establishes that </w:t>
      </w:r>
      <w:r>
        <w:rPr>
          <w:sz w:val="22"/>
          <w:szCs w:val="22"/>
        </w:rPr>
        <w:t>there is no dispute as to the start date.</w:t>
      </w:r>
      <w:r w:rsidR="00300889">
        <w:rPr>
          <w:sz w:val="22"/>
          <w:szCs w:val="22"/>
        </w:rPr>
        <w:t xml:space="preserve">  The Partnership explicitly disagrees with Shekinah’s representations concerning the start date.</w:t>
      </w:r>
      <w:r w:rsidR="00300889">
        <w:rPr>
          <w:rStyle w:val="FootnoteReference"/>
          <w:szCs w:val="22"/>
        </w:rPr>
        <w:footnoteReference w:id="10"/>
      </w:r>
      <w:r w:rsidR="00300889">
        <w:rPr>
          <w:sz w:val="22"/>
          <w:szCs w:val="22"/>
        </w:rPr>
        <w:t xml:space="preserve">  Furthermore, based upon our review of the lease, Shekinah’s arguments do not address all of the conditions that needed to be met before the lease was in effect.  We emphasize, however, that we are not finding that Shekinah’s interpretation of the contract or the lease start date are incorrect.  Rather, consistent with long-established Commission policy, we rule that the Commission is not the correct forum </w:t>
      </w:r>
      <w:r w:rsidR="000B035D">
        <w:rPr>
          <w:sz w:val="22"/>
          <w:szCs w:val="22"/>
        </w:rPr>
        <w:t>for resolving those contractual issues.</w:t>
      </w:r>
      <w:r w:rsidR="000243A0" w:rsidRPr="000243A0">
        <w:rPr>
          <w:sz w:val="22"/>
          <w:szCs w:val="22"/>
          <w:vertAlign w:val="superscript"/>
        </w:rPr>
        <w:footnoteReference w:id="11"/>
      </w:r>
      <w:r w:rsidR="00DF631B">
        <w:rPr>
          <w:sz w:val="22"/>
          <w:szCs w:val="22"/>
        </w:rPr>
        <w:t xml:space="preserve">  The information Shekinah provides appears to be relevant to making a determination regarding the start date.  It is not </w:t>
      </w:r>
      <w:r w:rsidR="00435E49">
        <w:rPr>
          <w:sz w:val="22"/>
          <w:szCs w:val="22"/>
        </w:rPr>
        <w:t xml:space="preserve">the Commission’s </w:t>
      </w:r>
      <w:r w:rsidR="00DF631B">
        <w:rPr>
          <w:sz w:val="22"/>
          <w:szCs w:val="22"/>
        </w:rPr>
        <w:t>job to make that determination.</w:t>
      </w:r>
    </w:p>
    <w:p w:rsidR="00887D9E" w:rsidRDefault="00887D9E" w:rsidP="00887D9E">
      <w:pPr>
        <w:rPr>
          <w:sz w:val="22"/>
          <w:szCs w:val="22"/>
        </w:rPr>
      </w:pPr>
    </w:p>
    <w:p w:rsidR="00B46820" w:rsidRDefault="00B46820" w:rsidP="00E6112C">
      <w:pPr>
        <w:ind w:firstLine="720"/>
        <w:rPr>
          <w:sz w:val="22"/>
          <w:szCs w:val="22"/>
        </w:rPr>
      </w:pPr>
      <w:r>
        <w:rPr>
          <w:sz w:val="22"/>
          <w:szCs w:val="22"/>
        </w:rPr>
        <w:t xml:space="preserve">Shekinah cites </w:t>
      </w:r>
      <w:r>
        <w:rPr>
          <w:i/>
          <w:sz w:val="22"/>
          <w:szCs w:val="22"/>
        </w:rPr>
        <w:t>AirTouch Paging</w:t>
      </w:r>
      <w:r>
        <w:rPr>
          <w:sz w:val="22"/>
          <w:szCs w:val="22"/>
        </w:rPr>
        <w:t xml:space="preserve"> for the proposition that the Commission may decide matters related to licensing, even if such a decision would affect litigation relating to contractual obligations</w:t>
      </w:r>
      <w:r w:rsidR="00E6112C">
        <w:rPr>
          <w:sz w:val="22"/>
          <w:szCs w:val="22"/>
        </w:rPr>
        <w:t xml:space="preserve"> in another forum</w:t>
      </w:r>
      <w:r>
        <w:rPr>
          <w:sz w:val="22"/>
          <w:szCs w:val="22"/>
        </w:rPr>
        <w:t>.</w:t>
      </w:r>
      <w:r>
        <w:rPr>
          <w:rStyle w:val="FootnoteReference"/>
          <w:szCs w:val="22"/>
        </w:rPr>
        <w:footnoteReference w:id="12"/>
      </w:r>
      <w:r>
        <w:rPr>
          <w:sz w:val="22"/>
          <w:szCs w:val="22"/>
        </w:rPr>
        <w:t xml:space="preserve">  </w:t>
      </w:r>
      <w:r w:rsidR="00E6112C">
        <w:rPr>
          <w:sz w:val="22"/>
          <w:szCs w:val="22"/>
        </w:rPr>
        <w:t>But the instant dispute has the opposite relationship between the contractual dispute and the licensing issue; whether or not the lease can be renewed is</w:t>
      </w:r>
      <w:r w:rsidR="002827E9">
        <w:rPr>
          <w:sz w:val="22"/>
          <w:szCs w:val="22"/>
        </w:rPr>
        <w:t xml:space="preserve"> a function of its start date, not the other way around</w:t>
      </w:r>
      <w:r w:rsidR="00E6112C">
        <w:rPr>
          <w:sz w:val="22"/>
          <w:szCs w:val="22"/>
        </w:rPr>
        <w:t xml:space="preserve">. </w:t>
      </w:r>
      <w:r w:rsidR="00F1222D">
        <w:rPr>
          <w:sz w:val="22"/>
          <w:szCs w:val="22"/>
        </w:rPr>
        <w:t xml:space="preserve"> </w:t>
      </w:r>
      <w:r w:rsidR="00DF631B">
        <w:rPr>
          <w:sz w:val="22"/>
          <w:szCs w:val="22"/>
        </w:rPr>
        <w:t xml:space="preserve">Shekinah is also incorrect when it argues that only the Commission </w:t>
      </w:r>
      <w:r w:rsidR="00F51D37">
        <w:rPr>
          <w:sz w:val="22"/>
          <w:szCs w:val="22"/>
        </w:rPr>
        <w:t>has authority to determine whether the leasing of spectrum can continue.</w:t>
      </w:r>
      <w:r w:rsidR="00F51D37">
        <w:rPr>
          <w:rStyle w:val="FootnoteReference"/>
          <w:szCs w:val="22"/>
        </w:rPr>
        <w:footnoteReference w:id="13"/>
      </w:r>
      <w:r w:rsidR="00F51D37">
        <w:rPr>
          <w:sz w:val="22"/>
          <w:szCs w:val="22"/>
        </w:rPr>
        <w:t xml:space="preserve">  </w:t>
      </w:r>
      <w:r w:rsidR="00D431B0">
        <w:rPr>
          <w:sz w:val="22"/>
          <w:szCs w:val="22"/>
        </w:rPr>
        <w:t xml:space="preserve">As noted in the Letter Order, </w:t>
      </w:r>
      <w:r w:rsidR="00E2498B" w:rsidRPr="00E2498B">
        <w:rPr>
          <w:sz w:val="22"/>
          <w:szCs w:val="22"/>
        </w:rPr>
        <w:t>“any agreement entered into between January 24, 1999 and January 9, 2005 that provided for the spectrum leasing to commence at a point following execution of the document will be grandfathered for up to 15 years from the spectrum leasing start date agreed to by the parties in the agreement.”</w:t>
      </w:r>
      <w:r w:rsidR="00E2498B" w:rsidRPr="00E2498B">
        <w:rPr>
          <w:sz w:val="22"/>
          <w:szCs w:val="22"/>
          <w:vertAlign w:val="superscript"/>
        </w:rPr>
        <w:footnoteReference w:id="14"/>
      </w:r>
      <w:r w:rsidR="00E2498B">
        <w:rPr>
          <w:sz w:val="22"/>
          <w:szCs w:val="22"/>
        </w:rPr>
        <w:t xml:space="preserve">  Once a finder of fact with appropriate jurisdiction (whether that finder is an arbitrator, as urged by the Partnership, or a court of competent jurisdiction) determines the start date of the lease, it will be a simple matter for the finder of fact to apply that established Commission policy to determine whether </w:t>
      </w:r>
      <w:r w:rsidR="006B03C6">
        <w:rPr>
          <w:sz w:val="22"/>
          <w:szCs w:val="22"/>
        </w:rPr>
        <w:t>leasing can continue.</w:t>
      </w:r>
    </w:p>
    <w:p w:rsidR="00B46820" w:rsidRPr="00887D9E" w:rsidRDefault="00B46820" w:rsidP="00887D9E">
      <w:pPr>
        <w:rPr>
          <w:sz w:val="22"/>
          <w:szCs w:val="22"/>
        </w:rPr>
      </w:pPr>
    </w:p>
    <w:p w:rsidR="003B46D6" w:rsidRPr="00887D9E" w:rsidRDefault="0033619E" w:rsidP="00E6112C">
      <w:pPr>
        <w:pStyle w:val="ParaNum"/>
        <w:widowControl/>
        <w:numPr>
          <w:ilvl w:val="0"/>
          <w:numId w:val="0"/>
        </w:numPr>
        <w:ind w:firstLine="720"/>
      </w:pPr>
      <w:r>
        <w:t>It is axiomatic that reconsideration will not be granted for the purpose of debating matters on which the Commission has deliberated and spoken.</w:t>
      </w:r>
      <w:r>
        <w:rPr>
          <w:rStyle w:val="FootnoteReference"/>
        </w:rPr>
        <w:footnoteReference w:id="15"/>
      </w:r>
      <w:r>
        <w:t xml:space="preserve">  In </w:t>
      </w:r>
      <w:r w:rsidR="00EA1583">
        <w:t xml:space="preserve">the </w:t>
      </w:r>
      <w:r w:rsidR="00887D9E">
        <w:t>Letter</w:t>
      </w:r>
      <w:r w:rsidR="00EA1583">
        <w:t xml:space="preserve"> Order</w:t>
      </w:r>
      <w:r>
        <w:t xml:space="preserve">, </w:t>
      </w:r>
      <w:r w:rsidR="00EA1583">
        <w:t xml:space="preserve">we </w:t>
      </w:r>
      <w:r>
        <w:t xml:space="preserve">considered and rejected </w:t>
      </w:r>
      <w:r w:rsidR="00887D9E">
        <w:t>Shekinah</w:t>
      </w:r>
      <w:r>
        <w:t xml:space="preserve">’s </w:t>
      </w:r>
      <w:r w:rsidR="00887D9E">
        <w:t xml:space="preserve">request </w:t>
      </w:r>
      <w:r w:rsidR="00342968">
        <w:t>for a declaratory ruling</w:t>
      </w:r>
      <w:r w:rsidR="00887D9E">
        <w:t xml:space="preserve">.  </w:t>
      </w:r>
      <w:r>
        <w:t xml:space="preserve">Moreover, to the extent that </w:t>
      </w:r>
      <w:r w:rsidR="00887D9E">
        <w:t>Shekinah</w:t>
      </w:r>
      <w:r>
        <w:t xml:space="preserve"> introduces new facts or arguments not previously presented to the Commission, we find that these facts and arguments could have been presented earlier but were not, and are therefore subject to dismissal under Sections 1.106(b)(2) of the </w:t>
      </w:r>
      <w:r w:rsidR="004047A3">
        <w:t>r</w:t>
      </w:r>
      <w:r>
        <w:t>ules.</w:t>
      </w:r>
      <w:r>
        <w:rPr>
          <w:rStyle w:val="FootnoteReference"/>
        </w:rPr>
        <w:footnoteReference w:id="16"/>
      </w:r>
      <w:r>
        <w:t xml:space="preserve">  Therefore, we dismiss the Petition to the extent that it relies upon impermissible facts and arguments.  </w:t>
      </w:r>
    </w:p>
    <w:p w:rsidR="00FA280A" w:rsidRDefault="00FA280A" w:rsidP="00FA280A">
      <w:pPr>
        <w:ind w:firstLine="720"/>
        <w:rPr>
          <w:sz w:val="22"/>
          <w:szCs w:val="22"/>
        </w:rPr>
      </w:pPr>
      <w:r w:rsidRPr="002A41BB">
        <w:rPr>
          <w:sz w:val="22"/>
          <w:szCs w:val="22"/>
        </w:rPr>
        <w:t xml:space="preserve">For the reasons stated above, IT IS ORDERED, pursuant to </w:t>
      </w:r>
      <w:r w:rsidR="004047A3">
        <w:rPr>
          <w:sz w:val="22"/>
          <w:szCs w:val="22"/>
        </w:rPr>
        <w:t xml:space="preserve">Section 405 of the Communications Act of 1934, as amended, 47 U.S.C. § 405, </w:t>
      </w:r>
      <w:r w:rsidR="0033134E">
        <w:rPr>
          <w:sz w:val="22"/>
          <w:szCs w:val="22"/>
        </w:rPr>
        <w:t xml:space="preserve">and </w:t>
      </w:r>
      <w:r w:rsidR="00627168">
        <w:rPr>
          <w:sz w:val="22"/>
          <w:szCs w:val="22"/>
        </w:rPr>
        <w:t>Section</w:t>
      </w:r>
      <w:r w:rsidR="009B6CD3">
        <w:rPr>
          <w:sz w:val="22"/>
          <w:szCs w:val="22"/>
        </w:rPr>
        <w:t xml:space="preserve"> 1.</w:t>
      </w:r>
      <w:r w:rsidR="004047A3">
        <w:rPr>
          <w:sz w:val="22"/>
          <w:szCs w:val="22"/>
        </w:rPr>
        <w:t>1</w:t>
      </w:r>
      <w:r w:rsidR="009B6CD3">
        <w:rPr>
          <w:sz w:val="22"/>
          <w:szCs w:val="22"/>
        </w:rPr>
        <w:t>06</w:t>
      </w:r>
      <w:r w:rsidR="004E7E0E">
        <w:rPr>
          <w:sz w:val="22"/>
          <w:szCs w:val="22"/>
        </w:rPr>
        <w:t xml:space="preserve"> of the Comm</w:t>
      </w:r>
      <w:r w:rsidR="009B6CD3">
        <w:rPr>
          <w:sz w:val="22"/>
          <w:szCs w:val="22"/>
        </w:rPr>
        <w:t>ission’s rules, 47 CFR § 1.</w:t>
      </w:r>
      <w:r w:rsidR="004047A3">
        <w:rPr>
          <w:sz w:val="22"/>
          <w:szCs w:val="22"/>
        </w:rPr>
        <w:t>1</w:t>
      </w:r>
      <w:r w:rsidR="009B6CD3">
        <w:rPr>
          <w:sz w:val="22"/>
          <w:szCs w:val="22"/>
        </w:rPr>
        <w:t>06</w:t>
      </w:r>
      <w:r w:rsidR="004E7E0E">
        <w:rPr>
          <w:sz w:val="22"/>
          <w:szCs w:val="22"/>
        </w:rPr>
        <w:t xml:space="preserve">, </w:t>
      </w:r>
      <w:r w:rsidRPr="002A41BB">
        <w:rPr>
          <w:sz w:val="22"/>
          <w:szCs w:val="22"/>
        </w:rPr>
        <w:lastRenderedPageBreak/>
        <w:t xml:space="preserve">that </w:t>
      </w:r>
      <w:r w:rsidR="009B6CD3">
        <w:rPr>
          <w:sz w:val="22"/>
          <w:szCs w:val="22"/>
        </w:rPr>
        <w:t>the Petition for Reconsideration</w:t>
      </w:r>
      <w:r w:rsidR="00F74E1E" w:rsidRPr="002A41BB">
        <w:rPr>
          <w:sz w:val="22"/>
          <w:szCs w:val="22"/>
        </w:rPr>
        <w:t xml:space="preserve"> </w:t>
      </w:r>
      <w:r w:rsidRPr="002A41BB">
        <w:rPr>
          <w:sz w:val="22"/>
          <w:szCs w:val="22"/>
        </w:rPr>
        <w:t xml:space="preserve">filed by </w:t>
      </w:r>
      <w:r w:rsidR="00F74E1E" w:rsidRPr="002A41BB">
        <w:rPr>
          <w:sz w:val="22"/>
          <w:szCs w:val="22"/>
        </w:rPr>
        <w:t xml:space="preserve">the </w:t>
      </w:r>
      <w:r w:rsidR="00627168">
        <w:rPr>
          <w:sz w:val="22"/>
          <w:szCs w:val="22"/>
        </w:rPr>
        <w:t>Shekinah Network</w:t>
      </w:r>
      <w:r w:rsidR="00F74E1E" w:rsidRPr="002A41BB">
        <w:rPr>
          <w:sz w:val="22"/>
          <w:szCs w:val="22"/>
        </w:rPr>
        <w:t xml:space="preserve"> </w:t>
      </w:r>
      <w:r w:rsidRPr="002A41BB">
        <w:rPr>
          <w:sz w:val="22"/>
          <w:szCs w:val="22"/>
        </w:rPr>
        <w:t xml:space="preserve">on </w:t>
      </w:r>
      <w:r w:rsidR="004047A3">
        <w:rPr>
          <w:sz w:val="22"/>
          <w:szCs w:val="22"/>
        </w:rPr>
        <w:t xml:space="preserve">July 11, 2016 </w:t>
      </w:r>
      <w:r w:rsidRPr="002A41BB">
        <w:rPr>
          <w:sz w:val="22"/>
          <w:szCs w:val="22"/>
        </w:rPr>
        <w:t xml:space="preserve">IS </w:t>
      </w:r>
      <w:r w:rsidR="00C50025">
        <w:rPr>
          <w:sz w:val="22"/>
          <w:szCs w:val="22"/>
        </w:rPr>
        <w:t xml:space="preserve">DISMISSED IN PART AND </w:t>
      </w:r>
      <w:r w:rsidR="00F74E1E" w:rsidRPr="002A41BB">
        <w:rPr>
          <w:sz w:val="22"/>
          <w:szCs w:val="22"/>
        </w:rPr>
        <w:t>DENIED</w:t>
      </w:r>
      <w:r w:rsidR="00C50025">
        <w:rPr>
          <w:sz w:val="22"/>
          <w:szCs w:val="22"/>
        </w:rPr>
        <w:t xml:space="preserve"> IN PART</w:t>
      </w:r>
      <w:r w:rsidRPr="002A41BB">
        <w:rPr>
          <w:sz w:val="22"/>
          <w:szCs w:val="22"/>
        </w:rPr>
        <w:t>.</w:t>
      </w:r>
    </w:p>
    <w:p w:rsidR="0033134E" w:rsidRDefault="0033134E" w:rsidP="00FA280A">
      <w:pPr>
        <w:ind w:firstLine="720"/>
        <w:rPr>
          <w:sz w:val="22"/>
          <w:szCs w:val="22"/>
        </w:rPr>
      </w:pPr>
    </w:p>
    <w:p w:rsidR="0033134E" w:rsidRPr="002A41BB" w:rsidRDefault="0033134E" w:rsidP="00FA280A">
      <w:pPr>
        <w:ind w:firstLine="720"/>
        <w:rPr>
          <w:sz w:val="22"/>
          <w:szCs w:val="22"/>
        </w:rPr>
      </w:pPr>
      <w:r>
        <w:rPr>
          <w:sz w:val="22"/>
          <w:szCs w:val="22"/>
        </w:rPr>
        <w:t xml:space="preserve">IT IS FURTHER ORDERED, </w:t>
      </w:r>
      <w:r w:rsidRPr="002A41BB">
        <w:rPr>
          <w:sz w:val="22"/>
          <w:szCs w:val="22"/>
        </w:rPr>
        <w:t xml:space="preserve">pursuant to </w:t>
      </w:r>
      <w:r>
        <w:rPr>
          <w:sz w:val="22"/>
          <w:szCs w:val="22"/>
        </w:rPr>
        <w:t>Section 4(i) of the Communications Act of 1934, as amended, 47 U.S.C. § 154(i), and Section 1.45(c) of the Commission’s rules, 47 CFR § 1.45(c), that the Motion to Strike or Dismiss filed by Des Moines F MPSG Partnership on July 29, 2016 IS DENIED.</w:t>
      </w:r>
    </w:p>
    <w:p w:rsidR="00125291" w:rsidRPr="002A41BB" w:rsidRDefault="00125291" w:rsidP="00FA280A">
      <w:pPr>
        <w:ind w:firstLine="720"/>
        <w:rPr>
          <w:sz w:val="22"/>
          <w:szCs w:val="22"/>
        </w:rPr>
      </w:pPr>
    </w:p>
    <w:p w:rsidR="00125291" w:rsidRPr="002A41BB" w:rsidRDefault="00622C53" w:rsidP="00FA280A">
      <w:pPr>
        <w:ind w:firstLine="720"/>
        <w:rPr>
          <w:sz w:val="22"/>
          <w:szCs w:val="22"/>
        </w:rPr>
      </w:pPr>
      <w:r w:rsidRPr="00622C53">
        <w:rPr>
          <w:sz w:val="22"/>
          <w:szCs w:val="22"/>
        </w:rPr>
        <w:t>Th</w:t>
      </w:r>
      <w:r w:rsidR="0033134E">
        <w:rPr>
          <w:sz w:val="22"/>
          <w:szCs w:val="22"/>
        </w:rPr>
        <w:t>e</w:t>
      </w:r>
      <w:r w:rsidRPr="00622C53">
        <w:rPr>
          <w:sz w:val="22"/>
          <w:szCs w:val="22"/>
        </w:rPr>
        <w:t>s</w:t>
      </w:r>
      <w:r w:rsidR="0033134E">
        <w:rPr>
          <w:sz w:val="22"/>
          <w:szCs w:val="22"/>
        </w:rPr>
        <w:t>e</w:t>
      </w:r>
      <w:r w:rsidRPr="00622C53">
        <w:rPr>
          <w:sz w:val="22"/>
          <w:szCs w:val="22"/>
        </w:rPr>
        <w:t xml:space="preserve"> action </w:t>
      </w:r>
      <w:r w:rsidR="0033134E">
        <w:rPr>
          <w:sz w:val="22"/>
          <w:szCs w:val="22"/>
        </w:rPr>
        <w:t>are</w:t>
      </w:r>
      <w:r>
        <w:rPr>
          <w:sz w:val="22"/>
          <w:szCs w:val="22"/>
        </w:rPr>
        <w:t xml:space="preserve"> </w:t>
      </w:r>
      <w:r w:rsidRPr="00622C53">
        <w:rPr>
          <w:sz w:val="22"/>
          <w:szCs w:val="22"/>
        </w:rPr>
        <w:t>taken under delegated authority pursuant to Sections 0.131 and 0.331 of the Commission’s rules, 47 C.F.R. §§ 0.131, 0.331.</w:t>
      </w:r>
    </w:p>
    <w:p w:rsidR="00125291" w:rsidRPr="002A41BB" w:rsidRDefault="00125291" w:rsidP="00FA280A">
      <w:pPr>
        <w:ind w:firstLine="720"/>
        <w:rPr>
          <w:sz w:val="22"/>
          <w:szCs w:val="22"/>
        </w:rPr>
      </w:pPr>
    </w:p>
    <w:p w:rsidR="00FA280A" w:rsidRPr="002A41BB" w:rsidRDefault="00FA280A" w:rsidP="00FA280A">
      <w:pPr>
        <w:ind w:left="3600"/>
        <w:rPr>
          <w:caps/>
          <w:sz w:val="22"/>
          <w:szCs w:val="22"/>
        </w:rPr>
      </w:pPr>
      <w:r w:rsidRPr="002A41BB">
        <w:rPr>
          <w:caps/>
          <w:sz w:val="22"/>
          <w:szCs w:val="22"/>
        </w:rPr>
        <w:t>Federal Communications Commission</w:t>
      </w:r>
    </w:p>
    <w:p w:rsidR="00FA280A" w:rsidRPr="002A41BB" w:rsidRDefault="00FA280A" w:rsidP="00FA280A">
      <w:pPr>
        <w:ind w:firstLine="990"/>
        <w:rPr>
          <w:sz w:val="22"/>
          <w:szCs w:val="22"/>
        </w:rPr>
      </w:pPr>
    </w:p>
    <w:p w:rsidR="00FA280A" w:rsidRPr="002A41BB" w:rsidRDefault="00FA280A" w:rsidP="00FA280A">
      <w:pPr>
        <w:ind w:firstLine="990"/>
        <w:rPr>
          <w:sz w:val="22"/>
          <w:szCs w:val="22"/>
        </w:rPr>
      </w:pPr>
    </w:p>
    <w:p w:rsidR="00FA280A" w:rsidRPr="002A41BB" w:rsidRDefault="00FA280A" w:rsidP="00FA280A">
      <w:pPr>
        <w:ind w:firstLine="990"/>
        <w:rPr>
          <w:sz w:val="22"/>
          <w:szCs w:val="22"/>
        </w:rPr>
      </w:pPr>
    </w:p>
    <w:p w:rsidR="00FA280A" w:rsidRPr="002A41BB" w:rsidRDefault="00FA280A" w:rsidP="00FA280A">
      <w:pPr>
        <w:pStyle w:val="ParaNumChar1"/>
        <w:tabs>
          <w:tab w:val="clear" w:pos="990"/>
        </w:tabs>
        <w:spacing w:after="0"/>
        <w:ind w:left="2880"/>
        <w:jc w:val="left"/>
        <w:rPr>
          <w:szCs w:val="22"/>
        </w:rPr>
      </w:pPr>
      <w:r w:rsidRPr="002A41BB">
        <w:rPr>
          <w:szCs w:val="22"/>
        </w:rPr>
        <w:t>John J. Schauble</w:t>
      </w:r>
    </w:p>
    <w:p w:rsidR="00FA280A" w:rsidRPr="002A41BB" w:rsidRDefault="00FA280A" w:rsidP="00FA280A">
      <w:pPr>
        <w:pStyle w:val="ParaNumChar1"/>
        <w:tabs>
          <w:tab w:val="clear" w:pos="990"/>
        </w:tabs>
        <w:spacing w:after="0"/>
        <w:ind w:left="2880"/>
        <w:jc w:val="left"/>
        <w:rPr>
          <w:szCs w:val="22"/>
        </w:rPr>
      </w:pPr>
      <w:r w:rsidRPr="002A41BB">
        <w:rPr>
          <w:szCs w:val="22"/>
        </w:rPr>
        <w:t>Deputy Chief, Broadband Division</w:t>
      </w:r>
    </w:p>
    <w:p w:rsidR="00FA280A" w:rsidRPr="002A41BB" w:rsidRDefault="00FA280A" w:rsidP="00FA280A">
      <w:pPr>
        <w:pStyle w:val="ParaNumChar1"/>
        <w:tabs>
          <w:tab w:val="clear" w:pos="990"/>
        </w:tabs>
        <w:spacing w:after="0"/>
        <w:ind w:left="2880"/>
        <w:jc w:val="left"/>
        <w:rPr>
          <w:szCs w:val="22"/>
        </w:rPr>
      </w:pPr>
      <w:r w:rsidRPr="002A41BB">
        <w:rPr>
          <w:szCs w:val="22"/>
        </w:rPr>
        <w:t>Wireless Telecommunications Bureau</w:t>
      </w:r>
    </w:p>
    <w:p w:rsidR="000A4A8F" w:rsidRPr="002A41BB" w:rsidRDefault="000A4A8F" w:rsidP="00FE10E2">
      <w:pPr>
        <w:ind w:firstLine="720"/>
        <w:rPr>
          <w:sz w:val="22"/>
          <w:szCs w:val="22"/>
        </w:rPr>
      </w:pPr>
    </w:p>
    <w:p w:rsidR="00DA353E" w:rsidRPr="002A41BB" w:rsidRDefault="00DA353E" w:rsidP="00FE10E2">
      <w:pPr>
        <w:ind w:firstLine="720"/>
        <w:rPr>
          <w:sz w:val="22"/>
          <w:szCs w:val="22"/>
        </w:rPr>
      </w:pPr>
    </w:p>
    <w:p w:rsidR="00DA353E" w:rsidRDefault="00DA353E" w:rsidP="00FE10E2">
      <w:pPr>
        <w:ind w:firstLine="720"/>
        <w:rPr>
          <w:sz w:val="22"/>
          <w:szCs w:val="22"/>
        </w:rPr>
      </w:pPr>
      <w:r>
        <w:rPr>
          <w:sz w:val="22"/>
          <w:szCs w:val="22"/>
        </w:rPr>
        <w:t>cc:</w:t>
      </w:r>
      <w:r w:rsidR="004E7E0E">
        <w:rPr>
          <w:sz w:val="22"/>
          <w:szCs w:val="22"/>
        </w:rPr>
        <w:tab/>
      </w:r>
      <w:r w:rsidR="00C47F26">
        <w:rPr>
          <w:sz w:val="22"/>
          <w:szCs w:val="22"/>
        </w:rPr>
        <w:t>Steven A Lancelotta,</w:t>
      </w:r>
      <w:r w:rsidR="004E7E0E">
        <w:rPr>
          <w:sz w:val="22"/>
          <w:szCs w:val="22"/>
        </w:rPr>
        <w:t xml:space="preserve"> Esq.</w:t>
      </w:r>
    </w:p>
    <w:p w:rsidR="00182DD2" w:rsidRDefault="00C47F26" w:rsidP="00C47F26">
      <w:pPr>
        <w:rPr>
          <w:sz w:val="22"/>
          <w:szCs w:val="22"/>
        </w:rPr>
      </w:pPr>
      <w:r>
        <w:rPr>
          <w:sz w:val="22"/>
          <w:szCs w:val="22"/>
        </w:rPr>
        <w:tab/>
      </w:r>
      <w:r>
        <w:rPr>
          <w:sz w:val="22"/>
          <w:szCs w:val="22"/>
        </w:rPr>
        <w:tab/>
        <w:t>Butzel Long P.C.</w:t>
      </w:r>
    </w:p>
    <w:p w:rsidR="00182DD2" w:rsidRDefault="00C47F26" w:rsidP="004E7E0E">
      <w:pPr>
        <w:ind w:left="720" w:firstLine="720"/>
        <w:rPr>
          <w:sz w:val="22"/>
          <w:szCs w:val="22"/>
        </w:rPr>
      </w:pPr>
      <w:r>
        <w:rPr>
          <w:sz w:val="22"/>
          <w:szCs w:val="22"/>
        </w:rPr>
        <w:t>1747 Pennsylvania Avenue</w:t>
      </w:r>
      <w:r w:rsidR="00182DD2">
        <w:rPr>
          <w:sz w:val="22"/>
          <w:szCs w:val="22"/>
        </w:rPr>
        <w:t>, NW</w:t>
      </w:r>
    </w:p>
    <w:p w:rsidR="00182DD2" w:rsidRDefault="00C47F26" w:rsidP="004E7E0E">
      <w:pPr>
        <w:ind w:left="720" w:firstLine="720"/>
        <w:rPr>
          <w:sz w:val="22"/>
          <w:szCs w:val="22"/>
        </w:rPr>
      </w:pPr>
      <w:r>
        <w:rPr>
          <w:sz w:val="22"/>
          <w:szCs w:val="22"/>
        </w:rPr>
        <w:t>Washington DC 20006</w:t>
      </w:r>
    </w:p>
    <w:p w:rsidR="00182DD2" w:rsidRDefault="00182DD2" w:rsidP="00FE10E2">
      <w:pPr>
        <w:ind w:firstLine="720"/>
        <w:rPr>
          <w:sz w:val="22"/>
          <w:szCs w:val="22"/>
        </w:rPr>
      </w:pPr>
    </w:p>
    <w:p w:rsidR="00182DD2" w:rsidRPr="00204CE3" w:rsidRDefault="00182DD2" w:rsidP="00FE10E2">
      <w:pPr>
        <w:ind w:firstLine="720"/>
        <w:rPr>
          <w:sz w:val="22"/>
          <w:szCs w:val="22"/>
        </w:rPr>
      </w:pPr>
      <w:r>
        <w:rPr>
          <w:sz w:val="22"/>
          <w:szCs w:val="22"/>
        </w:rPr>
        <w:tab/>
      </w:r>
    </w:p>
    <w:sectPr w:rsidR="00182DD2" w:rsidRPr="00204CE3">
      <w:headerReference w:type="even" r:id="rId8"/>
      <w:headerReference w:type="default" r:id="rId9"/>
      <w:footerReference w:type="even" r:id="rId10"/>
      <w:footerReference w:type="default" r:id="rId11"/>
      <w:headerReference w:type="first" r:id="rId12"/>
      <w:footerReference w:type="first" r:id="rId13"/>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D14" w:rsidRDefault="00876D14">
      <w:r>
        <w:separator/>
      </w:r>
    </w:p>
  </w:endnote>
  <w:endnote w:type="continuationSeparator" w:id="0">
    <w:p w:rsidR="00876D14" w:rsidRDefault="0087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00022FF" w:usb1="C000205B" w:usb2="0000000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8E0" w:rsidRDefault="00F378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8E0" w:rsidRDefault="00F378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8E0" w:rsidRDefault="00F37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D14" w:rsidRDefault="00876D14">
      <w:r>
        <w:separator/>
      </w:r>
    </w:p>
  </w:footnote>
  <w:footnote w:type="continuationSeparator" w:id="0">
    <w:p w:rsidR="00876D14" w:rsidRDefault="00876D14">
      <w:r>
        <w:continuationSeparator/>
      </w:r>
    </w:p>
  </w:footnote>
  <w:footnote w:id="1">
    <w:p w:rsidR="002A675F" w:rsidRPr="00887D9E" w:rsidRDefault="002A675F" w:rsidP="00D353C0">
      <w:pPr>
        <w:pStyle w:val="FootnoteText"/>
      </w:pPr>
      <w:r>
        <w:rPr>
          <w:rStyle w:val="FootnoteReference"/>
        </w:rPr>
        <w:footnoteRef/>
      </w:r>
      <w:r>
        <w:t xml:space="preserve"> </w:t>
      </w:r>
      <w:r w:rsidRPr="00887D9E">
        <w:t>Petition for Reconsideration</w:t>
      </w:r>
      <w:r w:rsidR="00435E49">
        <w:t xml:space="preserve">, </w:t>
      </w:r>
      <w:r w:rsidR="00435E49" w:rsidRPr="00435E49">
        <w:t>Shekinah Network</w:t>
      </w:r>
      <w:r w:rsidRPr="00887D9E">
        <w:t xml:space="preserve"> (filed July 11, 2016) (Petition).</w:t>
      </w:r>
    </w:p>
  </w:footnote>
  <w:footnote w:id="2">
    <w:p w:rsidR="00B82E65" w:rsidRDefault="00B82E65">
      <w:pPr>
        <w:pStyle w:val="FootnoteText"/>
      </w:pPr>
      <w:r>
        <w:rPr>
          <w:rStyle w:val="FootnoteReference"/>
        </w:rPr>
        <w:footnoteRef/>
      </w:r>
      <w:r>
        <w:t xml:space="preserve"> </w:t>
      </w:r>
      <w:r w:rsidRPr="00B82E65">
        <w:t xml:space="preserve">Letter to Suzanne S. Goodwyn, Esq., </w:t>
      </w:r>
      <w:r w:rsidR="00F1222D">
        <w:t xml:space="preserve">31 FCC Rcd 6831 </w:t>
      </w:r>
      <w:r w:rsidRPr="00B82E65">
        <w:t>(WTB BD</w:t>
      </w:r>
      <w:r w:rsidR="00F1222D">
        <w:t xml:space="preserve"> </w:t>
      </w:r>
      <w:r w:rsidRPr="00B82E65">
        <w:t>2016) (Letter Order).</w:t>
      </w:r>
    </w:p>
  </w:footnote>
  <w:footnote w:id="3">
    <w:p w:rsidR="00E14870" w:rsidRPr="00E14870" w:rsidRDefault="00E14870">
      <w:pPr>
        <w:pStyle w:val="FootnoteText"/>
      </w:pPr>
      <w:r w:rsidRPr="00E14870">
        <w:rPr>
          <w:rStyle w:val="FootnoteReference"/>
        </w:rPr>
        <w:footnoteRef/>
      </w:r>
      <w:r w:rsidRPr="00E14870">
        <w:t xml:space="preserve"> Shekinah Network, Motion for Declaratory Ruling (filed Oct. 28, 2015) (Motion).</w:t>
      </w:r>
    </w:p>
  </w:footnote>
  <w:footnote w:id="4">
    <w:p w:rsidR="0033619E" w:rsidRPr="00411CEE" w:rsidRDefault="00226BD1" w:rsidP="00D353C0">
      <w:pPr>
        <w:pStyle w:val="FootnoteText"/>
      </w:pPr>
      <w:r w:rsidRPr="00E14870">
        <w:rPr>
          <w:rStyle w:val="FootnoteReference"/>
        </w:rPr>
        <w:footnoteRef/>
      </w:r>
      <w:r w:rsidRPr="00E14870">
        <w:t xml:space="preserve"> Des Moines F MPSG Partnership </w:t>
      </w:r>
      <w:r w:rsidR="00A0553A">
        <w:t xml:space="preserve">(“Partnership”) </w:t>
      </w:r>
      <w:r w:rsidRPr="00E14870">
        <w:t>filed its opposition on July</w:t>
      </w:r>
      <w:r w:rsidRPr="00411CEE">
        <w:t xml:space="preserve"> 20, 2016. Des Moines F MPSG Partnership, Opposition to Petition for Reconsideration and Request for Summary Dismissal (filed July 20, 2016) (Opposition).  Shekinah replied to th</w:t>
      </w:r>
      <w:r w:rsidR="006E3FA3">
        <w:t>e</w:t>
      </w:r>
      <w:r w:rsidRPr="00411CEE">
        <w:t xml:space="preserve"> Opposition.  Shekinah Network, Reply to Opposition for </w:t>
      </w:r>
      <w:r w:rsidR="0033619E" w:rsidRPr="00411CEE">
        <w:t>Reconsideration</w:t>
      </w:r>
      <w:r w:rsidRPr="00411CEE">
        <w:t xml:space="preserve"> (filed July 25, 2016) (Reply). </w:t>
      </w:r>
    </w:p>
  </w:footnote>
  <w:footnote w:id="5">
    <w:p w:rsidR="001C380F" w:rsidRDefault="001C380F">
      <w:pPr>
        <w:pStyle w:val="FootnoteText"/>
      </w:pPr>
      <w:r>
        <w:rPr>
          <w:rStyle w:val="FootnoteReference"/>
        </w:rPr>
        <w:footnoteRef/>
      </w:r>
      <w:r>
        <w:t xml:space="preserve"> </w:t>
      </w:r>
      <w:r w:rsidR="00623797">
        <w:t xml:space="preserve">The Partnership’s Motion to Strike does not identify any specific procedural deficiency in Shekinah’s reply pleading. </w:t>
      </w:r>
      <w:r w:rsidR="00F1222D">
        <w:t xml:space="preserve"> </w:t>
      </w:r>
      <w:r w:rsidR="00623797">
        <w:t>Instead, the Partnership repeats arguments made in its opposition.  Under those circumstances, we will deny the Motion to Strike and not give any further consideration to the substantive arguments made in the Motion to Strike or Shekinah’s response.</w:t>
      </w:r>
    </w:p>
  </w:footnote>
  <w:footnote w:id="6">
    <w:p w:rsidR="004262EC" w:rsidRPr="00FC738D" w:rsidRDefault="004262EC" w:rsidP="004262EC">
      <w:pPr>
        <w:pStyle w:val="FootnoteText"/>
      </w:pPr>
      <w:r>
        <w:rPr>
          <w:rStyle w:val="FootnoteReference"/>
        </w:rPr>
        <w:footnoteRef/>
      </w:r>
      <w:r>
        <w:t xml:space="preserve"> </w:t>
      </w:r>
      <w:r w:rsidR="003C5D91">
        <w:t>Motion</w:t>
      </w:r>
      <w:r>
        <w:t xml:space="preserve"> at 1.</w:t>
      </w:r>
    </w:p>
  </w:footnote>
  <w:footnote w:id="7">
    <w:p w:rsidR="004262EC" w:rsidRPr="00E14870" w:rsidRDefault="004262EC" w:rsidP="004262EC">
      <w:pPr>
        <w:pStyle w:val="Default"/>
        <w:spacing w:after="120"/>
        <w:rPr>
          <w:sz w:val="20"/>
          <w:szCs w:val="20"/>
        </w:rPr>
      </w:pPr>
      <w:r w:rsidRPr="00E14870">
        <w:rPr>
          <w:rStyle w:val="FootnoteReference"/>
          <w:szCs w:val="20"/>
        </w:rPr>
        <w:footnoteRef/>
      </w:r>
      <w:r w:rsidRPr="00E14870">
        <w:rPr>
          <w:sz w:val="20"/>
          <w:szCs w:val="20"/>
        </w:rPr>
        <w:t xml:space="preserve"> </w:t>
      </w:r>
      <w:r w:rsidR="00B82E65">
        <w:rPr>
          <w:sz w:val="20"/>
          <w:szCs w:val="20"/>
        </w:rPr>
        <w:t>Letter Order.</w:t>
      </w:r>
    </w:p>
  </w:footnote>
  <w:footnote w:id="8">
    <w:p w:rsidR="00A0553A" w:rsidRPr="00E14870" w:rsidRDefault="00A0553A" w:rsidP="00A0553A">
      <w:pPr>
        <w:pStyle w:val="FootnoteText"/>
      </w:pPr>
      <w:r w:rsidRPr="00E14870">
        <w:rPr>
          <w:rStyle w:val="FootnoteReference"/>
        </w:rPr>
        <w:footnoteRef/>
      </w:r>
      <w:r w:rsidRPr="00E14870">
        <w:t xml:space="preserve"> Petition at 4.</w:t>
      </w:r>
    </w:p>
  </w:footnote>
  <w:footnote w:id="9">
    <w:p w:rsidR="0033619E" w:rsidRPr="00887D9E" w:rsidRDefault="0033619E">
      <w:pPr>
        <w:pStyle w:val="FootnoteText"/>
      </w:pPr>
      <w:r w:rsidRPr="00887D9E">
        <w:rPr>
          <w:rStyle w:val="FootnoteReference"/>
        </w:rPr>
        <w:footnoteRef/>
      </w:r>
      <w:r w:rsidRPr="00887D9E">
        <w:t xml:space="preserve"> </w:t>
      </w:r>
      <w:r w:rsidR="004E3F30">
        <w:t xml:space="preserve">Petition at 2, </w:t>
      </w:r>
      <w:r w:rsidR="00CB59DF">
        <w:t>Reply at 2</w:t>
      </w:r>
      <w:r w:rsidR="004E3F30">
        <w:t>.  Because the information in question was submitted confidentially, we do not discuss the nature of the information in this letter</w:t>
      </w:r>
      <w:r w:rsidRPr="00887D9E">
        <w:t>.</w:t>
      </w:r>
    </w:p>
  </w:footnote>
  <w:footnote w:id="10">
    <w:p w:rsidR="00300889" w:rsidRDefault="00300889">
      <w:pPr>
        <w:pStyle w:val="FootnoteText"/>
      </w:pPr>
      <w:r>
        <w:rPr>
          <w:rStyle w:val="FootnoteReference"/>
        </w:rPr>
        <w:footnoteRef/>
      </w:r>
      <w:r>
        <w:t xml:space="preserve"> Opposition at 2 n.3.</w:t>
      </w:r>
    </w:p>
  </w:footnote>
  <w:footnote w:id="11">
    <w:p w:rsidR="000243A0" w:rsidRDefault="000243A0" w:rsidP="000243A0">
      <w:pPr>
        <w:pStyle w:val="FootnoteText"/>
      </w:pPr>
      <w:r>
        <w:rPr>
          <w:rStyle w:val="FootnoteReference"/>
        </w:rPr>
        <w:footnoteRef/>
      </w:r>
      <w:r>
        <w:t xml:space="preserve"> </w:t>
      </w:r>
      <w:r w:rsidRPr="00AA67F2">
        <w:rPr>
          <w:i/>
        </w:rPr>
        <w:t>S.A. Dawson</w:t>
      </w:r>
      <w:r>
        <w:t xml:space="preserve">, </w:t>
      </w:r>
      <w:r w:rsidRPr="00AA67F2">
        <w:t>Memorandum Opinion and Order</w:t>
      </w:r>
      <w:r>
        <w:rPr>
          <w:i/>
        </w:rPr>
        <w:t xml:space="preserve">, </w:t>
      </w:r>
      <w:r>
        <w:t xml:space="preserve">17 FCC Rcd 472, 474 n.15 (WTB 2002) </w:t>
      </w:r>
      <w:r>
        <w:rPr>
          <w:i/>
          <w:color w:val="000000"/>
        </w:rPr>
        <w:t xml:space="preserve">citing </w:t>
      </w:r>
      <w:r w:rsidRPr="00AA67F2">
        <w:rPr>
          <w:i/>
          <w:color w:val="000000"/>
        </w:rPr>
        <w:t>Air</w:t>
      </w:r>
      <w:r w:rsidR="00DA7851">
        <w:rPr>
          <w:i/>
          <w:color w:val="000000"/>
        </w:rPr>
        <w:t>T</w:t>
      </w:r>
      <w:r w:rsidRPr="00AA67F2">
        <w:rPr>
          <w:i/>
          <w:color w:val="000000"/>
        </w:rPr>
        <w:t>ouch Paging, Inc.</w:t>
      </w:r>
      <w:r>
        <w:rPr>
          <w:color w:val="000000"/>
        </w:rPr>
        <w:t xml:space="preserve">, </w:t>
      </w:r>
      <w:r w:rsidRPr="00AA67F2">
        <w:rPr>
          <w:color w:val="000000"/>
        </w:rPr>
        <w:t>Order</w:t>
      </w:r>
      <w:r>
        <w:rPr>
          <w:color w:val="000000"/>
        </w:rPr>
        <w:t>, 14 FCC Rcd 9658 (WTB CWB P&amp;RB 1999)</w:t>
      </w:r>
      <w:r w:rsidR="00F1222D">
        <w:rPr>
          <w:color w:val="000000"/>
        </w:rPr>
        <w:t xml:space="preserve"> </w:t>
      </w:r>
      <w:r w:rsidR="00F1222D" w:rsidRPr="00F1222D">
        <w:rPr>
          <w:color w:val="000000"/>
        </w:rPr>
        <w:t>(“</w:t>
      </w:r>
      <w:r w:rsidR="00F1222D" w:rsidRPr="00F1222D">
        <w:rPr>
          <w:i/>
          <w:color w:val="000000"/>
        </w:rPr>
        <w:t>AirTouch Paging</w:t>
      </w:r>
      <w:r w:rsidR="00F1222D" w:rsidRPr="00F1222D">
        <w:rPr>
          <w:color w:val="000000"/>
        </w:rPr>
        <w:t>”)</w:t>
      </w:r>
      <w:r>
        <w:rPr>
          <w:color w:val="000000"/>
        </w:rPr>
        <w:t xml:space="preserve">; </w:t>
      </w:r>
      <w:r w:rsidRPr="00707F03">
        <w:rPr>
          <w:i/>
          <w:color w:val="000000"/>
        </w:rPr>
        <w:t>Listeners’ Guild, Inc. v. FCC</w:t>
      </w:r>
      <w:r>
        <w:rPr>
          <w:color w:val="000000"/>
        </w:rPr>
        <w:t xml:space="preserve">, 813 F.2d 465, 469 (D.C. Cir. 1987).  </w:t>
      </w:r>
      <w:r w:rsidRPr="00D17D71">
        <w:rPr>
          <w:i/>
          <w:color w:val="000000"/>
        </w:rPr>
        <w:t>See also</w:t>
      </w:r>
      <w:r>
        <w:rPr>
          <w:color w:val="000000"/>
        </w:rPr>
        <w:t xml:space="preserve"> </w:t>
      </w:r>
      <w:r>
        <w:rPr>
          <w:i/>
          <w:color w:val="000000"/>
        </w:rPr>
        <w:t>Rudolph J. Geist, Esq.</w:t>
      </w:r>
      <w:r>
        <w:rPr>
          <w:color w:val="000000"/>
        </w:rPr>
        <w:t xml:space="preserve">, Letter, 29 FCC Rcd 15282 (WTB BD 2014); </w:t>
      </w:r>
      <w:r w:rsidRPr="00AA67F2">
        <w:rPr>
          <w:i/>
          <w:color w:val="000000"/>
        </w:rPr>
        <w:t>Antilles Wireless, L.L.C. d/b/a USA Digital</w:t>
      </w:r>
      <w:r>
        <w:rPr>
          <w:color w:val="000000"/>
        </w:rPr>
        <w:t xml:space="preserve">, </w:t>
      </w:r>
      <w:r w:rsidRPr="00AA67F2">
        <w:rPr>
          <w:color w:val="000000"/>
        </w:rPr>
        <w:t>Order on Reconsideration</w:t>
      </w:r>
      <w:r>
        <w:rPr>
          <w:color w:val="000000"/>
        </w:rPr>
        <w:t>, 24 FCC Rcd 4696, 4699 ¶ 8 (WTB 2009).</w:t>
      </w:r>
    </w:p>
  </w:footnote>
  <w:footnote w:id="12">
    <w:p w:rsidR="00B46820" w:rsidRDefault="00B46820">
      <w:pPr>
        <w:pStyle w:val="FootnoteText"/>
      </w:pPr>
      <w:r>
        <w:rPr>
          <w:rStyle w:val="FootnoteReference"/>
        </w:rPr>
        <w:footnoteRef/>
      </w:r>
      <w:r>
        <w:t xml:space="preserve"> Petition at 3</w:t>
      </w:r>
      <w:r w:rsidR="000243A0">
        <w:t xml:space="preserve">, </w:t>
      </w:r>
      <w:r w:rsidR="000243A0">
        <w:rPr>
          <w:i/>
        </w:rPr>
        <w:t xml:space="preserve">citing </w:t>
      </w:r>
      <w:r w:rsidR="000243A0">
        <w:rPr>
          <w:i/>
          <w:iCs/>
        </w:rPr>
        <w:t>Air</w:t>
      </w:r>
      <w:r w:rsidR="00DA7851">
        <w:rPr>
          <w:i/>
          <w:iCs/>
        </w:rPr>
        <w:t>T</w:t>
      </w:r>
      <w:r w:rsidR="000243A0">
        <w:rPr>
          <w:i/>
          <w:iCs/>
        </w:rPr>
        <w:t>ouch Paging</w:t>
      </w:r>
      <w:r w:rsidR="00DA7851">
        <w:t>.</w:t>
      </w:r>
    </w:p>
  </w:footnote>
  <w:footnote w:id="13">
    <w:p w:rsidR="00F51D37" w:rsidRDefault="00F51D37">
      <w:pPr>
        <w:pStyle w:val="FootnoteText"/>
      </w:pPr>
      <w:r>
        <w:rPr>
          <w:rStyle w:val="FootnoteReference"/>
        </w:rPr>
        <w:footnoteRef/>
      </w:r>
      <w:r>
        <w:t xml:space="preserve"> Petition at 4.</w:t>
      </w:r>
    </w:p>
  </w:footnote>
  <w:footnote w:id="14">
    <w:p w:rsidR="00E2498B" w:rsidRPr="00AF6FD6" w:rsidRDefault="00E2498B" w:rsidP="00E2498B">
      <w:pPr>
        <w:pStyle w:val="FootnoteText"/>
      </w:pPr>
      <w:r>
        <w:rPr>
          <w:rStyle w:val="FootnoteReference"/>
        </w:rPr>
        <w:footnoteRef/>
      </w:r>
      <w:r>
        <w:t xml:space="preserve"> Letter Order at 2, </w:t>
      </w:r>
      <w:r>
        <w:rPr>
          <w:i/>
        </w:rPr>
        <w:t xml:space="preserve">quoting </w:t>
      </w:r>
      <w:r w:rsidRPr="00FC738D">
        <w:rPr>
          <w:i/>
        </w:rPr>
        <w:t>Amendment of Parts 1, 21, 73, 74 and 101 of the Commission’s Rules to Facilitate the Provision of Fixed and Mobile Broadband Access, Educational and Other Advanced Services in the 2150-2162 and 2500-2690 MHz Bands</w:t>
      </w:r>
      <w:r w:rsidRPr="00FC738D">
        <w:t xml:space="preserve">, </w:t>
      </w:r>
      <w:r>
        <w:t xml:space="preserve">Fifth Memorandum Opinion </w:t>
      </w:r>
      <w:r w:rsidRPr="00FC738D">
        <w:t xml:space="preserve">and Order and </w:t>
      </w:r>
      <w:r>
        <w:t xml:space="preserve">Third </w:t>
      </w:r>
      <w:r w:rsidRPr="00FC738D">
        <w:t>Further Notice of Proposed Rulemaking</w:t>
      </w:r>
      <w:r w:rsidRPr="00FC738D">
        <w:rPr>
          <w:i/>
        </w:rPr>
        <w:t>,</w:t>
      </w:r>
      <w:r w:rsidRPr="00FC738D">
        <w:t xml:space="preserve"> </w:t>
      </w:r>
      <w:r>
        <w:t>24</w:t>
      </w:r>
      <w:r w:rsidRPr="00FC738D">
        <w:t xml:space="preserve"> FCC Rcd 1</w:t>
      </w:r>
      <w:r>
        <w:t>2258</w:t>
      </w:r>
      <w:r w:rsidRPr="00FC738D">
        <w:t xml:space="preserve">, </w:t>
      </w:r>
      <w:r>
        <w:t>12263 para. 13 (2009).</w:t>
      </w:r>
    </w:p>
  </w:footnote>
  <w:footnote w:id="15">
    <w:p w:rsidR="0033619E" w:rsidRPr="00887D9E" w:rsidRDefault="0033619E" w:rsidP="0033619E">
      <w:pPr>
        <w:pStyle w:val="FootnoteText"/>
      </w:pPr>
      <w:r w:rsidRPr="00887D9E">
        <w:rPr>
          <w:rStyle w:val="FootnoteReference"/>
        </w:rPr>
        <w:footnoteRef/>
      </w:r>
      <w:r w:rsidRPr="00887D9E">
        <w:t xml:space="preserve"> </w:t>
      </w:r>
      <w:r w:rsidRPr="00887D9E">
        <w:rPr>
          <w:i/>
        </w:rPr>
        <w:t>See, e.g.</w:t>
      </w:r>
      <w:r w:rsidRPr="00887D9E">
        <w:t>,</w:t>
      </w:r>
      <w:r w:rsidRPr="00887D9E">
        <w:rPr>
          <w:i/>
        </w:rPr>
        <w:t xml:space="preserve"> WWIZ, Inc</w:t>
      </w:r>
      <w:r w:rsidRPr="00887D9E">
        <w:t>., Memorandum Opinion and Order, 37 FCC 685, 686 (1964).</w:t>
      </w:r>
    </w:p>
  </w:footnote>
  <w:footnote w:id="16">
    <w:p w:rsidR="0033619E" w:rsidRPr="00887D9E" w:rsidRDefault="0033619E" w:rsidP="0033619E">
      <w:pPr>
        <w:pStyle w:val="FootnoteText"/>
      </w:pPr>
      <w:r w:rsidRPr="00887D9E">
        <w:rPr>
          <w:rStyle w:val="FootnoteReference"/>
        </w:rPr>
        <w:footnoteRef/>
      </w:r>
      <w:r w:rsidRPr="00887D9E">
        <w:rPr>
          <w:lang w:val="es-ES"/>
        </w:rPr>
        <w:t xml:space="preserve"> 47 CFR § 1.106(b)(2).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8E0" w:rsidRDefault="00F378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E0E" w:rsidRPr="00B37513" w:rsidRDefault="00D305C7" w:rsidP="00B37513">
    <w:pPr>
      <w:pStyle w:val="Header"/>
      <w:rPr>
        <w:sz w:val="22"/>
        <w:szCs w:val="22"/>
      </w:rPr>
    </w:pPr>
    <w:r>
      <w:rPr>
        <w:sz w:val="22"/>
        <w:szCs w:val="22"/>
      </w:rPr>
      <w:t xml:space="preserve">Suzanne </w:t>
    </w:r>
    <w:r w:rsidR="00DF631B">
      <w:rPr>
        <w:sz w:val="22"/>
        <w:szCs w:val="22"/>
      </w:rPr>
      <w:t>S</w:t>
    </w:r>
    <w:r>
      <w:rPr>
        <w:sz w:val="22"/>
        <w:szCs w:val="22"/>
      </w:rPr>
      <w:t>. Goodwyn</w:t>
    </w:r>
    <w:r w:rsidR="00B37513" w:rsidRPr="00B37513">
      <w:rPr>
        <w:sz w:val="22"/>
        <w:szCs w:val="22"/>
      </w:rPr>
      <w:t>, Esq.</w:t>
    </w:r>
    <w:r w:rsidR="00B37513" w:rsidRPr="00B37513">
      <w:rPr>
        <w:sz w:val="22"/>
        <w:szCs w:val="22"/>
      </w:rPr>
      <w:tab/>
    </w:r>
    <w:r w:rsidR="00B37513" w:rsidRPr="00B37513">
      <w:rPr>
        <w:sz w:val="22"/>
        <w:szCs w:val="22"/>
      </w:rPr>
      <w:tab/>
    </w:r>
    <w:sdt>
      <w:sdtPr>
        <w:rPr>
          <w:sz w:val="22"/>
          <w:szCs w:val="22"/>
        </w:rPr>
        <w:id w:val="1912277724"/>
        <w:docPartObj>
          <w:docPartGallery w:val="Page Numbers (Top of Page)"/>
          <w:docPartUnique/>
        </w:docPartObj>
      </w:sdtPr>
      <w:sdtEndPr>
        <w:rPr>
          <w:noProof/>
        </w:rPr>
      </w:sdtEndPr>
      <w:sdtContent>
        <w:r w:rsidR="004E7E0E" w:rsidRPr="00B37513">
          <w:rPr>
            <w:sz w:val="22"/>
            <w:szCs w:val="22"/>
          </w:rPr>
          <w:fldChar w:fldCharType="begin"/>
        </w:r>
        <w:r w:rsidR="004E7E0E" w:rsidRPr="00B37513">
          <w:rPr>
            <w:sz w:val="22"/>
            <w:szCs w:val="22"/>
          </w:rPr>
          <w:instrText xml:space="preserve"> PAGE   \* MERGEFORMAT </w:instrText>
        </w:r>
        <w:r w:rsidR="004E7E0E" w:rsidRPr="00B37513">
          <w:rPr>
            <w:sz w:val="22"/>
            <w:szCs w:val="22"/>
          </w:rPr>
          <w:fldChar w:fldCharType="separate"/>
        </w:r>
        <w:r w:rsidR="00862CBC">
          <w:rPr>
            <w:noProof/>
            <w:sz w:val="22"/>
            <w:szCs w:val="22"/>
          </w:rPr>
          <w:t>2</w:t>
        </w:r>
        <w:r w:rsidR="004E7E0E" w:rsidRPr="00B37513">
          <w:rPr>
            <w:noProof/>
            <w:sz w:val="22"/>
            <w:szCs w:val="22"/>
          </w:rPr>
          <w:fldChar w:fldCharType="end"/>
        </w:r>
      </w:sdtContent>
    </w:sdt>
  </w:p>
  <w:p w:rsidR="00125291" w:rsidRPr="00B37513" w:rsidRDefault="00125291" w:rsidP="00125291">
    <w:pPr>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DB" w:rsidRDefault="00862CBC">
    <w:pPr>
      <w:pStyle w:val="Header"/>
      <w:tabs>
        <w:tab w:val="clear" w:pos="4320"/>
        <w:tab w:val="clear" w:pos="8640"/>
      </w:tabs>
      <w:spacing w:before="360" w:line="228" w:lineRule="auto"/>
      <w:jc w:val="center"/>
    </w:pPr>
    <w:r>
      <w:rPr>
        <w:rFonts w:ascii="CG Times (W1)" w:hAnsi="CG Times (W1)"/>
        <w:sz w:val="28"/>
      </w:rPr>
      <w:pict w14:anchorId="464D0E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537956177" r:id="rId2"/>
      </w:pict>
    </w:r>
    <w:r w:rsidR="002B54DB">
      <w:rPr>
        <w:rFonts w:ascii="CG Times (W1)" w:hAnsi="CG Times (W1)"/>
        <w:sz w:val="28"/>
      </w:rPr>
      <w:t>Federal Communications Commission</w:t>
    </w:r>
  </w:p>
  <w:p w:rsidR="002B54DB" w:rsidRDefault="002B54DB">
    <w:pPr>
      <w:jc w:val="center"/>
    </w:pPr>
    <w:r>
      <w:rPr>
        <w:rFonts w:ascii="CG Times (W1)" w:hAnsi="CG Times (W1)"/>
        <w:sz w:val="28"/>
      </w:rPr>
      <w:t>Washington, D.C. 20554</w:t>
    </w:r>
  </w:p>
  <w:p w:rsidR="002B54DB" w:rsidRDefault="002B54DB">
    <w:pPr>
      <w:pStyle w:val="Header"/>
      <w:tabs>
        <w:tab w:val="clear" w:pos="4320"/>
      </w:tabs>
      <w:jc w:val="center"/>
      <w:rPr>
        <w:sz w:val="22"/>
      </w:rPr>
    </w:pPr>
  </w:p>
  <w:p w:rsidR="002B54DB" w:rsidRDefault="002B54DB">
    <w:pPr>
      <w:pStyle w:val="Header"/>
      <w:tabs>
        <w:tab w:val="clear" w:pos="4320"/>
      </w:tabs>
      <w:jc w:val="center"/>
      <w:rPr>
        <w:sz w:val="22"/>
      </w:rPr>
    </w:pPr>
  </w:p>
  <w:p w:rsidR="002B54DB" w:rsidRDefault="00F1222D">
    <w:pPr>
      <w:pStyle w:val="Header"/>
      <w:tabs>
        <w:tab w:val="clear" w:pos="4320"/>
      </w:tabs>
      <w:jc w:val="center"/>
      <w:rPr>
        <w:sz w:val="24"/>
      </w:rPr>
    </w:pPr>
    <w:r>
      <w:rPr>
        <w:sz w:val="24"/>
      </w:rPr>
      <w:t>October 14</w:t>
    </w:r>
    <w:r w:rsidR="00391A36">
      <w:rPr>
        <w:sz w:val="24"/>
      </w:rP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D5"/>
    <w:rsid w:val="000243A0"/>
    <w:rsid w:val="000752F3"/>
    <w:rsid w:val="0007742E"/>
    <w:rsid w:val="000A0279"/>
    <w:rsid w:val="000A4A8F"/>
    <w:rsid w:val="000B035D"/>
    <w:rsid w:val="00105998"/>
    <w:rsid w:val="0011414D"/>
    <w:rsid w:val="00125291"/>
    <w:rsid w:val="00130F04"/>
    <w:rsid w:val="00137768"/>
    <w:rsid w:val="0015438F"/>
    <w:rsid w:val="001657DC"/>
    <w:rsid w:val="00182DD2"/>
    <w:rsid w:val="00184AEE"/>
    <w:rsid w:val="001A68E7"/>
    <w:rsid w:val="001B6BDF"/>
    <w:rsid w:val="001C32A0"/>
    <w:rsid w:val="001C380F"/>
    <w:rsid w:val="001C6A12"/>
    <w:rsid w:val="001C7443"/>
    <w:rsid w:val="00204CE3"/>
    <w:rsid w:val="00226BD1"/>
    <w:rsid w:val="00233EEC"/>
    <w:rsid w:val="00237AE6"/>
    <w:rsid w:val="00263C7A"/>
    <w:rsid w:val="002827E9"/>
    <w:rsid w:val="00282B93"/>
    <w:rsid w:val="002840F7"/>
    <w:rsid w:val="00286591"/>
    <w:rsid w:val="00293564"/>
    <w:rsid w:val="002A41BB"/>
    <w:rsid w:val="002A675F"/>
    <w:rsid w:val="002B54DB"/>
    <w:rsid w:val="00300889"/>
    <w:rsid w:val="00300A0E"/>
    <w:rsid w:val="00321CE9"/>
    <w:rsid w:val="0033134E"/>
    <w:rsid w:val="0033619E"/>
    <w:rsid w:val="00342968"/>
    <w:rsid w:val="00383D55"/>
    <w:rsid w:val="00391A36"/>
    <w:rsid w:val="003B46D6"/>
    <w:rsid w:val="003C1676"/>
    <w:rsid w:val="003C2F77"/>
    <w:rsid w:val="003C5D91"/>
    <w:rsid w:val="003F7214"/>
    <w:rsid w:val="004047A3"/>
    <w:rsid w:val="00411CEE"/>
    <w:rsid w:val="004208F6"/>
    <w:rsid w:val="004262EC"/>
    <w:rsid w:val="00435E49"/>
    <w:rsid w:val="00436948"/>
    <w:rsid w:val="004456C2"/>
    <w:rsid w:val="004855A0"/>
    <w:rsid w:val="00490076"/>
    <w:rsid w:val="004A39A5"/>
    <w:rsid w:val="004C1969"/>
    <w:rsid w:val="004C7070"/>
    <w:rsid w:val="004D3B53"/>
    <w:rsid w:val="004E3F30"/>
    <w:rsid w:val="004E5EC6"/>
    <w:rsid w:val="004E7E0E"/>
    <w:rsid w:val="004F64A8"/>
    <w:rsid w:val="005409D1"/>
    <w:rsid w:val="005A245E"/>
    <w:rsid w:val="005A4CCF"/>
    <w:rsid w:val="005C2195"/>
    <w:rsid w:val="005C426D"/>
    <w:rsid w:val="005D0E3A"/>
    <w:rsid w:val="005D44C3"/>
    <w:rsid w:val="006056D1"/>
    <w:rsid w:val="006075BC"/>
    <w:rsid w:val="00622C53"/>
    <w:rsid w:val="00623797"/>
    <w:rsid w:val="006266A5"/>
    <w:rsid w:val="00627168"/>
    <w:rsid w:val="0063646A"/>
    <w:rsid w:val="00650F45"/>
    <w:rsid w:val="006538D6"/>
    <w:rsid w:val="006A1F52"/>
    <w:rsid w:val="006B03C6"/>
    <w:rsid w:val="006B4A77"/>
    <w:rsid w:val="006C180C"/>
    <w:rsid w:val="006E3FA3"/>
    <w:rsid w:val="00707F03"/>
    <w:rsid w:val="007303F3"/>
    <w:rsid w:val="00735605"/>
    <w:rsid w:val="0075262F"/>
    <w:rsid w:val="00776F1F"/>
    <w:rsid w:val="00785D01"/>
    <w:rsid w:val="00796598"/>
    <w:rsid w:val="007C6157"/>
    <w:rsid w:val="007D72EE"/>
    <w:rsid w:val="007D7E98"/>
    <w:rsid w:val="007E1F11"/>
    <w:rsid w:val="007F451C"/>
    <w:rsid w:val="008234DF"/>
    <w:rsid w:val="008367E3"/>
    <w:rsid w:val="00846843"/>
    <w:rsid w:val="008601F8"/>
    <w:rsid w:val="00862CBC"/>
    <w:rsid w:val="00866464"/>
    <w:rsid w:val="00871B26"/>
    <w:rsid w:val="0087504A"/>
    <w:rsid w:val="00876D14"/>
    <w:rsid w:val="008855D4"/>
    <w:rsid w:val="00887D9E"/>
    <w:rsid w:val="008902D0"/>
    <w:rsid w:val="00893F01"/>
    <w:rsid w:val="008A1538"/>
    <w:rsid w:val="008A1C16"/>
    <w:rsid w:val="008A4C8B"/>
    <w:rsid w:val="008A53A8"/>
    <w:rsid w:val="008F1253"/>
    <w:rsid w:val="00904F1D"/>
    <w:rsid w:val="00905922"/>
    <w:rsid w:val="009126A4"/>
    <w:rsid w:val="00923891"/>
    <w:rsid w:val="0095623D"/>
    <w:rsid w:val="00972FD7"/>
    <w:rsid w:val="009B6CD3"/>
    <w:rsid w:val="009E295A"/>
    <w:rsid w:val="009F0D47"/>
    <w:rsid w:val="00A0553A"/>
    <w:rsid w:val="00A21467"/>
    <w:rsid w:val="00A31696"/>
    <w:rsid w:val="00A32552"/>
    <w:rsid w:val="00A5470C"/>
    <w:rsid w:val="00A630CF"/>
    <w:rsid w:val="00AA695B"/>
    <w:rsid w:val="00AB0292"/>
    <w:rsid w:val="00AC7523"/>
    <w:rsid w:val="00AF10E1"/>
    <w:rsid w:val="00AF6FD6"/>
    <w:rsid w:val="00B23F15"/>
    <w:rsid w:val="00B37513"/>
    <w:rsid w:val="00B46820"/>
    <w:rsid w:val="00B546EC"/>
    <w:rsid w:val="00B67DE6"/>
    <w:rsid w:val="00B82E65"/>
    <w:rsid w:val="00B83883"/>
    <w:rsid w:val="00B95618"/>
    <w:rsid w:val="00BA29A7"/>
    <w:rsid w:val="00C061C1"/>
    <w:rsid w:val="00C47F26"/>
    <w:rsid w:val="00C50025"/>
    <w:rsid w:val="00C67495"/>
    <w:rsid w:val="00C96C48"/>
    <w:rsid w:val="00CB59DF"/>
    <w:rsid w:val="00CD5228"/>
    <w:rsid w:val="00CD5845"/>
    <w:rsid w:val="00CF3547"/>
    <w:rsid w:val="00D17D71"/>
    <w:rsid w:val="00D305C7"/>
    <w:rsid w:val="00D353C0"/>
    <w:rsid w:val="00D431B0"/>
    <w:rsid w:val="00D567AC"/>
    <w:rsid w:val="00D56865"/>
    <w:rsid w:val="00DA1327"/>
    <w:rsid w:val="00DA353E"/>
    <w:rsid w:val="00DA7851"/>
    <w:rsid w:val="00DB1FCB"/>
    <w:rsid w:val="00DC77BF"/>
    <w:rsid w:val="00DF631B"/>
    <w:rsid w:val="00E00ADB"/>
    <w:rsid w:val="00E14870"/>
    <w:rsid w:val="00E2498B"/>
    <w:rsid w:val="00E34B80"/>
    <w:rsid w:val="00E4753C"/>
    <w:rsid w:val="00E6112C"/>
    <w:rsid w:val="00E65776"/>
    <w:rsid w:val="00E80F93"/>
    <w:rsid w:val="00E84ED9"/>
    <w:rsid w:val="00E94075"/>
    <w:rsid w:val="00EA1583"/>
    <w:rsid w:val="00EA24B6"/>
    <w:rsid w:val="00EA2A0A"/>
    <w:rsid w:val="00ED6505"/>
    <w:rsid w:val="00EF5152"/>
    <w:rsid w:val="00F1222D"/>
    <w:rsid w:val="00F245E8"/>
    <w:rsid w:val="00F378E0"/>
    <w:rsid w:val="00F42889"/>
    <w:rsid w:val="00F51D37"/>
    <w:rsid w:val="00F74E1E"/>
    <w:rsid w:val="00FA280A"/>
    <w:rsid w:val="00FC6FC3"/>
    <w:rsid w:val="00FC738D"/>
    <w:rsid w:val="00FD4118"/>
    <w:rsid w:val="00FD6DB1"/>
    <w:rsid w:val="00FD7876"/>
    <w:rsid w:val="00FE0AD5"/>
    <w:rsid w:val="00FE10E2"/>
    <w:rsid w:val="00FE2709"/>
    <w:rsid w:val="00FF5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aliases w:val="Footnote Text Char1,Footnote Text Char Char,Footnote Text Char1 Char2 Char,Footnote Text Char1 Char Char Char Char,Footnote Text Char Char Char1 Char,Footnote Text Char1 Char1 Char Char,Footnote Text Char2 Char Char,fn,f,ALTS FOOTNOTE,ft"/>
    <w:link w:val="FootnoteTextChar2"/>
    <w:rsid w:val="00FE10E2"/>
    <w:pPr>
      <w:spacing w:after="120"/>
    </w:pPr>
  </w:style>
  <w:style w:type="character" w:customStyle="1" w:styleId="FootnoteTextChar">
    <w:name w:val="Footnote Text Char"/>
    <w:aliases w:val="Footnote Text Char1 Char Char Char,Footnote Text Char Char Char Char Char,ft Char,ALTS FOOTNOTE Char,Footnote Text Char3 Char Char,Footnote Text Char2 Char Char Char,Footnote Text Char7 Char Char Char Char Char"/>
    <w:basedOn w:val="DefaultParagraphFont"/>
    <w:rsid w:val="00FE10E2"/>
  </w:style>
  <w:style w:type="character" w:styleId="FootnoteReference">
    <w:name w:val="footnote reference"/>
    <w:aliases w:val="Appel note de bas de p,o,fr,Style 12,(NECG) Footnote Reference,Style 124,Style 3,Style 17,FR,Style 13,Style 4,Footnote Reference/,Style 6"/>
    <w:rsid w:val="00FE10E2"/>
    <w:rPr>
      <w:rFonts w:ascii="Times New Roman" w:hAnsi="Times New Roman"/>
      <w:dstrike w:val="0"/>
      <w:color w:val="auto"/>
      <w:sz w:val="20"/>
      <w:vertAlign w:val="superscript"/>
    </w:rPr>
  </w:style>
  <w:style w:type="character" w:customStyle="1" w:styleId="FootnoteTextChar2">
    <w:name w:val="Footnote Text Char2"/>
    <w:aliases w:val="Footnote Text Char1 Char,Footnote Text Char Char Char,Footnote Text Char1 Char2 Char Char,Footnote Text Char1 Char Char Char Char Char,Footnote Text Char Char Char1 Char Char,Footnote Text Char1 Char1 Char Char Char,fn Char,f Char"/>
    <w:link w:val="FootnoteText"/>
    <w:rsid w:val="00FE10E2"/>
  </w:style>
  <w:style w:type="paragraph" w:customStyle="1" w:styleId="ParaNum">
    <w:name w:val="ParaNum"/>
    <w:basedOn w:val="Normal"/>
    <w:link w:val="ParaNumChar"/>
    <w:rsid w:val="00FA280A"/>
    <w:pPr>
      <w:widowControl w:val="0"/>
      <w:numPr>
        <w:numId w:val="1"/>
      </w:numPr>
      <w:tabs>
        <w:tab w:val="clear" w:pos="1080"/>
        <w:tab w:val="num" w:pos="1440"/>
      </w:tabs>
      <w:spacing w:after="120"/>
    </w:pPr>
    <w:rPr>
      <w:snapToGrid w:val="0"/>
      <w:kern w:val="28"/>
      <w:sz w:val="22"/>
    </w:rPr>
  </w:style>
  <w:style w:type="character" w:customStyle="1" w:styleId="ParaNumChar">
    <w:name w:val="ParaNum Char"/>
    <w:link w:val="ParaNum"/>
    <w:locked/>
    <w:rsid w:val="00FA280A"/>
    <w:rPr>
      <w:snapToGrid w:val="0"/>
      <w:kern w:val="28"/>
      <w:sz w:val="22"/>
    </w:rPr>
  </w:style>
  <w:style w:type="paragraph" w:customStyle="1" w:styleId="ParaNumChar1">
    <w:name w:val="ParaNum Char1"/>
    <w:basedOn w:val="Normal"/>
    <w:rsid w:val="00FA280A"/>
    <w:pPr>
      <w:widowControl w:val="0"/>
      <w:tabs>
        <w:tab w:val="num" w:pos="990"/>
      </w:tabs>
      <w:spacing w:after="220"/>
      <w:ind w:left="-90" w:firstLine="720"/>
      <w:jc w:val="both"/>
    </w:pPr>
    <w:rPr>
      <w:rFonts w:eastAsia="SimSun"/>
      <w:snapToGrid w:val="0"/>
      <w:kern w:val="28"/>
      <w:sz w:val="22"/>
    </w:rPr>
  </w:style>
  <w:style w:type="character" w:customStyle="1" w:styleId="HeaderChar">
    <w:name w:val="Header Char"/>
    <w:basedOn w:val="DefaultParagraphFont"/>
    <w:link w:val="Header"/>
    <w:uiPriority w:val="99"/>
    <w:rsid w:val="00125291"/>
  </w:style>
  <w:style w:type="paragraph" w:styleId="BalloonText">
    <w:name w:val="Balloon Text"/>
    <w:basedOn w:val="Normal"/>
    <w:link w:val="BalloonTextChar"/>
    <w:uiPriority w:val="99"/>
    <w:semiHidden/>
    <w:unhideWhenUsed/>
    <w:rsid w:val="00DA13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327"/>
    <w:rPr>
      <w:rFonts w:ascii="Segoe UI" w:hAnsi="Segoe UI" w:cs="Segoe UI"/>
      <w:sz w:val="18"/>
      <w:szCs w:val="18"/>
    </w:rPr>
  </w:style>
  <w:style w:type="character" w:styleId="CommentReference">
    <w:name w:val="annotation reference"/>
    <w:basedOn w:val="DefaultParagraphFont"/>
    <w:uiPriority w:val="99"/>
    <w:semiHidden/>
    <w:unhideWhenUsed/>
    <w:rsid w:val="00871B26"/>
    <w:rPr>
      <w:sz w:val="16"/>
      <w:szCs w:val="16"/>
    </w:rPr>
  </w:style>
  <w:style w:type="paragraph" w:styleId="CommentText">
    <w:name w:val="annotation text"/>
    <w:basedOn w:val="Normal"/>
    <w:link w:val="CommentTextChar"/>
    <w:uiPriority w:val="99"/>
    <w:semiHidden/>
    <w:unhideWhenUsed/>
    <w:rsid w:val="00871B26"/>
  </w:style>
  <w:style w:type="character" w:customStyle="1" w:styleId="CommentTextChar">
    <w:name w:val="Comment Text Char"/>
    <w:basedOn w:val="DefaultParagraphFont"/>
    <w:link w:val="CommentText"/>
    <w:uiPriority w:val="99"/>
    <w:semiHidden/>
    <w:rsid w:val="00871B26"/>
  </w:style>
  <w:style w:type="paragraph" w:styleId="CommentSubject">
    <w:name w:val="annotation subject"/>
    <w:basedOn w:val="CommentText"/>
    <w:next w:val="CommentText"/>
    <w:link w:val="CommentSubjectChar"/>
    <w:uiPriority w:val="99"/>
    <w:semiHidden/>
    <w:unhideWhenUsed/>
    <w:rsid w:val="00871B26"/>
    <w:rPr>
      <w:b/>
      <w:bCs/>
    </w:rPr>
  </w:style>
  <w:style w:type="character" w:customStyle="1" w:styleId="CommentSubjectChar">
    <w:name w:val="Comment Subject Char"/>
    <w:basedOn w:val="CommentTextChar"/>
    <w:link w:val="CommentSubject"/>
    <w:uiPriority w:val="99"/>
    <w:semiHidden/>
    <w:rsid w:val="00871B26"/>
    <w:rPr>
      <w:b/>
      <w:bCs/>
    </w:rPr>
  </w:style>
  <w:style w:type="paragraph" w:customStyle="1" w:styleId="Default">
    <w:name w:val="Default"/>
    <w:rsid w:val="002A675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aliases w:val="Footnote Text Char1,Footnote Text Char Char,Footnote Text Char1 Char2 Char,Footnote Text Char1 Char Char Char Char,Footnote Text Char Char Char1 Char,Footnote Text Char1 Char1 Char Char,Footnote Text Char2 Char Char,fn,f,ALTS FOOTNOTE,ft"/>
    <w:link w:val="FootnoteTextChar2"/>
    <w:rsid w:val="00FE10E2"/>
    <w:pPr>
      <w:spacing w:after="120"/>
    </w:pPr>
  </w:style>
  <w:style w:type="character" w:customStyle="1" w:styleId="FootnoteTextChar">
    <w:name w:val="Footnote Text Char"/>
    <w:aliases w:val="Footnote Text Char1 Char Char Char,Footnote Text Char Char Char Char Char,ft Char,ALTS FOOTNOTE Char,Footnote Text Char3 Char Char,Footnote Text Char2 Char Char Char,Footnote Text Char7 Char Char Char Char Char"/>
    <w:basedOn w:val="DefaultParagraphFont"/>
    <w:rsid w:val="00FE10E2"/>
  </w:style>
  <w:style w:type="character" w:styleId="FootnoteReference">
    <w:name w:val="footnote reference"/>
    <w:aliases w:val="Appel note de bas de p,o,fr,Style 12,(NECG) Footnote Reference,Style 124,Style 3,Style 17,FR,Style 13,Style 4,Footnote Reference/,Style 6"/>
    <w:rsid w:val="00FE10E2"/>
    <w:rPr>
      <w:rFonts w:ascii="Times New Roman" w:hAnsi="Times New Roman"/>
      <w:dstrike w:val="0"/>
      <w:color w:val="auto"/>
      <w:sz w:val="20"/>
      <w:vertAlign w:val="superscript"/>
    </w:rPr>
  </w:style>
  <w:style w:type="character" w:customStyle="1" w:styleId="FootnoteTextChar2">
    <w:name w:val="Footnote Text Char2"/>
    <w:aliases w:val="Footnote Text Char1 Char,Footnote Text Char Char Char,Footnote Text Char1 Char2 Char Char,Footnote Text Char1 Char Char Char Char Char,Footnote Text Char Char Char1 Char Char,Footnote Text Char1 Char1 Char Char Char,fn Char,f Char"/>
    <w:link w:val="FootnoteText"/>
    <w:rsid w:val="00FE10E2"/>
  </w:style>
  <w:style w:type="paragraph" w:customStyle="1" w:styleId="ParaNum">
    <w:name w:val="ParaNum"/>
    <w:basedOn w:val="Normal"/>
    <w:link w:val="ParaNumChar"/>
    <w:rsid w:val="00FA280A"/>
    <w:pPr>
      <w:widowControl w:val="0"/>
      <w:numPr>
        <w:numId w:val="1"/>
      </w:numPr>
      <w:tabs>
        <w:tab w:val="clear" w:pos="1080"/>
        <w:tab w:val="num" w:pos="1440"/>
      </w:tabs>
      <w:spacing w:after="120"/>
    </w:pPr>
    <w:rPr>
      <w:snapToGrid w:val="0"/>
      <w:kern w:val="28"/>
      <w:sz w:val="22"/>
    </w:rPr>
  </w:style>
  <w:style w:type="character" w:customStyle="1" w:styleId="ParaNumChar">
    <w:name w:val="ParaNum Char"/>
    <w:link w:val="ParaNum"/>
    <w:locked/>
    <w:rsid w:val="00FA280A"/>
    <w:rPr>
      <w:snapToGrid w:val="0"/>
      <w:kern w:val="28"/>
      <w:sz w:val="22"/>
    </w:rPr>
  </w:style>
  <w:style w:type="paragraph" w:customStyle="1" w:styleId="ParaNumChar1">
    <w:name w:val="ParaNum Char1"/>
    <w:basedOn w:val="Normal"/>
    <w:rsid w:val="00FA280A"/>
    <w:pPr>
      <w:widowControl w:val="0"/>
      <w:tabs>
        <w:tab w:val="num" w:pos="990"/>
      </w:tabs>
      <w:spacing w:after="220"/>
      <w:ind w:left="-90" w:firstLine="720"/>
      <w:jc w:val="both"/>
    </w:pPr>
    <w:rPr>
      <w:rFonts w:eastAsia="SimSun"/>
      <w:snapToGrid w:val="0"/>
      <w:kern w:val="28"/>
      <w:sz w:val="22"/>
    </w:rPr>
  </w:style>
  <w:style w:type="character" w:customStyle="1" w:styleId="HeaderChar">
    <w:name w:val="Header Char"/>
    <w:basedOn w:val="DefaultParagraphFont"/>
    <w:link w:val="Header"/>
    <w:uiPriority w:val="99"/>
    <w:rsid w:val="00125291"/>
  </w:style>
  <w:style w:type="paragraph" w:styleId="BalloonText">
    <w:name w:val="Balloon Text"/>
    <w:basedOn w:val="Normal"/>
    <w:link w:val="BalloonTextChar"/>
    <w:uiPriority w:val="99"/>
    <w:semiHidden/>
    <w:unhideWhenUsed/>
    <w:rsid w:val="00DA13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327"/>
    <w:rPr>
      <w:rFonts w:ascii="Segoe UI" w:hAnsi="Segoe UI" w:cs="Segoe UI"/>
      <w:sz w:val="18"/>
      <w:szCs w:val="18"/>
    </w:rPr>
  </w:style>
  <w:style w:type="character" w:styleId="CommentReference">
    <w:name w:val="annotation reference"/>
    <w:basedOn w:val="DefaultParagraphFont"/>
    <w:uiPriority w:val="99"/>
    <w:semiHidden/>
    <w:unhideWhenUsed/>
    <w:rsid w:val="00871B26"/>
    <w:rPr>
      <w:sz w:val="16"/>
      <w:szCs w:val="16"/>
    </w:rPr>
  </w:style>
  <w:style w:type="paragraph" w:styleId="CommentText">
    <w:name w:val="annotation text"/>
    <w:basedOn w:val="Normal"/>
    <w:link w:val="CommentTextChar"/>
    <w:uiPriority w:val="99"/>
    <w:semiHidden/>
    <w:unhideWhenUsed/>
    <w:rsid w:val="00871B26"/>
  </w:style>
  <w:style w:type="character" w:customStyle="1" w:styleId="CommentTextChar">
    <w:name w:val="Comment Text Char"/>
    <w:basedOn w:val="DefaultParagraphFont"/>
    <w:link w:val="CommentText"/>
    <w:uiPriority w:val="99"/>
    <w:semiHidden/>
    <w:rsid w:val="00871B26"/>
  </w:style>
  <w:style w:type="paragraph" w:styleId="CommentSubject">
    <w:name w:val="annotation subject"/>
    <w:basedOn w:val="CommentText"/>
    <w:next w:val="CommentText"/>
    <w:link w:val="CommentSubjectChar"/>
    <w:uiPriority w:val="99"/>
    <w:semiHidden/>
    <w:unhideWhenUsed/>
    <w:rsid w:val="00871B26"/>
    <w:rPr>
      <w:b/>
      <w:bCs/>
    </w:rPr>
  </w:style>
  <w:style w:type="character" w:customStyle="1" w:styleId="CommentSubjectChar">
    <w:name w:val="Comment Subject Char"/>
    <w:basedOn w:val="CommentTextChar"/>
    <w:link w:val="CommentSubject"/>
    <w:uiPriority w:val="99"/>
    <w:semiHidden/>
    <w:rsid w:val="00871B26"/>
    <w:rPr>
      <w:b/>
      <w:bCs/>
    </w:rPr>
  </w:style>
  <w:style w:type="paragraph" w:customStyle="1" w:styleId="Default">
    <w:name w:val="Default"/>
    <w:rsid w:val="002A675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756084">
      <w:bodyDiv w:val="1"/>
      <w:marLeft w:val="0"/>
      <w:marRight w:val="0"/>
      <w:marTop w:val="0"/>
      <w:marBottom w:val="0"/>
      <w:divBdr>
        <w:top w:val="none" w:sz="0" w:space="0" w:color="auto"/>
        <w:left w:val="none" w:sz="0" w:space="0" w:color="auto"/>
        <w:bottom w:val="none" w:sz="0" w:space="0" w:color="auto"/>
        <w:right w:val="none" w:sz="0" w:space="0" w:color="auto"/>
      </w:divBdr>
    </w:div>
    <w:div w:id="164596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Nancy.Zaczek\AppData\Local\Microsoft\Windows\Temporary%20Internet%20Files\Content.MSO\DC4D4F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DC4D4F10</Template>
  <TotalTime>0</TotalTime>
  <Pages>3</Pages>
  <Words>802</Words>
  <Characters>4227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2014-04-14T18:20:00Z</cp:lastPrinted>
  <dcterms:created xsi:type="dcterms:W3CDTF">2016-10-14T17:16:00Z</dcterms:created>
  <dcterms:modified xsi:type="dcterms:W3CDTF">2016-10-14T17:16:00Z</dcterms:modified>
  <cp:category> </cp:category>
  <cp:contentStatus> </cp:contentStatus>
</cp:coreProperties>
</file>