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E6" w:rsidRDefault="003F41E6" w:rsidP="003F41E6">
      <w:pPr>
        <w:tabs>
          <w:tab w:val="left" w:pos="9180"/>
          <w:tab w:val="left" w:pos="9360"/>
        </w:tabs>
        <w:ind w:right="180"/>
        <w:jc w:val="right"/>
        <w:rPr>
          <w:b/>
          <w:szCs w:val="24"/>
          <w:highlight w:val="yellow"/>
        </w:rPr>
      </w:pPr>
      <w:bookmarkStart w:id="0" w:name="_GoBack"/>
      <w:bookmarkEnd w:id="0"/>
      <w:r>
        <w:rPr>
          <w:b/>
          <w:szCs w:val="24"/>
        </w:rPr>
        <w:t>DA 16-</w:t>
      </w:r>
      <w:r w:rsidR="00114908">
        <w:rPr>
          <w:b/>
          <w:szCs w:val="24"/>
        </w:rPr>
        <w:t>1185</w:t>
      </w:r>
    </w:p>
    <w:p w:rsidR="003F41E6" w:rsidRDefault="00C7088B" w:rsidP="003F41E6">
      <w:pPr>
        <w:tabs>
          <w:tab w:val="left" w:pos="9180"/>
          <w:tab w:val="left" w:pos="9360"/>
        </w:tabs>
        <w:ind w:right="180"/>
        <w:jc w:val="right"/>
        <w:rPr>
          <w:b/>
          <w:szCs w:val="24"/>
        </w:rPr>
      </w:pPr>
      <w:r w:rsidRPr="00C7088B">
        <w:rPr>
          <w:b/>
          <w:szCs w:val="24"/>
        </w:rPr>
        <w:t>October 14</w:t>
      </w:r>
      <w:r w:rsidR="003F41E6" w:rsidRPr="00C7088B">
        <w:rPr>
          <w:b/>
          <w:szCs w:val="24"/>
        </w:rPr>
        <w:t>,</w:t>
      </w:r>
      <w:r w:rsidR="003F41E6" w:rsidRPr="004F6554">
        <w:rPr>
          <w:b/>
          <w:szCs w:val="24"/>
        </w:rPr>
        <w:t xml:space="preserve"> 2016</w:t>
      </w:r>
    </w:p>
    <w:p w:rsidR="003F41E6" w:rsidRDefault="003F41E6" w:rsidP="003F41E6">
      <w:pPr>
        <w:jc w:val="right"/>
        <w:rPr>
          <w:sz w:val="24"/>
        </w:rPr>
      </w:pPr>
    </w:p>
    <w:p w:rsidR="003F41E6" w:rsidRDefault="003F41E6" w:rsidP="003F41E6">
      <w:pPr>
        <w:spacing w:after="240"/>
        <w:jc w:val="center"/>
        <w:rPr>
          <w:b/>
          <w:sz w:val="24"/>
        </w:rPr>
      </w:pPr>
      <w:r w:rsidRPr="00EA7D51">
        <w:rPr>
          <w:b/>
          <w:sz w:val="24"/>
        </w:rPr>
        <w:t xml:space="preserve">GUIDANCE </w:t>
      </w:r>
      <w:r w:rsidR="00AE5373">
        <w:rPr>
          <w:b/>
          <w:sz w:val="24"/>
        </w:rPr>
        <w:t>ON</w:t>
      </w:r>
      <w:r w:rsidRPr="00EA7D51">
        <w:rPr>
          <w:b/>
          <w:sz w:val="24"/>
        </w:rPr>
        <w:t xml:space="preserve"> COMPLIANCE WITH CONSTRUCTION REQUIREMENTS</w:t>
      </w:r>
      <w:r w:rsidR="00AE5373">
        <w:rPr>
          <w:b/>
          <w:sz w:val="24"/>
        </w:rPr>
        <w:t xml:space="preserve"> FOR AUCTION 95</w:t>
      </w:r>
      <w:r w:rsidR="00AE5373" w:rsidRPr="00EA7D51">
        <w:rPr>
          <w:b/>
          <w:sz w:val="24"/>
        </w:rPr>
        <w:t xml:space="preserve"> PAG</w:t>
      </w:r>
      <w:r w:rsidR="00AE5373">
        <w:rPr>
          <w:b/>
          <w:sz w:val="24"/>
        </w:rPr>
        <w:t>ING AND RADIOTELEPHONE SERVICE LICENSES</w:t>
      </w:r>
    </w:p>
    <w:p w:rsidR="00BB2949" w:rsidRDefault="003F41E6" w:rsidP="008E4A42">
      <w:pPr>
        <w:spacing w:after="120"/>
        <w:ind w:firstLine="720"/>
        <w:rPr>
          <w:szCs w:val="22"/>
        </w:rPr>
      </w:pPr>
      <w:r w:rsidRPr="00937D79">
        <w:rPr>
          <w:szCs w:val="22"/>
        </w:rPr>
        <w:t xml:space="preserve">By this </w:t>
      </w:r>
      <w:r w:rsidRPr="00AE5373">
        <w:rPr>
          <w:i/>
          <w:szCs w:val="22"/>
        </w:rPr>
        <w:t>Public Notice</w:t>
      </w:r>
      <w:r w:rsidRPr="00937D79">
        <w:rPr>
          <w:szCs w:val="22"/>
        </w:rPr>
        <w:t xml:space="preserve">, </w:t>
      </w:r>
      <w:r w:rsidR="00AE5373">
        <w:rPr>
          <w:szCs w:val="22"/>
        </w:rPr>
        <w:t>the Wireless Telecommunications Bureau’s Mobility Division</w:t>
      </w:r>
      <w:r w:rsidR="00725B90">
        <w:rPr>
          <w:szCs w:val="22"/>
        </w:rPr>
        <w:t xml:space="preserve"> </w:t>
      </w:r>
      <w:r w:rsidR="00AE5373">
        <w:rPr>
          <w:szCs w:val="22"/>
        </w:rPr>
        <w:t>offers</w:t>
      </w:r>
      <w:r w:rsidRPr="00937D79">
        <w:rPr>
          <w:szCs w:val="22"/>
        </w:rPr>
        <w:t xml:space="preserve"> guidanc</w:t>
      </w:r>
      <w:r w:rsidR="00B33F47">
        <w:rPr>
          <w:szCs w:val="22"/>
        </w:rPr>
        <w:t xml:space="preserve">e </w:t>
      </w:r>
      <w:r w:rsidR="00E374A9">
        <w:rPr>
          <w:szCs w:val="22"/>
        </w:rPr>
        <w:t xml:space="preserve">on </w:t>
      </w:r>
      <w:r w:rsidR="00846CFC">
        <w:rPr>
          <w:szCs w:val="22"/>
        </w:rPr>
        <w:t xml:space="preserve">compliance with the three-year </w:t>
      </w:r>
      <w:r w:rsidR="00653649">
        <w:rPr>
          <w:szCs w:val="22"/>
        </w:rPr>
        <w:t xml:space="preserve">and five-year </w:t>
      </w:r>
      <w:r w:rsidR="00846CFC">
        <w:rPr>
          <w:szCs w:val="22"/>
        </w:rPr>
        <w:t xml:space="preserve">construction requirements, as well as </w:t>
      </w:r>
      <w:r w:rsidR="004D26EC">
        <w:rPr>
          <w:szCs w:val="22"/>
        </w:rPr>
        <w:t xml:space="preserve">compliance with the Commission’s </w:t>
      </w:r>
      <w:r w:rsidR="00C62FFD">
        <w:rPr>
          <w:szCs w:val="22"/>
        </w:rPr>
        <w:t xml:space="preserve">substantial service </w:t>
      </w:r>
      <w:r w:rsidR="004D26EC">
        <w:rPr>
          <w:szCs w:val="22"/>
        </w:rPr>
        <w:t>requirements</w:t>
      </w:r>
      <w:r w:rsidR="00C62FFD">
        <w:rPr>
          <w:szCs w:val="22"/>
        </w:rPr>
        <w:t xml:space="preserve"> at the fi</w:t>
      </w:r>
      <w:r w:rsidR="00AE5373">
        <w:rPr>
          <w:szCs w:val="22"/>
        </w:rPr>
        <w:t>ve-year construction deadline</w:t>
      </w:r>
      <w:r w:rsidR="007739B7">
        <w:rPr>
          <w:szCs w:val="22"/>
        </w:rPr>
        <w:t>,</w:t>
      </w:r>
      <w:r w:rsidR="00AE5373">
        <w:rPr>
          <w:szCs w:val="22"/>
        </w:rPr>
        <w:t xml:space="preserve"> for Upper and Lower Paging Band licenses won in Auction 95.  </w:t>
      </w:r>
      <w:r w:rsidR="00084E8B">
        <w:rPr>
          <w:szCs w:val="22"/>
        </w:rPr>
        <w:t xml:space="preserve">Auction 95 licensees </w:t>
      </w:r>
      <w:r w:rsidR="00AE5373">
        <w:rPr>
          <w:szCs w:val="22"/>
        </w:rPr>
        <w:t xml:space="preserve">must demonstrate next month that they have satisfied </w:t>
      </w:r>
      <w:r w:rsidR="00AE5373" w:rsidRPr="00937D79">
        <w:rPr>
          <w:szCs w:val="22"/>
        </w:rPr>
        <w:t xml:space="preserve">construction requirements </w:t>
      </w:r>
      <w:r w:rsidR="00AE5373">
        <w:rPr>
          <w:szCs w:val="22"/>
        </w:rPr>
        <w:t>for over three thousand licenses.</w:t>
      </w:r>
      <w:r w:rsidR="00AE5373" w:rsidRPr="00924FFD">
        <w:rPr>
          <w:rStyle w:val="FootnoteReference"/>
          <w:szCs w:val="22"/>
        </w:rPr>
        <w:footnoteReference w:id="2"/>
      </w:r>
      <w:r w:rsidR="00AE5373">
        <w:rPr>
          <w:szCs w:val="22"/>
        </w:rPr>
        <w:t xml:space="preserve">  </w:t>
      </w:r>
      <w:r w:rsidR="00132B5D">
        <w:rPr>
          <w:szCs w:val="22"/>
        </w:rPr>
        <w:t xml:space="preserve">Our goal is to facilitate rapid review of these filings and reduce the number of </w:t>
      </w:r>
      <w:r w:rsidR="00902EC8">
        <w:rPr>
          <w:szCs w:val="22"/>
        </w:rPr>
        <w:t>notifications</w:t>
      </w:r>
      <w:r w:rsidR="00132B5D">
        <w:rPr>
          <w:szCs w:val="22"/>
        </w:rPr>
        <w:t xml:space="preserve"> that staff must return for additional information.</w:t>
      </w:r>
      <w:r w:rsidR="00C14453" w:rsidRPr="00C14453">
        <w:rPr>
          <w:szCs w:val="22"/>
        </w:rPr>
        <w:t xml:space="preserve">  </w:t>
      </w:r>
    </w:p>
    <w:p w:rsidR="003F41E6" w:rsidRDefault="008F223E" w:rsidP="008E4A42">
      <w:pPr>
        <w:spacing w:after="120"/>
        <w:ind w:firstLine="720"/>
        <w:rPr>
          <w:szCs w:val="22"/>
        </w:rPr>
      </w:pPr>
      <w:r w:rsidRPr="008F223E">
        <w:rPr>
          <w:b/>
          <w:color w:val="000000" w:themeColor="text1"/>
          <w:szCs w:val="22"/>
          <w:u w:val="single"/>
        </w:rPr>
        <w:t xml:space="preserve">Construction </w:t>
      </w:r>
      <w:r w:rsidR="0023754A">
        <w:rPr>
          <w:b/>
          <w:color w:val="000000" w:themeColor="text1"/>
          <w:szCs w:val="22"/>
          <w:u w:val="single"/>
        </w:rPr>
        <w:t xml:space="preserve">Notification </w:t>
      </w:r>
      <w:r w:rsidRPr="008F223E">
        <w:rPr>
          <w:b/>
          <w:color w:val="000000" w:themeColor="text1"/>
          <w:szCs w:val="22"/>
          <w:u w:val="single"/>
        </w:rPr>
        <w:t>Filings</w:t>
      </w:r>
      <w:r w:rsidR="003F41E6">
        <w:rPr>
          <w:szCs w:val="22"/>
        </w:rPr>
        <w:t xml:space="preserve"> </w:t>
      </w:r>
    </w:p>
    <w:p w:rsidR="00EC2DEA" w:rsidRDefault="003F41E6" w:rsidP="008E4A42">
      <w:pPr>
        <w:spacing w:after="120"/>
        <w:ind w:firstLine="720"/>
        <w:rPr>
          <w:szCs w:val="22"/>
        </w:rPr>
      </w:pPr>
      <w:r>
        <w:rPr>
          <w:szCs w:val="22"/>
        </w:rPr>
        <w:t xml:space="preserve">Pursuant to </w:t>
      </w:r>
      <w:r w:rsidR="007B2D6C">
        <w:rPr>
          <w:szCs w:val="22"/>
        </w:rPr>
        <w:t>S</w:t>
      </w:r>
      <w:r>
        <w:rPr>
          <w:szCs w:val="22"/>
        </w:rPr>
        <w:t xml:space="preserve">ection </w:t>
      </w:r>
      <w:r w:rsidRPr="009146D8">
        <w:rPr>
          <w:szCs w:val="22"/>
        </w:rPr>
        <w:t>22.503(k)</w:t>
      </w:r>
      <w:r>
        <w:rPr>
          <w:szCs w:val="22"/>
        </w:rPr>
        <w:t xml:space="preserve"> of the Commission’s rules, </w:t>
      </w:r>
      <w:r w:rsidR="00647A0B">
        <w:rPr>
          <w:szCs w:val="22"/>
        </w:rPr>
        <w:t>a l</w:t>
      </w:r>
      <w:r w:rsidRPr="009146D8">
        <w:rPr>
          <w:szCs w:val="22"/>
        </w:rPr>
        <w:t xml:space="preserve">icensee must construct </w:t>
      </w:r>
      <w:r w:rsidR="00CF18EC">
        <w:rPr>
          <w:szCs w:val="22"/>
        </w:rPr>
        <w:t xml:space="preserve">and operate </w:t>
      </w:r>
      <w:r w:rsidRPr="009146D8">
        <w:rPr>
          <w:szCs w:val="22"/>
        </w:rPr>
        <w:t xml:space="preserve">sufficient facilities to cover one-third of the population in </w:t>
      </w:r>
      <w:r w:rsidR="00647A0B">
        <w:rPr>
          <w:szCs w:val="22"/>
        </w:rPr>
        <w:t>its</w:t>
      </w:r>
      <w:r w:rsidRPr="009146D8">
        <w:rPr>
          <w:szCs w:val="22"/>
        </w:rPr>
        <w:t xml:space="preserve"> paging geogra</w:t>
      </w:r>
      <w:r>
        <w:rPr>
          <w:szCs w:val="22"/>
        </w:rPr>
        <w:t>phic area n</w:t>
      </w:r>
      <w:r w:rsidRPr="009146D8">
        <w:rPr>
          <w:szCs w:val="22"/>
        </w:rPr>
        <w:t xml:space="preserve">o later than three years after the initial grant of </w:t>
      </w:r>
      <w:r w:rsidR="00647A0B">
        <w:rPr>
          <w:szCs w:val="22"/>
        </w:rPr>
        <w:t>its</w:t>
      </w:r>
      <w:r w:rsidRPr="009146D8">
        <w:rPr>
          <w:szCs w:val="22"/>
        </w:rPr>
        <w:t xml:space="preserve"> license</w:t>
      </w:r>
      <w:r>
        <w:rPr>
          <w:szCs w:val="22"/>
        </w:rPr>
        <w:t>.</w:t>
      </w:r>
      <w:r>
        <w:rPr>
          <w:rStyle w:val="FootnoteReference"/>
          <w:szCs w:val="22"/>
        </w:rPr>
        <w:footnoteReference w:id="3"/>
      </w:r>
      <w:r w:rsidRPr="009146D8">
        <w:rPr>
          <w:szCs w:val="22"/>
        </w:rPr>
        <w:t xml:space="preserve">  </w:t>
      </w:r>
      <w:r w:rsidR="00C72E3D">
        <w:rPr>
          <w:szCs w:val="22"/>
        </w:rPr>
        <w:t>In addition, n</w:t>
      </w:r>
      <w:r w:rsidR="00EC2DEA" w:rsidRPr="009146D8">
        <w:rPr>
          <w:szCs w:val="22"/>
        </w:rPr>
        <w:t xml:space="preserve">o later than five years after </w:t>
      </w:r>
      <w:r w:rsidR="00EC2DEA">
        <w:rPr>
          <w:szCs w:val="22"/>
        </w:rPr>
        <w:t>the initial license</w:t>
      </w:r>
      <w:r w:rsidR="00EC2DEA" w:rsidRPr="009146D8">
        <w:rPr>
          <w:szCs w:val="22"/>
        </w:rPr>
        <w:t xml:space="preserve"> grant</w:t>
      </w:r>
      <w:r w:rsidR="00EC2DEA">
        <w:rPr>
          <w:szCs w:val="22"/>
        </w:rPr>
        <w:t xml:space="preserve">, </w:t>
      </w:r>
      <w:r w:rsidR="00647A0B">
        <w:rPr>
          <w:szCs w:val="22"/>
        </w:rPr>
        <w:t>a l</w:t>
      </w:r>
      <w:r w:rsidR="00EC2DEA" w:rsidRPr="009146D8">
        <w:rPr>
          <w:szCs w:val="22"/>
        </w:rPr>
        <w:t xml:space="preserve">icensee must construct </w:t>
      </w:r>
      <w:r w:rsidR="00EC2DEA">
        <w:rPr>
          <w:szCs w:val="22"/>
        </w:rPr>
        <w:t xml:space="preserve">and operate </w:t>
      </w:r>
      <w:r w:rsidR="00EC2DEA" w:rsidRPr="009146D8">
        <w:rPr>
          <w:szCs w:val="22"/>
        </w:rPr>
        <w:t>sufficient facilities to cover two-thirds of the population</w:t>
      </w:r>
      <w:r w:rsidR="00647A0B">
        <w:rPr>
          <w:szCs w:val="22"/>
        </w:rPr>
        <w:t xml:space="preserve"> in its paging geographic area.</w:t>
      </w:r>
      <w:r w:rsidR="00647A0B">
        <w:rPr>
          <w:rStyle w:val="FootnoteReference"/>
          <w:szCs w:val="22"/>
        </w:rPr>
        <w:footnoteReference w:id="4"/>
      </w:r>
      <w:r w:rsidR="00647A0B" w:rsidRPr="009146D8">
        <w:rPr>
          <w:szCs w:val="22"/>
        </w:rPr>
        <w:t xml:space="preserve"> </w:t>
      </w:r>
      <w:r w:rsidR="00647A0B">
        <w:rPr>
          <w:szCs w:val="22"/>
        </w:rPr>
        <w:t xml:space="preserve"> A licensee may also notify us at the three-year construction deadline that they </w:t>
      </w:r>
      <w:r w:rsidR="00E76EF1">
        <w:rPr>
          <w:szCs w:val="22"/>
        </w:rPr>
        <w:t>intend to</w:t>
      </w:r>
      <w:r w:rsidR="00647A0B">
        <w:rPr>
          <w:szCs w:val="22"/>
        </w:rPr>
        <w:t xml:space="preserve"> meet the Commission’s substantial service requirements in the paging geographic area at the five-year construction deadline for its license.</w:t>
      </w:r>
      <w:r w:rsidR="00647A0B">
        <w:rPr>
          <w:rStyle w:val="FootnoteReference"/>
          <w:szCs w:val="22"/>
        </w:rPr>
        <w:footnoteReference w:id="5"/>
      </w:r>
      <w:r w:rsidR="00647A0B">
        <w:rPr>
          <w:szCs w:val="22"/>
        </w:rPr>
        <w:t xml:space="preserve">  If a licensee elects to </w:t>
      </w:r>
      <w:r w:rsidR="00EC2DEA">
        <w:rPr>
          <w:szCs w:val="22"/>
        </w:rPr>
        <w:t xml:space="preserve">demonstrate substantial service </w:t>
      </w:r>
      <w:r w:rsidR="00647A0B">
        <w:rPr>
          <w:szCs w:val="22"/>
        </w:rPr>
        <w:t>at the five-year deadline, they no longer have the option of only showing two-thirds population coverage at that deadline.</w:t>
      </w:r>
      <w:r w:rsidR="00F36A3F">
        <w:rPr>
          <w:szCs w:val="22"/>
        </w:rPr>
        <w:t xml:space="preserve">  </w:t>
      </w:r>
    </w:p>
    <w:p w:rsidR="000F0BBE" w:rsidRDefault="00647A0B" w:rsidP="008E4A42">
      <w:pPr>
        <w:spacing w:after="120"/>
        <w:ind w:firstLine="720"/>
        <w:rPr>
          <w:szCs w:val="22"/>
        </w:rPr>
      </w:pPr>
      <w:r w:rsidRPr="00647A0B">
        <w:rPr>
          <w:i/>
          <w:szCs w:val="22"/>
        </w:rPr>
        <w:t>Three-Year Deadline</w:t>
      </w:r>
      <w:r>
        <w:rPr>
          <w:szCs w:val="22"/>
        </w:rPr>
        <w:t xml:space="preserve">.  </w:t>
      </w:r>
      <w:r w:rsidR="00F36A3F">
        <w:rPr>
          <w:szCs w:val="22"/>
        </w:rPr>
        <w:t xml:space="preserve">To comply with Section 22.503(k), </w:t>
      </w:r>
      <w:r w:rsidR="00084E8B">
        <w:rPr>
          <w:szCs w:val="22"/>
        </w:rPr>
        <w:t>l</w:t>
      </w:r>
      <w:r w:rsidR="00F36A3F" w:rsidRPr="00937D79">
        <w:rPr>
          <w:szCs w:val="22"/>
        </w:rPr>
        <w:t>icense</w:t>
      </w:r>
      <w:r w:rsidR="00F36A3F">
        <w:rPr>
          <w:szCs w:val="22"/>
        </w:rPr>
        <w:t>es</w:t>
      </w:r>
      <w:r w:rsidR="00F36A3F" w:rsidRPr="009146D8">
        <w:rPr>
          <w:szCs w:val="22"/>
        </w:rPr>
        <w:t xml:space="preserve"> </w:t>
      </w:r>
      <w:r w:rsidR="00F36A3F">
        <w:rPr>
          <w:szCs w:val="22"/>
        </w:rPr>
        <w:t>must submit construction notifications within 15 days of the construction deadline.</w:t>
      </w:r>
      <w:r w:rsidR="00F36A3F">
        <w:rPr>
          <w:rStyle w:val="FootnoteReference"/>
          <w:szCs w:val="22"/>
        </w:rPr>
        <w:footnoteReference w:id="6"/>
      </w:r>
      <w:r w:rsidR="00F36A3F">
        <w:rPr>
          <w:szCs w:val="22"/>
        </w:rPr>
        <w:t xml:space="preserve">  </w:t>
      </w:r>
      <w:r w:rsidR="0065224A">
        <w:rPr>
          <w:szCs w:val="22"/>
        </w:rPr>
        <w:t>To comply with</w:t>
      </w:r>
      <w:r w:rsidR="004D015E">
        <w:rPr>
          <w:szCs w:val="22"/>
        </w:rPr>
        <w:t xml:space="preserve"> the thr</w:t>
      </w:r>
      <w:r w:rsidR="00084E8B">
        <w:rPr>
          <w:szCs w:val="22"/>
        </w:rPr>
        <w:t>ee-year construction deadline, a licensee</w:t>
      </w:r>
      <w:r w:rsidR="004D015E">
        <w:rPr>
          <w:szCs w:val="22"/>
        </w:rPr>
        <w:t xml:space="preserve"> must </w:t>
      </w:r>
      <w:r w:rsidR="00084E8B">
        <w:rPr>
          <w:szCs w:val="22"/>
        </w:rPr>
        <w:t>include</w:t>
      </w:r>
      <w:r w:rsidR="004D015E">
        <w:rPr>
          <w:szCs w:val="22"/>
        </w:rPr>
        <w:t xml:space="preserve"> </w:t>
      </w:r>
      <w:r w:rsidR="00084E8B">
        <w:rPr>
          <w:szCs w:val="22"/>
        </w:rPr>
        <w:t>an exhibit</w:t>
      </w:r>
      <w:r w:rsidR="004D015E">
        <w:rPr>
          <w:szCs w:val="22"/>
        </w:rPr>
        <w:t xml:space="preserve"> in </w:t>
      </w:r>
      <w:r w:rsidR="00084E8B">
        <w:rPr>
          <w:szCs w:val="22"/>
        </w:rPr>
        <w:t>its</w:t>
      </w:r>
      <w:r w:rsidR="004D015E">
        <w:rPr>
          <w:szCs w:val="22"/>
        </w:rPr>
        <w:t xml:space="preserve"> construction notification</w:t>
      </w:r>
      <w:r w:rsidR="00084E8B">
        <w:rPr>
          <w:szCs w:val="22"/>
        </w:rPr>
        <w:t xml:space="preserve"> either</w:t>
      </w:r>
      <w:r w:rsidR="004D015E">
        <w:rPr>
          <w:szCs w:val="22"/>
        </w:rPr>
        <w:t xml:space="preserve"> (1) demonstrating that </w:t>
      </w:r>
      <w:r w:rsidR="0065224A">
        <w:rPr>
          <w:szCs w:val="22"/>
        </w:rPr>
        <w:t>it</w:t>
      </w:r>
      <w:r w:rsidR="004D015E">
        <w:rPr>
          <w:szCs w:val="22"/>
        </w:rPr>
        <w:t xml:space="preserve"> </w:t>
      </w:r>
      <w:r w:rsidR="0065224A">
        <w:rPr>
          <w:szCs w:val="22"/>
        </w:rPr>
        <w:t>has</w:t>
      </w:r>
      <w:r w:rsidR="004D015E">
        <w:rPr>
          <w:szCs w:val="22"/>
        </w:rPr>
        <w:t xml:space="preserve"> constructed and </w:t>
      </w:r>
      <w:r w:rsidR="0065224A">
        <w:rPr>
          <w:szCs w:val="22"/>
        </w:rPr>
        <w:t>is</w:t>
      </w:r>
      <w:r w:rsidR="004D015E">
        <w:rPr>
          <w:szCs w:val="22"/>
        </w:rPr>
        <w:t xml:space="preserve"> operating facilities sufficient to cover one-third of the population of the license’s paging geographic area; </w:t>
      </w:r>
      <w:r w:rsidR="00084E8B">
        <w:rPr>
          <w:szCs w:val="22"/>
        </w:rPr>
        <w:t xml:space="preserve">or </w:t>
      </w:r>
      <w:r w:rsidR="004D015E">
        <w:rPr>
          <w:szCs w:val="22"/>
        </w:rPr>
        <w:t>(2) </w:t>
      </w:r>
      <w:r w:rsidR="00084E8B">
        <w:rPr>
          <w:szCs w:val="22"/>
        </w:rPr>
        <w:t xml:space="preserve">notifying us that they intend to meet the Commission’s substantial service </w:t>
      </w:r>
      <w:r w:rsidR="00084E8B">
        <w:rPr>
          <w:szCs w:val="22"/>
        </w:rPr>
        <w:lastRenderedPageBreak/>
        <w:t xml:space="preserve">requirements at the five-year deadline for its license.  </w:t>
      </w:r>
      <w:r w:rsidR="00500D93">
        <w:rPr>
          <w:szCs w:val="22"/>
        </w:rPr>
        <w:t xml:space="preserve">In addition, </w:t>
      </w:r>
      <w:r w:rsidR="005C5128">
        <w:t>i</w:t>
      </w:r>
      <w:r w:rsidR="00500D93">
        <w:t xml:space="preserve">f a licensee can demonstrate that it has met the five-year construction requirement at the three-year construction deadline for a license, it must provide an exhibit with its construction notification showing that it has constructed and is operating facilities sufficient to cover two-thirds of the population of the geographic area.  The licensee cannot meet the five-year construction requirement at the three-year construction deadline by submitting a substantial service showing at the three-year deadline.  </w:t>
      </w:r>
      <w:r w:rsidR="0048327E">
        <w:rPr>
          <w:szCs w:val="22"/>
        </w:rPr>
        <w:t xml:space="preserve">Attachment A to this </w:t>
      </w:r>
      <w:r w:rsidR="0048327E" w:rsidRPr="00AE5373">
        <w:rPr>
          <w:i/>
          <w:szCs w:val="22"/>
        </w:rPr>
        <w:t>Public Notice</w:t>
      </w:r>
      <w:r w:rsidR="0048327E">
        <w:rPr>
          <w:szCs w:val="22"/>
        </w:rPr>
        <w:t xml:space="preserve"> describes in detail requirements for demonstrating compliance with the </w:t>
      </w:r>
      <w:r w:rsidR="00273551">
        <w:rPr>
          <w:szCs w:val="22"/>
        </w:rPr>
        <w:t>three-year construction deadline</w:t>
      </w:r>
      <w:r w:rsidR="0048327E">
        <w:rPr>
          <w:szCs w:val="22"/>
        </w:rPr>
        <w:t xml:space="preserve">.  </w:t>
      </w:r>
    </w:p>
    <w:p w:rsidR="004236AA" w:rsidRDefault="0065224A" w:rsidP="008E4A42">
      <w:pPr>
        <w:spacing w:after="120"/>
        <w:ind w:firstLine="720"/>
        <w:rPr>
          <w:szCs w:val="22"/>
        </w:rPr>
      </w:pPr>
      <w:r w:rsidRPr="0065224A">
        <w:rPr>
          <w:i/>
          <w:szCs w:val="22"/>
        </w:rPr>
        <w:t>Five-Year Deadline</w:t>
      </w:r>
      <w:r>
        <w:rPr>
          <w:szCs w:val="22"/>
        </w:rPr>
        <w:t xml:space="preserve">.  If a licensee demonstrated at the three-year deadline that it met the one-third population coverage requirement, it may, at the five-year deadline </w:t>
      </w:r>
      <w:r w:rsidR="00E76EF1">
        <w:rPr>
          <w:szCs w:val="22"/>
        </w:rPr>
        <w:t>include an exhibit in its construction notification demonstrating</w:t>
      </w:r>
      <w:r>
        <w:rPr>
          <w:szCs w:val="22"/>
        </w:rPr>
        <w:t xml:space="preserve"> that it has constructed and is operating facilities sufficient to cover two-thirds of the population of the license’s paging geographic area.  If a licensee elected </w:t>
      </w:r>
      <w:r w:rsidR="005C5128">
        <w:rPr>
          <w:szCs w:val="22"/>
        </w:rPr>
        <w:t xml:space="preserve">the </w:t>
      </w:r>
      <w:r w:rsidR="001619FF">
        <w:rPr>
          <w:szCs w:val="22"/>
        </w:rPr>
        <w:t xml:space="preserve">substantial service </w:t>
      </w:r>
      <w:r w:rsidR="005C5128">
        <w:rPr>
          <w:szCs w:val="22"/>
        </w:rPr>
        <w:t xml:space="preserve">option </w:t>
      </w:r>
      <w:r>
        <w:rPr>
          <w:szCs w:val="22"/>
        </w:rPr>
        <w:t>at the three-year deadline</w:t>
      </w:r>
      <w:r w:rsidR="001619FF">
        <w:rPr>
          <w:szCs w:val="22"/>
        </w:rPr>
        <w:t xml:space="preserve">, it must </w:t>
      </w:r>
      <w:r>
        <w:rPr>
          <w:szCs w:val="22"/>
        </w:rPr>
        <w:t>show that it meets the Commission’s substantial service requirements</w:t>
      </w:r>
      <w:r w:rsidR="001619FF">
        <w:rPr>
          <w:szCs w:val="22"/>
        </w:rPr>
        <w:t xml:space="preserve"> at the five-year deadline</w:t>
      </w:r>
      <w:r>
        <w:rPr>
          <w:szCs w:val="22"/>
        </w:rPr>
        <w:t xml:space="preserve">.  </w:t>
      </w:r>
      <w:r w:rsidR="00902EC8">
        <w:rPr>
          <w:szCs w:val="22"/>
        </w:rPr>
        <w:t>Section 22.503(k) defines s</w:t>
      </w:r>
      <w:r w:rsidR="00902EC8" w:rsidRPr="004B6687">
        <w:rPr>
          <w:szCs w:val="22"/>
        </w:rPr>
        <w:t>ubstantial service</w:t>
      </w:r>
      <w:r w:rsidR="00902EC8">
        <w:rPr>
          <w:szCs w:val="22"/>
        </w:rPr>
        <w:t xml:space="preserve"> as</w:t>
      </w:r>
      <w:r w:rsidR="00902EC8" w:rsidRPr="004B6687">
        <w:rPr>
          <w:szCs w:val="22"/>
        </w:rPr>
        <w:t xml:space="preserve"> </w:t>
      </w:r>
      <w:r w:rsidR="00902EC8">
        <w:rPr>
          <w:szCs w:val="22"/>
        </w:rPr>
        <w:t>“</w:t>
      </w:r>
      <w:r w:rsidR="00902EC8" w:rsidRPr="004B6687">
        <w:rPr>
          <w:szCs w:val="22"/>
        </w:rPr>
        <w:t>service that is sound, favorable, and substantially above a level of mediocre service that would barely warrant renewal.</w:t>
      </w:r>
      <w:r w:rsidR="00902EC8">
        <w:rPr>
          <w:szCs w:val="22"/>
        </w:rPr>
        <w:t>”</w:t>
      </w:r>
      <w:r w:rsidR="00902EC8">
        <w:rPr>
          <w:rStyle w:val="FootnoteReference"/>
          <w:szCs w:val="22"/>
        </w:rPr>
        <w:footnoteReference w:id="7"/>
      </w:r>
      <w:r w:rsidR="00902EC8">
        <w:rPr>
          <w:szCs w:val="22"/>
        </w:rPr>
        <w:t xml:space="preserve">  </w:t>
      </w:r>
      <w:r w:rsidR="00DE51BC">
        <w:rPr>
          <w:szCs w:val="22"/>
        </w:rPr>
        <w:t xml:space="preserve">Attachment B to this </w:t>
      </w:r>
      <w:r w:rsidR="00DE51BC" w:rsidRPr="00AE5373">
        <w:rPr>
          <w:i/>
          <w:szCs w:val="22"/>
        </w:rPr>
        <w:t>Public Notice</w:t>
      </w:r>
      <w:r w:rsidR="00DE51BC">
        <w:rPr>
          <w:szCs w:val="22"/>
        </w:rPr>
        <w:t xml:space="preserve"> describes </w:t>
      </w:r>
      <w:r>
        <w:rPr>
          <w:szCs w:val="22"/>
        </w:rPr>
        <w:t xml:space="preserve">options and </w:t>
      </w:r>
      <w:r w:rsidR="00DE51BC">
        <w:rPr>
          <w:szCs w:val="22"/>
        </w:rPr>
        <w:t xml:space="preserve">requirements for complying with the Commission’s substantial service standard, including information on safe harbors, alternative </w:t>
      </w:r>
      <w:r w:rsidR="003778B5">
        <w:rPr>
          <w:szCs w:val="22"/>
        </w:rPr>
        <w:t xml:space="preserve">engineering </w:t>
      </w:r>
      <w:r w:rsidR="00DE51BC">
        <w:rPr>
          <w:szCs w:val="22"/>
        </w:rPr>
        <w:t xml:space="preserve">showings, and partitioning.  </w:t>
      </w:r>
    </w:p>
    <w:p w:rsidR="003F41E6" w:rsidRDefault="001619FF" w:rsidP="008E4A42">
      <w:pPr>
        <w:spacing w:after="120"/>
        <w:ind w:firstLine="720"/>
        <w:rPr>
          <w:szCs w:val="22"/>
        </w:rPr>
      </w:pPr>
      <w:r>
        <w:rPr>
          <w:szCs w:val="22"/>
        </w:rPr>
        <w:t xml:space="preserve">We note that in some cases, a licensee that elected to show substantial service at the five-year deadline may determine, at </w:t>
      </w:r>
      <w:r w:rsidR="00E76EF1">
        <w:rPr>
          <w:szCs w:val="22"/>
        </w:rPr>
        <w:t>the five-year</w:t>
      </w:r>
      <w:r>
        <w:rPr>
          <w:szCs w:val="22"/>
        </w:rPr>
        <w:t xml:space="preserve"> deadline, that its constructed facilities cover two-thirds of the population of the geographic area.  A licensee that elected to show substantial service at the five-year deadline, however,</w:t>
      </w:r>
      <w:r w:rsidR="00C72E3D">
        <w:rPr>
          <w:szCs w:val="22"/>
        </w:rPr>
        <w:t xml:space="preserve"> may no longer satisfy its five-year buildout requirement with </w:t>
      </w:r>
      <w:r w:rsidR="0065224A">
        <w:rPr>
          <w:szCs w:val="22"/>
        </w:rPr>
        <w:t xml:space="preserve">only </w:t>
      </w:r>
      <w:r w:rsidR="00C72E3D">
        <w:rPr>
          <w:szCs w:val="22"/>
        </w:rPr>
        <w:t xml:space="preserve">a demonstration </w:t>
      </w:r>
      <w:r w:rsidR="00770218">
        <w:rPr>
          <w:szCs w:val="22"/>
        </w:rPr>
        <w:t>that it has</w:t>
      </w:r>
      <w:r w:rsidR="00B57E65">
        <w:rPr>
          <w:szCs w:val="22"/>
        </w:rPr>
        <w:t xml:space="preserve"> </w:t>
      </w:r>
      <w:r w:rsidR="003B0E5A">
        <w:rPr>
          <w:szCs w:val="22"/>
        </w:rPr>
        <w:t>constructed</w:t>
      </w:r>
      <w:r w:rsidR="00524F19">
        <w:rPr>
          <w:szCs w:val="22"/>
        </w:rPr>
        <w:t xml:space="preserve"> </w:t>
      </w:r>
      <w:r w:rsidR="00B57E65">
        <w:rPr>
          <w:szCs w:val="22"/>
        </w:rPr>
        <w:t xml:space="preserve">facilities </w:t>
      </w:r>
      <w:r w:rsidR="00770218">
        <w:rPr>
          <w:szCs w:val="22"/>
        </w:rPr>
        <w:t>and is providing service to</w:t>
      </w:r>
      <w:r w:rsidR="00B57E65">
        <w:rPr>
          <w:szCs w:val="22"/>
        </w:rPr>
        <w:t xml:space="preserve"> two-thirds of the population </w:t>
      </w:r>
      <w:r w:rsidR="003B0E5A">
        <w:rPr>
          <w:szCs w:val="22"/>
        </w:rPr>
        <w:t>of the geographic area</w:t>
      </w:r>
      <w:r w:rsidR="00C72E3D">
        <w:rPr>
          <w:szCs w:val="22"/>
        </w:rPr>
        <w:t>.</w:t>
      </w:r>
      <w:r w:rsidR="00C72E3D" w:rsidDel="00C72E3D">
        <w:rPr>
          <w:szCs w:val="22"/>
        </w:rPr>
        <w:t xml:space="preserve">  </w:t>
      </w:r>
      <w:r w:rsidR="003B0E5A">
        <w:rPr>
          <w:szCs w:val="22"/>
        </w:rPr>
        <w:t>T</w:t>
      </w:r>
      <w:r w:rsidR="00B57E65">
        <w:rPr>
          <w:szCs w:val="22"/>
        </w:rPr>
        <w:t>o meet the substantial service requirement</w:t>
      </w:r>
      <w:r w:rsidR="003B0E5A">
        <w:rPr>
          <w:szCs w:val="22"/>
        </w:rPr>
        <w:t xml:space="preserve"> in those cases</w:t>
      </w:r>
      <w:r w:rsidR="00B57E65">
        <w:rPr>
          <w:szCs w:val="22"/>
        </w:rPr>
        <w:t>, the l</w:t>
      </w:r>
      <w:r w:rsidR="0023754A">
        <w:rPr>
          <w:szCs w:val="22"/>
        </w:rPr>
        <w:t xml:space="preserve">icensee </w:t>
      </w:r>
      <w:r w:rsidR="00B57E65">
        <w:rPr>
          <w:szCs w:val="22"/>
        </w:rPr>
        <w:t>must</w:t>
      </w:r>
      <w:r w:rsidR="0023754A">
        <w:rPr>
          <w:szCs w:val="22"/>
        </w:rPr>
        <w:t xml:space="preserve"> s</w:t>
      </w:r>
      <w:r w:rsidR="00BB231A">
        <w:rPr>
          <w:szCs w:val="22"/>
        </w:rPr>
        <w:t xml:space="preserve">ubmit </w:t>
      </w:r>
      <w:r w:rsidR="00C72E3D">
        <w:rPr>
          <w:szCs w:val="22"/>
        </w:rPr>
        <w:t xml:space="preserve">not only </w:t>
      </w:r>
      <w:r w:rsidR="00490AD3">
        <w:rPr>
          <w:szCs w:val="22"/>
        </w:rPr>
        <w:t>a construction notification</w:t>
      </w:r>
      <w:r w:rsidR="00BB231A">
        <w:rPr>
          <w:szCs w:val="22"/>
        </w:rPr>
        <w:t xml:space="preserve"> </w:t>
      </w:r>
      <w:r w:rsidR="00490AD3">
        <w:rPr>
          <w:szCs w:val="22"/>
        </w:rPr>
        <w:t xml:space="preserve">that </w:t>
      </w:r>
      <w:r w:rsidR="004236AA">
        <w:rPr>
          <w:szCs w:val="22"/>
        </w:rPr>
        <w:t xml:space="preserve">provides information on </w:t>
      </w:r>
      <w:r w:rsidR="00B57E65">
        <w:rPr>
          <w:szCs w:val="22"/>
        </w:rPr>
        <w:t xml:space="preserve">the </w:t>
      </w:r>
      <w:r>
        <w:rPr>
          <w:szCs w:val="22"/>
        </w:rPr>
        <w:t xml:space="preserve">two-thirds </w:t>
      </w:r>
      <w:r w:rsidR="00510770">
        <w:rPr>
          <w:szCs w:val="22"/>
        </w:rPr>
        <w:t>popul</w:t>
      </w:r>
      <w:r w:rsidR="004236AA">
        <w:rPr>
          <w:szCs w:val="22"/>
        </w:rPr>
        <w:t>ation</w:t>
      </w:r>
      <w:r w:rsidR="0023754A">
        <w:rPr>
          <w:szCs w:val="22"/>
        </w:rPr>
        <w:t xml:space="preserve"> </w:t>
      </w:r>
      <w:r w:rsidR="00BB231A">
        <w:rPr>
          <w:szCs w:val="22"/>
        </w:rPr>
        <w:t xml:space="preserve">coverage </w:t>
      </w:r>
      <w:r w:rsidR="00B57E65">
        <w:rPr>
          <w:szCs w:val="22"/>
        </w:rPr>
        <w:t>for the license</w:t>
      </w:r>
      <w:r w:rsidR="00C72E3D">
        <w:rPr>
          <w:szCs w:val="22"/>
        </w:rPr>
        <w:t xml:space="preserve">, but also </w:t>
      </w:r>
      <w:r w:rsidR="00902EC8" w:rsidRPr="00902EC8">
        <w:rPr>
          <w:snapToGrid w:val="0"/>
          <w:kern w:val="28"/>
          <w:szCs w:val="22"/>
        </w:rPr>
        <w:t>a description of the type of service it is providing, and how that service is meaningful, i.e. sound, substantial and above the level of mediocre service.</w:t>
      </w:r>
      <w:r w:rsidR="00902EC8">
        <w:rPr>
          <w:b/>
          <w:snapToGrid w:val="0"/>
          <w:kern w:val="28"/>
          <w:szCs w:val="22"/>
        </w:rPr>
        <w:t xml:space="preserve">  </w:t>
      </w:r>
      <w:r w:rsidR="00470C6C">
        <w:rPr>
          <w:snapToGrid w:val="0"/>
          <w:kern w:val="28"/>
          <w:szCs w:val="22"/>
        </w:rPr>
        <w:t>Finally, i</w:t>
      </w:r>
      <w:r w:rsidR="003F41E6" w:rsidRPr="009146D8">
        <w:rPr>
          <w:szCs w:val="22"/>
        </w:rPr>
        <w:t xml:space="preserve">f a licensee fails to meet its coverage obligations by the expiration of the </w:t>
      </w:r>
      <w:r w:rsidR="004236AA">
        <w:rPr>
          <w:szCs w:val="22"/>
        </w:rPr>
        <w:t>coverage</w:t>
      </w:r>
      <w:r w:rsidR="003F41E6" w:rsidRPr="009146D8">
        <w:rPr>
          <w:szCs w:val="22"/>
        </w:rPr>
        <w:t xml:space="preserve"> period, its authorization terminates automatically without specific Com</w:t>
      </w:r>
      <w:r w:rsidR="007835A2">
        <w:rPr>
          <w:szCs w:val="22"/>
        </w:rPr>
        <w:t xml:space="preserve">mission action on the date the </w:t>
      </w:r>
      <w:r w:rsidR="004236AA">
        <w:rPr>
          <w:szCs w:val="22"/>
        </w:rPr>
        <w:t>coverage</w:t>
      </w:r>
      <w:r w:rsidR="003F41E6" w:rsidRPr="009146D8">
        <w:rPr>
          <w:szCs w:val="22"/>
        </w:rPr>
        <w:t xml:space="preserve"> period expires.</w:t>
      </w:r>
      <w:r w:rsidR="003F41E6">
        <w:rPr>
          <w:rStyle w:val="FootnoteReference"/>
          <w:szCs w:val="22"/>
        </w:rPr>
        <w:footnoteReference w:id="8"/>
      </w:r>
      <w:r w:rsidR="003F41E6" w:rsidRPr="009146D8">
        <w:rPr>
          <w:szCs w:val="22"/>
        </w:rPr>
        <w:t xml:space="preserve">  </w:t>
      </w:r>
    </w:p>
    <w:p w:rsidR="00872274" w:rsidRPr="00872274" w:rsidRDefault="003F41E6" w:rsidP="008E4A42">
      <w:pPr>
        <w:spacing w:after="120"/>
        <w:ind w:firstLine="720"/>
        <w:rPr>
          <w:b/>
          <w:szCs w:val="22"/>
        </w:rPr>
      </w:pPr>
      <w:r w:rsidRPr="00872274">
        <w:rPr>
          <w:b/>
          <w:szCs w:val="22"/>
          <w:u w:val="single"/>
        </w:rPr>
        <w:t>Multiple Licenses</w:t>
      </w:r>
      <w:r w:rsidRPr="00872274">
        <w:rPr>
          <w:b/>
          <w:szCs w:val="22"/>
        </w:rPr>
        <w:t xml:space="preserve">  </w:t>
      </w:r>
    </w:p>
    <w:p w:rsidR="003F41E6" w:rsidRDefault="00EF72FD" w:rsidP="00EF72FD">
      <w:pPr>
        <w:spacing w:after="120"/>
        <w:ind w:firstLine="720"/>
        <w:rPr>
          <w:szCs w:val="22"/>
        </w:rPr>
      </w:pPr>
      <w:r>
        <w:rPr>
          <w:szCs w:val="22"/>
        </w:rPr>
        <w:t>Licensees</w:t>
      </w:r>
      <w:r w:rsidR="003F41E6" w:rsidRPr="00937D79">
        <w:rPr>
          <w:szCs w:val="22"/>
        </w:rPr>
        <w:t xml:space="preserve"> must file separate </w:t>
      </w:r>
      <w:r w:rsidR="00872274" w:rsidRPr="00845EB9">
        <w:rPr>
          <w:szCs w:val="22"/>
        </w:rPr>
        <w:t>notification</w:t>
      </w:r>
      <w:r w:rsidR="00872274">
        <w:rPr>
          <w:szCs w:val="22"/>
        </w:rPr>
        <w:t>s</w:t>
      </w:r>
      <w:r w:rsidR="00872274" w:rsidRPr="00845EB9">
        <w:rPr>
          <w:szCs w:val="22"/>
        </w:rPr>
        <w:t xml:space="preserve"> </w:t>
      </w:r>
      <w:r w:rsidR="002F23E7">
        <w:rPr>
          <w:szCs w:val="22"/>
        </w:rPr>
        <w:t xml:space="preserve">showing they have met the construction requirements </w:t>
      </w:r>
      <w:r w:rsidR="003F41E6" w:rsidRPr="00937D79">
        <w:rPr>
          <w:szCs w:val="22"/>
        </w:rPr>
        <w:t>for each license.</w:t>
      </w:r>
      <w:r w:rsidR="003F41E6" w:rsidRPr="00937D79">
        <w:rPr>
          <w:rStyle w:val="FootnoteReference"/>
          <w:szCs w:val="22"/>
        </w:rPr>
        <w:footnoteReference w:id="9"/>
      </w:r>
      <w:r w:rsidR="003F41E6">
        <w:rPr>
          <w:szCs w:val="22"/>
        </w:rPr>
        <w:t xml:space="preserve">  For example, </w:t>
      </w:r>
      <w:r>
        <w:rPr>
          <w:szCs w:val="22"/>
        </w:rPr>
        <w:t>l</w:t>
      </w:r>
      <w:r w:rsidR="003F41E6">
        <w:rPr>
          <w:szCs w:val="22"/>
        </w:rPr>
        <w:t>icen</w:t>
      </w:r>
      <w:r w:rsidR="002D321A">
        <w:rPr>
          <w:szCs w:val="22"/>
        </w:rPr>
        <w:t>sees holding licenses authorized on</w:t>
      </w:r>
      <w:r w:rsidR="003F41E6">
        <w:rPr>
          <w:szCs w:val="22"/>
        </w:rPr>
        <w:t xml:space="preserve"> </w:t>
      </w:r>
      <w:r w:rsidR="002D321A">
        <w:rPr>
          <w:szCs w:val="22"/>
        </w:rPr>
        <w:t>different channel blocks</w:t>
      </w:r>
      <w:r w:rsidR="003F41E6">
        <w:rPr>
          <w:szCs w:val="22"/>
        </w:rPr>
        <w:t xml:space="preserve"> within the same </w:t>
      </w:r>
      <w:r w:rsidR="009B4F07">
        <w:rPr>
          <w:szCs w:val="22"/>
        </w:rPr>
        <w:t>geographic area</w:t>
      </w:r>
      <w:r w:rsidR="003F41E6">
        <w:rPr>
          <w:szCs w:val="22"/>
        </w:rPr>
        <w:t xml:space="preserve"> must file separate notifica</w:t>
      </w:r>
      <w:r>
        <w:rPr>
          <w:szCs w:val="22"/>
        </w:rPr>
        <w:t>tions for each license.  Also, l</w:t>
      </w:r>
      <w:r w:rsidR="003F41E6">
        <w:rPr>
          <w:szCs w:val="22"/>
        </w:rPr>
        <w:t>icen</w:t>
      </w:r>
      <w:r w:rsidR="002D321A">
        <w:rPr>
          <w:szCs w:val="22"/>
        </w:rPr>
        <w:t>sees holding licenses authorized on the same channel block</w:t>
      </w:r>
      <w:r w:rsidR="003F41E6">
        <w:rPr>
          <w:szCs w:val="22"/>
        </w:rPr>
        <w:t xml:space="preserve"> in </w:t>
      </w:r>
      <w:r w:rsidR="002D321A">
        <w:rPr>
          <w:szCs w:val="22"/>
        </w:rPr>
        <w:t>adjacent</w:t>
      </w:r>
      <w:r w:rsidR="0000448C">
        <w:rPr>
          <w:szCs w:val="22"/>
        </w:rPr>
        <w:t xml:space="preserve"> geographic </w:t>
      </w:r>
      <w:r w:rsidR="00902EC8">
        <w:rPr>
          <w:szCs w:val="22"/>
        </w:rPr>
        <w:t xml:space="preserve">areas </w:t>
      </w:r>
      <w:r w:rsidR="003F41E6">
        <w:rPr>
          <w:szCs w:val="22"/>
        </w:rPr>
        <w:t xml:space="preserve">must file separate notifications for each </w:t>
      </w:r>
      <w:r w:rsidR="002D321A">
        <w:rPr>
          <w:szCs w:val="22"/>
        </w:rPr>
        <w:t xml:space="preserve">license in each </w:t>
      </w:r>
      <w:r w:rsidR="003F41E6">
        <w:rPr>
          <w:szCs w:val="22"/>
        </w:rPr>
        <w:t xml:space="preserve">geographic area. </w:t>
      </w:r>
      <w:r w:rsidR="003F41E6" w:rsidRPr="00937D79">
        <w:rPr>
          <w:szCs w:val="22"/>
        </w:rPr>
        <w:t xml:space="preserve"> </w:t>
      </w:r>
    </w:p>
    <w:p w:rsidR="00924FFD" w:rsidRPr="00924FFD" w:rsidRDefault="00924FFD" w:rsidP="008E4A42">
      <w:pPr>
        <w:spacing w:after="120"/>
        <w:ind w:firstLine="720"/>
        <w:rPr>
          <w:b/>
          <w:szCs w:val="22"/>
          <w:u w:val="single"/>
        </w:rPr>
      </w:pPr>
      <w:r>
        <w:rPr>
          <w:b/>
          <w:szCs w:val="22"/>
          <w:u w:val="single"/>
        </w:rPr>
        <w:t>“</w:t>
      </w:r>
      <w:r w:rsidRPr="00924FFD">
        <w:rPr>
          <w:b/>
          <w:szCs w:val="22"/>
          <w:u w:val="single"/>
        </w:rPr>
        <w:t xml:space="preserve">Line A” </w:t>
      </w:r>
      <w:r w:rsidR="00C07A5B">
        <w:rPr>
          <w:b/>
          <w:szCs w:val="22"/>
          <w:u w:val="single"/>
        </w:rPr>
        <w:t xml:space="preserve">Canadian </w:t>
      </w:r>
      <w:r w:rsidRPr="00924FFD">
        <w:rPr>
          <w:b/>
          <w:szCs w:val="22"/>
          <w:u w:val="single"/>
        </w:rPr>
        <w:t>Coordination</w:t>
      </w:r>
    </w:p>
    <w:p w:rsidR="0022173E" w:rsidRDefault="00924FFD" w:rsidP="008E4A42">
      <w:pPr>
        <w:spacing w:after="120"/>
        <w:ind w:firstLine="720"/>
        <w:rPr>
          <w:szCs w:val="22"/>
        </w:rPr>
      </w:pPr>
      <w:r w:rsidRPr="00924FFD">
        <w:rPr>
          <w:szCs w:val="22"/>
        </w:rPr>
        <w:t xml:space="preserve">The Commission is bound by international agreement to coordinate with the Canadian government when a U.S. applicant proposes to operate stations </w:t>
      </w:r>
      <w:r w:rsidR="00D22598">
        <w:rPr>
          <w:szCs w:val="22"/>
        </w:rPr>
        <w:t xml:space="preserve">using </w:t>
      </w:r>
      <w:r w:rsidR="00712D0C">
        <w:t xml:space="preserve">frequencies </w:t>
      </w:r>
      <w:r w:rsidR="00712D0C" w:rsidRPr="00CA27EF">
        <w:t xml:space="preserve">in the 30-174 MHz and </w:t>
      </w:r>
      <w:r w:rsidR="00712D0C" w:rsidRPr="00CA27EF">
        <w:lastRenderedPageBreak/>
        <w:t xml:space="preserve">450-470 MHz bands (VHF and UHF Frequency Bands) </w:t>
      </w:r>
      <w:r w:rsidR="00C07A5B">
        <w:rPr>
          <w:szCs w:val="22"/>
        </w:rPr>
        <w:t>north of “Line </w:t>
      </w:r>
      <w:r w:rsidRPr="00924FFD">
        <w:rPr>
          <w:szCs w:val="22"/>
        </w:rPr>
        <w:t>A.”</w:t>
      </w:r>
      <w:r>
        <w:rPr>
          <w:rStyle w:val="FootnoteReference"/>
          <w:szCs w:val="22"/>
        </w:rPr>
        <w:footnoteReference w:id="10"/>
      </w:r>
      <w:r w:rsidRPr="00924FFD">
        <w:rPr>
          <w:szCs w:val="22"/>
        </w:rPr>
        <w:t xml:space="preserve">  </w:t>
      </w:r>
      <w:r w:rsidR="0048492E">
        <w:rPr>
          <w:szCs w:val="22"/>
        </w:rPr>
        <w:t xml:space="preserve">Paging licensees </w:t>
      </w:r>
      <w:r w:rsidR="00D22598">
        <w:rPr>
          <w:szCs w:val="22"/>
        </w:rPr>
        <w:t>that</w:t>
      </w:r>
      <w:r w:rsidR="0048492E">
        <w:rPr>
          <w:szCs w:val="22"/>
        </w:rPr>
        <w:t xml:space="preserve"> intend to operate sites </w:t>
      </w:r>
      <w:r w:rsidR="00D22598">
        <w:rPr>
          <w:szCs w:val="22"/>
        </w:rPr>
        <w:t xml:space="preserve">on those frequencies </w:t>
      </w:r>
      <w:r w:rsidR="0048492E">
        <w:rPr>
          <w:szCs w:val="22"/>
        </w:rPr>
        <w:t xml:space="preserve">within </w:t>
      </w:r>
      <w:r w:rsidR="00D22598">
        <w:rPr>
          <w:szCs w:val="22"/>
        </w:rPr>
        <w:t xml:space="preserve">the U.S.-Canadian </w:t>
      </w:r>
      <w:r w:rsidR="0048492E">
        <w:rPr>
          <w:szCs w:val="22"/>
        </w:rPr>
        <w:t xml:space="preserve">coordination zone must seek approval </w:t>
      </w:r>
      <w:r w:rsidR="00B63D92">
        <w:rPr>
          <w:szCs w:val="22"/>
        </w:rPr>
        <w:t xml:space="preserve">from Industry Canada </w:t>
      </w:r>
      <w:r w:rsidR="0048492E">
        <w:rPr>
          <w:szCs w:val="22"/>
        </w:rPr>
        <w:t>prior to operation</w:t>
      </w:r>
      <w:r>
        <w:rPr>
          <w:szCs w:val="22"/>
        </w:rPr>
        <w:t>.</w:t>
      </w:r>
      <w:r w:rsidR="00E03281">
        <w:rPr>
          <w:szCs w:val="22"/>
        </w:rPr>
        <w:t xml:space="preserve">  </w:t>
      </w:r>
      <w:r w:rsidR="003F38BA" w:rsidRPr="00924FFD">
        <w:rPr>
          <w:szCs w:val="22"/>
        </w:rPr>
        <w:t xml:space="preserve">To obtain </w:t>
      </w:r>
      <w:r w:rsidR="00D22598">
        <w:rPr>
          <w:szCs w:val="22"/>
        </w:rPr>
        <w:t>Canadian clearance</w:t>
      </w:r>
      <w:r w:rsidR="003F38BA" w:rsidRPr="00924FFD">
        <w:rPr>
          <w:szCs w:val="22"/>
        </w:rPr>
        <w:t xml:space="preserve"> for transmitter sites </w:t>
      </w:r>
      <w:r w:rsidR="00592A68">
        <w:rPr>
          <w:szCs w:val="22"/>
        </w:rPr>
        <w:t>or mobile</w:t>
      </w:r>
      <w:r w:rsidR="00D22598">
        <w:rPr>
          <w:szCs w:val="22"/>
        </w:rPr>
        <w:t xml:space="preserve"> unit</w:t>
      </w:r>
      <w:r w:rsidR="00592A68">
        <w:rPr>
          <w:szCs w:val="22"/>
        </w:rPr>
        <w:t xml:space="preserve">s </w:t>
      </w:r>
      <w:r w:rsidR="003F38BA" w:rsidRPr="00924FFD">
        <w:rPr>
          <w:szCs w:val="22"/>
        </w:rPr>
        <w:t xml:space="preserve">operating north of Line A, </w:t>
      </w:r>
      <w:r w:rsidR="0022173E">
        <w:rPr>
          <w:szCs w:val="22"/>
        </w:rPr>
        <w:t>a l</w:t>
      </w:r>
      <w:r w:rsidR="003F38BA" w:rsidRPr="00924FFD">
        <w:rPr>
          <w:szCs w:val="22"/>
        </w:rPr>
        <w:t xml:space="preserve">icensee must file an application on FCC Form 601 through </w:t>
      </w:r>
      <w:r w:rsidR="009B4F07">
        <w:rPr>
          <w:szCs w:val="22"/>
        </w:rPr>
        <w:t>the Commission’s Universal Licensing System (</w:t>
      </w:r>
      <w:r w:rsidR="003F38BA" w:rsidRPr="00924FFD">
        <w:rPr>
          <w:szCs w:val="22"/>
        </w:rPr>
        <w:t>ULS</w:t>
      </w:r>
      <w:r w:rsidR="009B4F07">
        <w:rPr>
          <w:szCs w:val="22"/>
        </w:rPr>
        <w:t>)</w:t>
      </w:r>
      <w:r w:rsidR="003F38BA" w:rsidRPr="00924FFD">
        <w:rPr>
          <w:szCs w:val="22"/>
        </w:rPr>
        <w:t xml:space="preserve"> to modify its geographic area license seeking authority to operate at a designated location on specific frequencies.</w:t>
      </w:r>
      <w:r w:rsidR="00B87DA5" w:rsidRPr="00924FFD">
        <w:rPr>
          <w:szCs w:val="22"/>
          <w:vertAlign w:val="superscript"/>
        </w:rPr>
        <w:footnoteReference w:id="11"/>
      </w:r>
      <w:r w:rsidR="0048492E">
        <w:rPr>
          <w:szCs w:val="22"/>
        </w:rPr>
        <w:t xml:space="preserve">  </w:t>
      </w:r>
    </w:p>
    <w:p w:rsidR="003F41E6" w:rsidRDefault="0048492E" w:rsidP="008E4A42">
      <w:pPr>
        <w:spacing w:after="120"/>
        <w:ind w:firstLine="720"/>
        <w:rPr>
          <w:szCs w:val="22"/>
        </w:rPr>
      </w:pPr>
      <w:r>
        <w:rPr>
          <w:szCs w:val="22"/>
        </w:rPr>
        <w:t xml:space="preserve">Licensees </w:t>
      </w:r>
      <w:r w:rsidR="00B63D92">
        <w:rPr>
          <w:szCs w:val="22"/>
        </w:rPr>
        <w:t xml:space="preserve">can neither operate </w:t>
      </w:r>
      <w:r w:rsidR="009B4F07">
        <w:rPr>
          <w:szCs w:val="22"/>
        </w:rPr>
        <w:t>a transmitter site located north of Line A n</w:t>
      </w:r>
      <w:r w:rsidR="00B63D92">
        <w:rPr>
          <w:szCs w:val="22"/>
        </w:rPr>
        <w:t xml:space="preserve">or include </w:t>
      </w:r>
      <w:r>
        <w:rPr>
          <w:szCs w:val="22"/>
        </w:rPr>
        <w:t xml:space="preserve">a </w:t>
      </w:r>
      <w:r w:rsidR="00B63D92">
        <w:rPr>
          <w:szCs w:val="22"/>
        </w:rPr>
        <w:t xml:space="preserve">transmitter </w:t>
      </w:r>
      <w:r>
        <w:rPr>
          <w:szCs w:val="22"/>
        </w:rPr>
        <w:t xml:space="preserve">site </w:t>
      </w:r>
      <w:r w:rsidR="00B63D92">
        <w:rPr>
          <w:szCs w:val="22"/>
        </w:rPr>
        <w:t xml:space="preserve">located </w:t>
      </w:r>
      <w:r>
        <w:rPr>
          <w:szCs w:val="22"/>
        </w:rPr>
        <w:t xml:space="preserve">north of Line A </w:t>
      </w:r>
      <w:r w:rsidR="00B63D92">
        <w:rPr>
          <w:szCs w:val="22"/>
        </w:rPr>
        <w:t xml:space="preserve">for the purpose of </w:t>
      </w:r>
      <w:r>
        <w:rPr>
          <w:szCs w:val="22"/>
        </w:rPr>
        <w:t xml:space="preserve">meeting </w:t>
      </w:r>
      <w:r w:rsidR="00B63D92">
        <w:rPr>
          <w:szCs w:val="22"/>
        </w:rPr>
        <w:t>their</w:t>
      </w:r>
      <w:r>
        <w:rPr>
          <w:szCs w:val="22"/>
        </w:rPr>
        <w:t xml:space="preserve"> construction obligation</w:t>
      </w:r>
      <w:r w:rsidR="00B63D92">
        <w:rPr>
          <w:szCs w:val="22"/>
        </w:rPr>
        <w:t>s</w:t>
      </w:r>
      <w:r>
        <w:rPr>
          <w:szCs w:val="22"/>
        </w:rPr>
        <w:t xml:space="preserve"> until </w:t>
      </w:r>
      <w:r w:rsidR="00B63D92">
        <w:rPr>
          <w:szCs w:val="22"/>
        </w:rPr>
        <w:t>Canada has</w:t>
      </w:r>
      <w:r>
        <w:rPr>
          <w:szCs w:val="22"/>
        </w:rPr>
        <w:t xml:space="preserve"> approved</w:t>
      </w:r>
      <w:r w:rsidR="00B63D92">
        <w:rPr>
          <w:szCs w:val="22"/>
        </w:rPr>
        <w:t xml:space="preserve"> the </w:t>
      </w:r>
      <w:r w:rsidR="0022173E">
        <w:rPr>
          <w:szCs w:val="22"/>
        </w:rPr>
        <w:t xml:space="preserve">proposed </w:t>
      </w:r>
      <w:r w:rsidR="00B63D92">
        <w:rPr>
          <w:szCs w:val="22"/>
        </w:rPr>
        <w:t>site</w:t>
      </w:r>
      <w:r w:rsidR="009B4F07">
        <w:rPr>
          <w:szCs w:val="22"/>
        </w:rPr>
        <w:t xml:space="preserve"> and the Commission has granted the modification application</w:t>
      </w:r>
      <w:r>
        <w:rPr>
          <w:szCs w:val="22"/>
        </w:rPr>
        <w:t>.  To expedite staff review o</w:t>
      </w:r>
      <w:r w:rsidR="00EF72FD">
        <w:rPr>
          <w:szCs w:val="22"/>
        </w:rPr>
        <w:t>f their construction showings, l</w:t>
      </w:r>
      <w:r>
        <w:rPr>
          <w:szCs w:val="22"/>
        </w:rPr>
        <w:t xml:space="preserve">icensees with </w:t>
      </w:r>
      <w:r w:rsidR="00B63D92">
        <w:rPr>
          <w:szCs w:val="22"/>
        </w:rPr>
        <w:t xml:space="preserve">transmitter </w:t>
      </w:r>
      <w:r>
        <w:rPr>
          <w:szCs w:val="22"/>
        </w:rPr>
        <w:t xml:space="preserve">sites </w:t>
      </w:r>
      <w:r w:rsidR="00B63D92">
        <w:rPr>
          <w:szCs w:val="22"/>
        </w:rPr>
        <w:t>located north of</w:t>
      </w:r>
      <w:r>
        <w:rPr>
          <w:szCs w:val="22"/>
        </w:rPr>
        <w:t xml:space="preserve"> Line</w:t>
      </w:r>
      <w:r w:rsidR="00B63D92">
        <w:rPr>
          <w:szCs w:val="22"/>
        </w:rPr>
        <w:t> </w:t>
      </w:r>
      <w:r>
        <w:rPr>
          <w:szCs w:val="22"/>
        </w:rPr>
        <w:t xml:space="preserve">A </w:t>
      </w:r>
      <w:r w:rsidR="0091225E">
        <w:rPr>
          <w:szCs w:val="22"/>
        </w:rPr>
        <w:t>can</w:t>
      </w:r>
      <w:r>
        <w:rPr>
          <w:szCs w:val="22"/>
        </w:rPr>
        <w:t xml:space="preserve"> </w:t>
      </w:r>
      <w:r w:rsidR="00B63D92">
        <w:rPr>
          <w:szCs w:val="22"/>
        </w:rPr>
        <w:t>include in their construction notifications</w:t>
      </w:r>
      <w:r>
        <w:rPr>
          <w:szCs w:val="22"/>
        </w:rPr>
        <w:t xml:space="preserve"> </w:t>
      </w:r>
      <w:r w:rsidR="003675C4">
        <w:rPr>
          <w:szCs w:val="22"/>
        </w:rPr>
        <w:t xml:space="preserve">the </w:t>
      </w:r>
      <w:r w:rsidR="00475259">
        <w:rPr>
          <w:szCs w:val="22"/>
        </w:rPr>
        <w:t xml:space="preserve">ULS </w:t>
      </w:r>
      <w:r w:rsidR="00B63D92">
        <w:rPr>
          <w:szCs w:val="22"/>
        </w:rPr>
        <w:t xml:space="preserve">modification application </w:t>
      </w:r>
      <w:r w:rsidR="00475259">
        <w:rPr>
          <w:szCs w:val="22"/>
        </w:rPr>
        <w:t>file number</w:t>
      </w:r>
      <w:r w:rsidR="003675C4">
        <w:rPr>
          <w:szCs w:val="22"/>
        </w:rPr>
        <w:t>(s)</w:t>
      </w:r>
      <w:r w:rsidR="00475259">
        <w:rPr>
          <w:szCs w:val="22"/>
        </w:rPr>
        <w:t xml:space="preserve"> </w:t>
      </w:r>
      <w:r w:rsidR="00550E74">
        <w:rPr>
          <w:szCs w:val="22"/>
        </w:rPr>
        <w:t xml:space="preserve">used </w:t>
      </w:r>
      <w:r w:rsidR="003675C4">
        <w:rPr>
          <w:szCs w:val="22"/>
        </w:rPr>
        <w:t xml:space="preserve">to </w:t>
      </w:r>
      <w:r w:rsidR="00B63D92">
        <w:rPr>
          <w:szCs w:val="22"/>
        </w:rPr>
        <w:t xml:space="preserve">obtain Canadian clearance, whether the demonstration in the notification is based on population coverage at the </w:t>
      </w:r>
      <w:r w:rsidR="00273551">
        <w:rPr>
          <w:szCs w:val="22"/>
        </w:rPr>
        <w:t>three-year or five-year construction deadline</w:t>
      </w:r>
      <w:r w:rsidR="00B63D92">
        <w:rPr>
          <w:szCs w:val="22"/>
        </w:rPr>
        <w:t xml:space="preserve">, or a showing of substantial service at the </w:t>
      </w:r>
      <w:r w:rsidR="00273551">
        <w:rPr>
          <w:szCs w:val="22"/>
        </w:rPr>
        <w:t>five-year deadline</w:t>
      </w:r>
      <w:r w:rsidR="00475259">
        <w:rPr>
          <w:szCs w:val="22"/>
        </w:rPr>
        <w:t>.</w:t>
      </w:r>
    </w:p>
    <w:p w:rsidR="003F41E6" w:rsidRPr="009A0FDA" w:rsidRDefault="003F41E6" w:rsidP="008E4A42">
      <w:pPr>
        <w:spacing w:after="120"/>
        <w:ind w:firstLine="720"/>
        <w:rPr>
          <w:color w:val="000000" w:themeColor="text1"/>
          <w:szCs w:val="22"/>
        </w:rPr>
      </w:pPr>
      <w:r w:rsidRPr="009A0FDA">
        <w:rPr>
          <w:color w:val="000000" w:themeColor="text1"/>
          <w:szCs w:val="22"/>
        </w:rPr>
        <w:t xml:space="preserve">Questions regarding this </w:t>
      </w:r>
      <w:r w:rsidRPr="00AE5373">
        <w:rPr>
          <w:i/>
          <w:color w:val="000000" w:themeColor="text1"/>
          <w:szCs w:val="22"/>
        </w:rPr>
        <w:t>Public Notice</w:t>
      </w:r>
      <w:r w:rsidRPr="009A0FDA">
        <w:rPr>
          <w:color w:val="000000" w:themeColor="text1"/>
          <w:szCs w:val="22"/>
        </w:rPr>
        <w:t xml:space="preserve"> may be directed to </w:t>
      </w:r>
      <w:r w:rsidR="00B63D92">
        <w:rPr>
          <w:color w:val="000000" w:themeColor="text1"/>
          <w:szCs w:val="22"/>
        </w:rPr>
        <w:t xml:space="preserve">Jeremy Reynolds at 202-418-0447 or by email at </w:t>
      </w:r>
      <w:hyperlink r:id="rId8" w:history="1">
        <w:r w:rsidR="00B63D92" w:rsidRPr="00134514">
          <w:rPr>
            <w:rStyle w:val="Hyperlink"/>
            <w:szCs w:val="22"/>
          </w:rPr>
          <w:t>Jeremy.Reynolds@fcc.gov</w:t>
        </w:r>
      </w:hyperlink>
      <w:r w:rsidR="00B63D92">
        <w:rPr>
          <w:color w:val="000000" w:themeColor="text1"/>
          <w:szCs w:val="22"/>
        </w:rPr>
        <w:t xml:space="preserve">.  Questions regarding Canadian Coordination may be directed to </w:t>
      </w:r>
      <w:r w:rsidR="000D3F20" w:rsidRPr="000D3F20">
        <w:rPr>
          <w:color w:val="000000" w:themeColor="text1"/>
          <w:szCs w:val="22"/>
        </w:rPr>
        <w:t>Gabriel Ubieta</w:t>
      </w:r>
      <w:r w:rsidRPr="009A0FDA">
        <w:rPr>
          <w:color w:val="000000" w:themeColor="text1"/>
          <w:szCs w:val="22"/>
        </w:rPr>
        <w:t xml:space="preserve"> at </w:t>
      </w:r>
      <w:r w:rsidR="000D3F20" w:rsidRPr="000D3F20">
        <w:rPr>
          <w:color w:val="000000" w:themeColor="text1"/>
          <w:szCs w:val="22"/>
        </w:rPr>
        <w:t xml:space="preserve">202-418-2219 or </w:t>
      </w:r>
      <w:r w:rsidR="00B63D92">
        <w:rPr>
          <w:color w:val="000000" w:themeColor="text1"/>
          <w:szCs w:val="22"/>
        </w:rPr>
        <w:t xml:space="preserve">by email at </w:t>
      </w:r>
      <w:hyperlink r:id="rId9" w:history="1">
        <w:r w:rsidR="00B63D92" w:rsidRPr="00134514">
          <w:rPr>
            <w:rStyle w:val="Hyperlink"/>
            <w:szCs w:val="22"/>
          </w:rPr>
          <w:t>Gabriel.Ubieta@fcc.gov</w:t>
        </w:r>
      </w:hyperlink>
      <w:r w:rsidR="00B63D92">
        <w:rPr>
          <w:color w:val="000000" w:themeColor="text1"/>
          <w:szCs w:val="22"/>
        </w:rPr>
        <w:t xml:space="preserve">. </w:t>
      </w:r>
    </w:p>
    <w:p w:rsidR="003F41E6" w:rsidRPr="009A0FDA" w:rsidRDefault="003F41E6" w:rsidP="008E4A42">
      <w:pPr>
        <w:spacing w:after="120"/>
        <w:rPr>
          <w:color w:val="000000" w:themeColor="text1"/>
          <w:szCs w:val="22"/>
        </w:rPr>
      </w:pPr>
      <w:r w:rsidRPr="009A0FDA">
        <w:rPr>
          <w:color w:val="000000" w:themeColor="text1"/>
          <w:szCs w:val="22"/>
        </w:rPr>
        <w:tab/>
        <w:t>By the Chief, Mobility Division, Wireless Telecommunications Bureau.</w:t>
      </w:r>
    </w:p>
    <w:p w:rsidR="003F41E6" w:rsidRPr="009A0FDA" w:rsidRDefault="003F41E6" w:rsidP="003F41E6">
      <w:pPr>
        <w:rPr>
          <w:color w:val="000000" w:themeColor="text1"/>
          <w:szCs w:val="22"/>
        </w:rPr>
      </w:pPr>
    </w:p>
    <w:p w:rsidR="003F41E6" w:rsidRPr="009A0FDA" w:rsidRDefault="003F41E6" w:rsidP="003F41E6">
      <w:pPr>
        <w:jc w:val="center"/>
        <w:rPr>
          <w:b/>
          <w:color w:val="000000" w:themeColor="text1"/>
          <w:szCs w:val="22"/>
        </w:rPr>
      </w:pPr>
      <w:r w:rsidRPr="009A0FDA">
        <w:rPr>
          <w:color w:val="000000" w:themeColor="text1"/>
          <w:szCs w:val="22"/>
        </w:rPr>
        <w:t>-FCC-</w:t>
      </w:r>
      <w:r w:rsidRPr="009A0FDA">
        <w:rPr>
          <w:b/>
          <w:color w:val="000000" w:themeColor="text1"/>
          <w:szCs w:val="22"/>
        </w:rPr>
        <w:t xml:space="preserve"> </w:t>
      </w:r>
    </w:p>
    <w:p w:rsidR="003F41E6" w:rsidRDefault="003F41E6" w:rsidP="003F41E6">
      <w:pPr>
        <w:spacing w:after="240"/>
        <w:rPr>
          <w:szCs w:val="22"/>
        </w:rPr>
      </w:pPr>
    </w:p>
    <w:p w:rsidR="003F41E6" w:rsidRDefault="003F41E6" w:rsidP="003F41E6">
      <w:pPr>
        <w:rPr>
          <w:szCs w:val="22"/>
        </w:rPr>
      </w:pPr>
      <w:r>
        <w:rPr>
          <w:szCs w:val="22"/>
        </w:rPr>
        <w:br w:type="page"/>
      </w:r>
    </w:p>
    <w:p w:rsidR="003F41E6" w:rsidRPr="000E3008" w:rsidRDefault="003F41E6" w:rsidP="003F41E6">
      <w:pPr>
        <w:pStyle w:val="ListParagraph"/>
        <w:spacing w:after="120"/>
        <w:ind w:left="0"/>
        <w:contextualSpacing w:val="0"/>
        <w:jc w:val="center"/>
        <w:rPr>
          <w:b/>
          <w:snapToGrid w:val="0"/>
          <w:kern w:val="28"/>
        </w:rPr>
      </w:pPr>
      <w:r>
        <w:rPr>
          <w:b/>
          <w:snapToGrid w:val="0"/>
          <w:kern w:val="28"/>
        </w:rPr>
        <w:t>ATTACHMENT A</w:t>
      </w:r>
    </w:p>
    <w:p w:rsidR="003F41E6" w:rsidRDefault="003F41E6" w:rsidP="003F41E6">
      <w:pPr>
        <w:pStyle w:val="ListParagraph"/>
        <w:spacing w:after="120"/>
        <w:ind w:left="0"/>
        <w:contextualSpacing w:val="0"/>
        <w:jc w:val="center"/>
        <w:rPr>
          <w:b/>
          <w:snapToGrid w:val="0"/>
          <w:kern w:val="28"/>
        </w:rPr>
      </w:pPr>
      <w:r>
        <w:rPr>
          <w:b/>
          <w:snapToGrid w:val="0"/>
          <w:kern w:val="28"/>
        </w:rPr>
        <w:t xml:space="preserve">PAGING </w:t>
      </w:r>
      <w:r w:rsidR="00273551">
        <w:rPr>
          <w:b/>
          <w:snapToGrid w:val="0"/>
          <w:kern w:val="28"/>
        </w:rPr>
        <w:t xml:space="preserve">THREE-YEAR </w:t>
      </w:r>
      <w:r>
        <w:rPr>
          <w:b/>
          <w:snapToGrid w:val="0"/>
          <w:kern w:val="28"/>
        </w:rPr>
        <w:t xml:space="preserve">CONSTRUCTION </w:t>
      </w:r>
      <w:r w:rsidR="00273551">
        <w:rPr>
          <w:b/>
          <w:snapToGrid w:val="0"/>
          <w:kern w:val="28"/>
        </w:rPr>
        <w:t>REQUIREMENT OPTIONS</w:t>
      </w:r>
    </w:p>
    <w:p w:rsidR="00B724E8" w:rsidRDefault="003F41E6" w:rsidP="00D3203A">
      <w:pPr>
        <w:spacing w:after="120"/>
        <w:rPr>
          <w:snapToGrid w:val="0"/>
          <w:kern w:val="28"/>
          <w:szCs w:val="22"/>
        </w:rPr>
      </w:pPr>
      <w:r>
        <w:rPr>
          <w:b/>
          <w:snapToGrid w:val="0"/>
          <w:kern w:val="28"/>
          <w:szCs w:val="22"/>
        </w:rPr>
        <w:t>Coverage of One-Third</w:t>
      </w:r>
      <w:r w:rsidRPr="00D05632">
        <w:rPr>
          <w:b/>
          <w:snapToGrid w:val="0"/>
          <w:kern w:val="28"/>
          <w:szCs w:val="22"/>
        </w:rPr>
        <w:t xml:space="preserve"> o</w:t>
      </w:r>
      <w:r w:rsidR="00D868BA">
        <w:rPr>
          <w:b/>
          <w:snapToGrid w:val="0"/>
          <w:kern w:val="28"/>
          <w:szCs w:val="22"/>
        </w:rPr>
        <w:t>f the Population in the Geographic</w:t>
      </w:r>
      <w:r w:rsidRPr="00D05632">
        <w:rPr>
          <w:b/>
          <w:snapToGrid w:val="0"/>
          <w:kern w:val="28"/>
          <w:szCs w:val="22"/>
        </w:rPr>
        <w:t xml:space="preserve"> Area</w:t>
      </w:r>
      <w:r w:rsidRPr="009C61B9">
        <w:rPr>
          <w:snapToGrid w:val="0"/>
          <w:kern w:val="28"/>
          <w:szCs w:val="22"/>
        </w:rPr>
        <w:t xml:space="preserve">  </w:t>
      </w:r>
    </w:p>
    <w:p w:rsidR="003F41E6" w:rsidRDefault="009865BD" w:rsidP="00B724E8">
      <w:pPr>
        <w:spacing w:after="120"/>
        <w:ind w:firstLine="360"/>
        <w:rPr>
          <w:szCs w:val="22"/>
        </w:rPr>
      </w:pPr>
      <w:r>
        <w:rPr>
          <w:szCs w:val="22"/>
        </w:rPr>
        <w:t xml:space="preserve">Pursuant to Section </w:t>
      </w:r>
      <w:r w:rsidRPr="009146D8">
        <w:rPr>
          <w:szCs w:val="22"/>
        </w:rPr>
        <w:t>22.503(k)</w:t>
      </w:r>
      <w:r>
        <w:rPr>
          <w:szCs w:val="22"/>
        </w:rPr>
        <w:t xml:space="preserve"> of the Commission’s rules, L</w:t>
      </w:r>
      <w:r w:rsidRPr="009146D8">
        <w:rPr>
          <w:szCs w:val="22"/>
        </w:rPr>
        <w:t>icensee</w:t>
      </w:r>
      <w:r>
        <w:rPr>
          <w:szCs w:val="22"/>
        </w:rPr>
        <w:t>s</w:t>
      </w:r>
      <w:r w:rsidRPr="009146D8">
        <w:rPr>
          <w:szCs w:val="22"/>
        </w:rPr>
        <w:t xml:space="preserve"> must construct sufficient facilities to cover one-third of the population in the</w:t>
      </w:r>
      <w:r>
        <w:rPr>
          <w:szCs w:val="22"/>
        </w:rPr>
        <w:t>ir</w:t>
      </w:r>
      <w:r w:rsidRPr="009146D8">
        <w:rPr>
          <w:szCs w:val="22"/>
        </w:rPr>
        <w:t xml:space="preserve"> paging geogra</w:t>
      </w:r>
      <w:r>
        <w:rPr>
          <w:szCs w:val="22"/>
        </w:rPr>
        <w:t>phic area n</w:t>
      </w:r>
      <w:r w:rsidRPr="009146D8">
        <w:rPr>
          <w:szCs w:val="22"/>
        </w:rPr>
        <w:t>o later than three years after the initial grant of the</w:t>
      </w:r>
      <w:r>
        <w:rPr>
          <w:szCs w:val="22"/>
        </w:rPr>
        <w:t>ir</w:t>
      </w:r>
      <w:r w:rsidRPr="009146D8">
        <w:rPr>
          <w:szCs w:val="22"/>
        </w:rPr>
        <w:t xml:space="preserve"> license</w:t>
      </w:r>
      <w:r>
        <w:rPr>
          <w:szCs w:val="22"/>
        </w:rPr>
        <w:t>.</w:t>
      </w:r>
      <w:r>
        <w:rPr>
          <w:rStyle w:val="FootnoteReference"/>
          <w:szCs w:val="22"/>
        </w:rPr>
        <w:footnoteReference w:id="12"/>
      </w:r>
      <w:r w:rsidRPr="009146D8">
        <w:rPr>
          <w:szCs w:val="22"/>
        </w:rPr>
        <w:t xml:space="preserve">  </w:t>
      </w:r>
      <w:r w:rsidR="003F41E6" w:rsidRPr="004F2EDF">
        <w:rPr>
          <w:snapToGrid w:val="0"/>
          <w:kern w:val="28"/>
          <w:szCs w:val="22"/>
        </w:rPr>
        <w:t xml:space="preserve">Under this option, Licensee must provide information sufficient to demonstrate that the license’s service contour(s) cover(s) </w:t>
      </w:r>
      <w:r w:rsidR="003F41E6">
        <w:rPr>
          <w:snapToGrid w:val="0"/>
          <w:kern w:val="28"/>
          <w:szCs w:val="22"/>
        </w:rPr>
        <w:t>one-third</w:t>
      </w:r>
      <w:r w:rsidR="003F41E6" w:rsidRPr="004F2EDF">
        <w:rPr>
          <w:snapToGrid w:val="0"/>
          <w:kern w:val="28"/>
          <w:szCs w:val="22"/>
        </w:rPr>
        <w:t xml:space="preserve"> of the population in the </w:t>
      </w:r>
      <w:r w:rsidR="00C10483">
        <w:rPr>
          <w:snapToGrid w:val="0"/>
          <w:kern w:val="28"/>
          <w:szCs w:val="22"/>
        </w:rPr>
        <w:t>geographic</w:t>
      </w:r>
      <w:r w:rsidR="00292EB9" w:rsidRPr="004F2EDF">
        <w:rPr>
          <w:snapToGrid w:val="0"/>
          <w:kern w:val="28"/>
          <w:szCs w:val="22"/>
        </w:rPr>
        <w:t xml:space="preserve"> </w:t>
      </w:r>
      <w:r w:rsidR="003F41E6" w:rsidRPr="004F2EDF">
        <w:rPr>
          <w:snapToGrid w:val="0"/>
          <w:kern w:val="28"/>
          <w:szCs w:val="22"/>
        </w:rPr>
        <w:t xml:space="preserve">area within the market.  </w:t>
      </w:r>
      <w:r w:rsidR="003F41E6">
        <w:rPr>
          <w:szCs w:val="22"/>
        </w:rPr>
        <w:t xml:space="preserve">The construction notification must include:  </w:t>
      </w:r>
    </w:p>
    <w:p w:rsidR="003F41E6" w:rsidRPr="00C73D83" w:rsidRDefault="003F41E6" w:rsidP="003F41E6">
      <w:pPr>
        <w:numPr>
          <w:ilvl w:val="0"/>
          <w:numId w:val="33"/>
        </w:numPr>
        <w:spacing w:after="120"/>
        <w:rPr>
          <w:snapToGrid w:val="0"/>
          <w:kern w:val="28"/>
          <w:szCs w:val="22"/>
        </w:rPr>
      </w:pPr>
      <w:r>
        <w:rPr>
          <w:szCs w:val="22"/>
        </w:rPr>
        <w:t xml:space="preserve">a list of all counties in the market; </w:t>
      </w:r>
    </w:p>
    <w:p w:rsidR="003F41E6" w:rsidRPr="00C73D83" w:rsidRDefault="003F41E6">
      <w:pPr>
        <w:numPr>
          <w:ilvl w:val="0"/>
          <w:numId w:val="33"/>
        </w:numPr>
        <w:spacing w:after="120"/>
        <w:rPr>
          <w:snapToGrid w:val="0"/>
          <w:kern w:val="28"/>
          <w:szCs w:val="22"/>
        </w:rPr>
      </w:pPr>
      <w:r>
        <w:rPr>
          <w:szCs w:val="22"/>
        </w:rPr>
        <w:t xml:space="preserve">the total population of each county as well as the sum of the total population of all counties; </w:t>
      </w:r>
    </w:p>
    <w:p w:rsidR="003F41E6" w:rsidRPr="001F5DF1" w:rsidRDefault="003F41E6" w:rsidP="003F41E6">
      <w:pPr>
        <w:numPr>
          <w:ilvl w:val="0"/>
          <w:numId w:val="33"/>
        </w:numPr>
        <w:spacing w:after="120"/>
        <w:rPr>
          <w:snapToGrid w:val="0"/>
          <w:kern w:val="28"/>
          <w:szCs w:val="22"/>
        </w:rPr>
      </w:pPr>
      <w:r w:rsidRPr="004F2EDF">
        <w:rPr>
          <w:szCs w:val="22"/>
        </w:rPr>
        <w:t xml:space="preserve">the percentage of population served </w:t>
      </w:r>
      <w:r>
        <w:rPr>
          <w:szCs w:val="22"/>
        </w:rPr>
        <w:t xml:space="preserve">by Licensee </w:t>
      </w:r>
      <w:r w:rsidRPr="004F2EDF">
        <w:rPr>
          <w:szCs w:val="22"/>
        </w:rPr>
        <w:t xml:space="preserve">in </w:t>
      </w:r>
      <w:r w:rsidR="00140239">
        <w:rPr>
          <w:szCs w:val="22"/>
        </w:rPr>
        <w:t xml:space="preserve">the market </w:t>
      </w:r>
      <w:r>
        <w:rPr>
          <w:szCs w:val="22"/>
        </w:rPr>
        <w:t>area</w:t>
      </w:r>
      <w:r w:rsidRPr="004F2EDF">
        <w:rPr>
          <w:szCs w:val="22"/>
        </w:rPr>
        <w:t xml:space="preserve">.  </w:t>
      </w:r>
    </w:p>
    <w:p w:rsidR="003F41E6" w:rsidRPr="00C73D83" w:rsidRDefault="003F41E6" w:rsidP="00083E32">
      <w:pPr>
        <w:spacing w:after="120"/>
        <w:ind w:firstLine="360"/>
        <w:rPr>
          <w:snapToGrid w:val="0"/>
          <w:kern w:val="28"/>
          <w:szCs w:val="22"/>
        </w:rPr>
      </w:pPr>
      <w:r w:rsidRPr="001F5DF1">
        <w:rPr>
          <w:snapToGrid w:val="0"/>
          <w:kern w:val="28"/>
          <w:szCs w:val="22"/>
        </w:rPr>
        <w:t>For the most accurate calculation, population served should be determined using Census Block data fro</w:t>
      </w:r>
      <w:r>
        <w:rPr>
          <w:snapToGrid w:val="0"/>
          <w:kern w:val="28"/>
          <w:szCs w:val="22"/>
        </w:rPr>
        <w:t>m either 1990, 2000, or 2010.</w:t>
      </w:r>
      <w:r>
        <w:rPr>
          <w:rStyle w:val="FootnoteReference"/>
          <w:snapToGrid w:val="0"/>
          <w:kern w:val="28"/>
          <w:szCs w:val="22"/>
        </w:rPr>
        <w:footnoteReference w:id="13"/>
      </w:r>
      <w:r>
        <w:rPr>
          <w:snapToGrid w:val="0"/>
          <w:kern w:val="28"/>
          <w:szCs w:val="22"/>
        </w:rPr>
        <w:t xml:space="preserve">  </w:t>
      </w:r>
      <w:r w:rsidRPr="001F5DF1">
        <w:rPr>
          <w:snapToGrid w:val="0"/>
          <w:kern w:val="28"/>
          <w:szCs w:val="22"/>
        </w:rPr>
        <w:t xml:space="preserve">If Licensee holds multiple licenses, it must submit separate showings for each call sign.  </w:t>
      </w:r>
    </w:p>
    <w:p w:rsidR="00B724E8" w:rsidRDefault="003F41E6" w:rsidP="00B724E8">
      <w:pPr>
        <w:spacing w:after="120"/>
        <w:rPr>
          <w:b/>
          <w:szCs w:val="22"/>
        </w:rPr>
      </w:pPr>
      <w:r w:rsidRPr="009865BD">
        <w:rPr>
          <w:b/>
          <w:szCs w:val="22"/>
        </w:rPr>
        <w:t>Maps</w:t>
      </w:r>
      <w:r w:rsidR="00B724E8">
        <w:rPr>
          <w:b/>
          <w:szCs w:val="22"/>
        </w:rPr>
        <w:t xml:space="preserve">  </w:t>
      </w:r>
    </w:p>
    <w:p w:rsidR="003F41E6" w:rsidRDefault="003F41E6" w:rsidP="00B724E8">
      <w:pPr>
        <w:spacing w:after="120"/>
        <w:ind w:firstLine="360"/>
        <w:rPr>
          <w:szCs w:val="22"/>
        </w:rPr>
      </w:pPr>
      <w:r w:rsidRPr="009C61B9">
        <w:rPr>
          <w:szCs w:val="22"/>
        </w:rPr>
        <w:t>We strongly encourage Licensee to include in its construction notifi</w:t>
      </w:r>
      <w:r>
        <w:rPr>
          <w:szCs w:val="22"/>
        </w:rPr>
        <w:t xml:space="preserve">cation a map showing the </w:t>
      </w:r>
      <w:r w:rsidRPr="009C61B9">
        <w:rPr>
          <w:szCs w:val="22"/>
        </w:rPr>
        <w:t>service c</w:t>
      </w:r>
      <w:r>
        <w:rPr>
          <w:szCs w:val="22"/>
        </w:rPr>
        <w:t xml:space="preserve">ontour(s).  </w:t>
      </w:r>
      <w:r w:rsidRPr="009C61B9">
        <w:rPr>
          <w:szCs w:val="22"/>
        </w:rPr>
        <w:t xml:space="preserve">If Licensee elects to include a map with its </w:t>
      </w:r>
      <w:r>
        <w:rPr>
          <w:szCs w:val="22"/>
        </w:rPr>
        <w:t xml:space="preserve">construction </w:t>
      </w:r>
      <w:r w:rsidRPr="009C61B9">
        <w:rPr>
          <w:szCs w:val="22"/>
        </w:rPr>
        <w:t xml:space="preserve">notification, the map </w:t>
      </w:r>
      <w:r>
        <w:rPr>
          <w:szCs w:val="22"/>
        </w:rPr>
        <w:t>should include the following:  t</w:t>
      </w:r>
      <w:r w:rsidRPr="009C61B9">
        <w:rPr>
          <w:szCs w:val="22"/>
        </w:rPr>
        <w:t>ransmitter site</w:t>
      </w:r>
      <w:r>
        <w:rPr>
          <w:szCs w:val="22"/>
        </w:rPr>
        <w:t>(s)</w:t>
      </w:r>
      <w:r w:rsidRPr="009C61B9">
        <w:rPr>
          <w:szCs w:val="22"/>
        </w:rPr>
        <w:t xml:space="preserve">; </w:t>
      </w:r>
      <w:r>
        <w:rPr>
          <w:szCs w:val="22"/>
        </w:rPr>
        <w:t>county boundaries and the l</w:t>
      </w:r>
      <w:r w:rsidRPr="009C61B9">
        <w:rPr>
          <w:szCs w:val="22"/>
        </w:rPr>
        <w:t xml:space="preserve">icensed market </w:t>
      </w:r>
      <w:r>
        <w:rPr>
          <w:szCs w:val="22"/>
        </w:rPr>
        <w:t xml:space="preserve">area </w:t>
      </w:r>
      <w:r w:rsidRPr="009C61B9">
        <w:rPr>
          <w:szCs w:val="22"/>
        </w:rPr>
        <w:t xml:space="preserve">boundary clearly marked and labeled; </w:t>
      </w:r>
      <w:r>
        <w:rPr>
          <w:szCs w:val="22"/>
        </w:rPr>
        <w:t>distance scale; l</w:t>
      </w:r>
      <w:r w:rsidRPr="009C61B9">
        <w:rPr>
          <w:szCs w:val="22"/>
        </w:rPr>
        <w:t xml:space="preserve">atitude/longitude lines; </w:t>
      </w:r>
      <w:r>
        <w:rPr>
          <w:szCs w:val="22"/>
        </w:rPr>
        <w:t>a l</w:t>
      </w:r>
      <w:r w:rsidRPr="009C61B9">
        <w:rPr>
          <w:szCs w:val="22"/>
        </w:rPr>
        <w:t xml:space="preserve">egend identifying all map attributes; and </w:t>
      </w:r>
      <w:r>
        <w:rPr>
          <w:szCs w:val="22"/>
        </w:rPr>
        <w:t>the s</w:t>
      </w:r>
      <w:r w:rsidRPr="009C61B9">
        <w:rPr>
          <w:szCs w:val="22"/>
        </w:rPr>
        <w:t xml:space="preserve">ervice contour for each transmitter site as </w:t>
      </w:r>
      <w:r>
        <w:rPr>
          <w:szCs w:val="22"/>
        </w:rPr>
        <w:t>defined</w:t>
      </w:r>
      <w:r w:rsidRPr="009C61B9">
        <w:rPr>
          <w:szCs w:val="22"/>
        </w:rPr>
        <w:t xml:space="preserve"> </w:t>
      </w:r>
      <w:r>
        <w:rPr>
          <w:szCs w:val="22"/>
        </w:rPr>
        <w:t>in either Section</w:t>
      </w:r>
      <w:r w:rsidRPr="009C61B9">
        <w:rPr>
          <w:szCs w:val="22"/>
        </w:rPr>
        <w:t xml:space="preserve"> 22.537 or </w:t>
      </w:r>
      <w:r>
        <w:rPr>
          <w:szCs w:val="22"/>
        </w:rPr>
        <w:t xml:space="preserve">Section </w:t>
      </w:r>
      <w:r w:rsidRPr="009C61B9">
        <w:rPr>
          <w:szCs w:val="22"/>
        </w:rPr>
        <w:t>22.567 of the Commission’s rules</w:t>
      </w:r>
      <w:r>
        <w:rPr>
          <w:szCs w:val="22"/>
        </w:rPr>
        <w:t>, as ap</w:t>
      </w:r>
      <w:r w:rsidR="00724124">
        <w:rPr>
          <w:szCs w:val="22"/>
        </w:rPr>
        <w:t>propriate</w:t>
      </w:r>
      <w:r w:rsidRPr="009C61B9">
        <w:rPr>
          <w:szCs w:val="22"/>
        </w:rPr>
        <w:t>.</w:t>
      </w:r>
    </w:p>
    <w:p w:rsidR="00B724E8" w:rsidRDefault="009865BD" w:rsidP="00B724E8">
      <w:pPr>
        <w:spacing w:after="120"/>
        <w:rPr>
          <w:b/>
          <w:szCs w:val="22"/>
        </w:rPr>
      </w:pPr>
      <w:r>
        <w:rPr>
          <w:b/>
          <w:szCs w:val="22"/>
        </w:rPr>
        <w:t>Substantial Service Statement</w:t>
      </w:r>
      <w:r w:rsidR="00B724E8">
        <w:rPr>
          <w:b/>
          <w:szCs w:val="22"/>
        </w:rPr>
        <w:t xml:space="preserve">  </w:t>
      </w:r>
    </w:p>
    <w:p w:rsidR="009865BD" w:rsidRDefault="009865BD" w:rsidP="00B724E8">
      <w:pPr>
        <w:spacing w:after="120"/>
        <w:ind w:firstLine="360"/>
        <w:rPr>
          <w:szCs w:val="22"/>
        </w:rPr>
      </w:pPr>
      <w:r>
        <w:rPr>
          <w:szCs w:val="22"/>
        </w:rPr>
        <w:t xml:space="preserve">As an alternative to demonstrating population coverage at the </w:t>
      </w:r>
      <w:r w:rsidR="00273551">
        <w:rPr>
          <w:szCs w:val="22"/>
        </w:rPr>
        <w:t>three-year construction deadline</w:t>
      </w:r>
      <w:r>
        <w:rPr>
          <w:szCs w:val="22"/>
        </w:rPr>
        <w:t>, L</w:t>
      </w:r>
      <w:r w:rsidRPr="009146D8">
        <w:rPr>
          <w:szCs w:val="22"/>
        </w:rPr>
        <w:t>icensee</w:t>
      </w:r>
      <w:r>
        <w:rPr>
          <w:szCs w:val="22"/>
        </w:rPr>
        <w:t>s</w:t>
      </w:r>
      <w:r w:rsidRPr="009146D8">
        <w:rPr>
          <w:szCs w:val="22"/>
        </w:rPr>
        <w:t xml:space="preserve"> </w:t>
      </w:r>
      <w:r>
        <w:rPr>
          <w:szCs w:val="22"/>
        </w:rPr>
        <w:t>may</w:t>
      </w:r>
      <w:r w:rsidRPr="009146D8">
        <w:rPr>
          <w:szCs w:val="22"/>
        </w:rPr>
        <w:t xml:space="preserve"> notify the Commission that </w:t>
      </w:r>
      <w:r>
        <w:rPr>
          <w:szCs w:val="22"/>
        </w:rPr>
        <w:t>they plan</w:t>
      </w:r>
      <w:r w:rsidRPr="009146D8">
        <w:rPr>
          <w:szCs w:val="22"/>
        </w:rPr>
        <w:t xml:space="preserve"> to provide substantial service no later than five years after the initial grant of </w:t>
      </w:r>
      <w:r>
        <w:rPr>
          <w:szCs w:val="22"/>
        </w:rPr>
        <w:t>their</w:t>
      </w:r>
      <w:r w:rsidRPr="009146D8">
        <w:rPr>
          <w:szCs w:val="22"/>
        </w:rPr>
        <w:t xml:space="preserve"> license</w:t>
      </w:r>
      <w:r>
        <w:rPr>
          <w:szCs w:val="22"/>
        </w:rPr>
        <w:t>s</w:t>
      </w:r>
      <w:r w:rsidRPr="009146D8">
        <w:rPr>
          <w:szCs w:val="22"/>
        </w:rPr>
        <w:t>.</w:t>
      </w:r>
      <w:r>
        <w:rPr>
          <w:rStyle w:val="FootnoteReference"/>
          <w:szCs w:val="22"/>
        </w:rPr>
        <w:footnoteReference w:id="14"/>
      </w:r>
      <w:r w:rsidRPr="009146D8">
        <w:rPr>
          <w:szCs w:val="22"/>
        </w:rPr>
        <w:t xml:space="preserve"> </w:t>
      </w:r>
      <w:r>
        <w:rPr>
          <w:szCs w:val="22"/>
        </w:rPr>
        <w:t xml:space="preserve"> Under this option, Licensee must include a statement in an exhibit to its construction notification that it intends to demonstrate substantial service at the five-year construction deadline. </w:t>
      </w:r>
    </w:p>
    <w:p w:rsidR="00B724E8" w:rsidRDefault="00513222" w:rsidP="00513222">
      <w:pPr>
        <w:spacing w:after="120"/>
        <w:rPr>
          <w:b/>
          <w:szCs w:val="22"/>
        </w:rPr>
      </w:pPr>
      <w:r>
        <w:rPr>
          <w:b/>
          <w:szCs w:val="22"/>
        </w:rPr>
        <w:t>Coverage of Two-Thirds of the Population in the Geographic Area</w:t>
      </w:r>
    </w:p>
    <w:p w:rsidR="00513222" w:rsidRPr="00513222" w:rsidRDefault="00513222" w:rsidP="00B724E8">
      <w:pPr>
        <w:spacing w:after="120"/>
        <w:ind w:firstLine="360"/>
        <w:rPr>
          <w:szCs w:val="22"/>
        </w:rPr>
      </w:pPr>
      <w:r w:rsidRPr="009146D8">
        <w:rPr>
          <w:szCs w:val="22"/>
        </w:rPr>
        <w:t xml:space="preserve">No later than five years after </w:t>
      </w:r>
      <w:r>
        <w:rPr>
          <w:szCs w:val="22"/>
        </w:rPr>
        <w:t>the initial license</w:t>
      </w:r>
      <w:r w:rsidRPr="009146D8">
        <w:rPr>
          <w:szCs w:val="22"/>
        </w:rPr>
        <w:t xml:space="preserve"> grant</w:t>
      </w:r>
      <w:r>
        <w:rPr>
          <w:szCs w:val="22"/>
        </w:rPr>
        <w:t xml:space="preserve">, </w:t>
      </w:r>
      <w:r w:rsidR="003E60E4">
        <w:rPr>
          <w:szCs w:val="22"/>
        </w:rPr>
        <w:t>l</w:t>
      </w:r>
      <w:r w:rsidRPr="009146D8">
        <w:rPr>
          <w:szCs w:val="22"/>
        </w:rPr>
        <w:t>icensee</w:t>
      </w:r>
      <w:r>
        <w:rPr>
          <w:szCs w:val="22"/>
        </w:rPr>
        <w:t>s</w:t>
      </w:r>
      <w:r w:rsidRPr="009146D8">
        <w:rPr>
          <w:szCs w:val="22"/>
        </w:rPr>
        <w:t xml:space="preserve"> must construct </w:t>
      </w:r>
      <w:r>
        <w:rPr>
          <w:szCs w:val="22"/>
        </w:rPr>
        <w:t xml:space="preserve">and operate </w:t>
      </w:r>
      <w:r w:rsidRPr="009146D8">
        <w:rPr>
          <w:szCs w:val="22"/>
        </w:rPr>
        <w:t>sufficient facilities to cover two-thirds of the population.</w:t>
      </w:r>
      <w:r>
        <w:rPr>
          <w:rStyle w:val="FootnoteReference"/>
          <w:szCs w:val="22"/>
        </w:rPr>
        <w:footnoteReference w:id="15"/>
      </w:r>
      <w:r w:rsidRPr="009146D8">
        <w:rPr>
          <w:szCs w:val="22"/>
        </w:rPr>
        <w:t xml:space="preserve">  </w:t>
      </w:r>
      <w:r>
        <w:t xml:space="preserve">Licensee is permitted to demonstrate that it has met the five-year construction requirement </w:t>
      </w:r>
      <w:r w:rsidR="00F72E37">
        <w:t xml:space="preserve">for a license </w:t>
      </w:r>
      <w:r>
        <w:t xml:space="preserve">at the three-year construction deadline.  It must, however, provide an exhibit with its construction notification </w:t>
      </w:r>
      <w:r w:rsidR="00B724E8">
        <w:t xml:space="preserve">filed by the three-year deadline </w:t>
      </w:r>
      <w:r>
        <w:t>showing</w:t>
      </w:r>
      <w:r w:rsidR="00F72E37">
        <w:t>, as described above,</w:t>
      </w:r>
      <w:r>
        <w:t xml:space="preserve"> that </w:t>
      </w:r>
      <w:r w:rsidR="00F72E37" w:rsidRPr="004F2EDF">
        <w:rPr>
          <w:snapToGrid w:val="0"/>
          <w:kern w:val="28"/>
          <w:szCs w:val="22"/>
        </w:rPr>
        <w:t xml:space="preserve">the license’s service contour(s) cover(s) </w:t>
      </w:r>
      <w:r w:rsidR="00F72E37">
        <w:rPr>
          <w:snapToGrid w:val="0"/>
          <w:kern w:val="28"/>
          <w:szCs w:val="22"/>
        </w:rPr>
        <w:t>two-thirds</w:t>
      </w:r>
      <w:r w:rsidR="00F72E37" w:rsidRPr="004F2EDF">
        <w:rPr>
          <w:snapToGrid w:val="0"/>
          <w:kern w:val="28"/>
          <w:szCs w:val="22"/>
        </w:rPr>
        <w:t xml:space="preserve"> of the population in the </w:t>
      </w:r>
      <w:r w:rsidR="00F72E37">
        <w:rPr>
          <w:snapToGrid w:val="0"/>
          <w:kern w:val="28"/>
          <w:szCs w:val="22"/>
        </w:rPr>
        <w:t>geographic</w:t>
      </w:r>
      <w:r w:rsidR="00F72E37" w:rsidRPr="004F2EDF">
        <w:rPr>
          <w:snapToGrid w:val="0"/>
          <w:kern w:val="28"/>
          <w:szCs w:val="22"/>
        </w:rPr>
        <w:t xml:space="preserve"> area within the market</w:t>
      </w:r>
      <w:r>
        <w:t>.  Licensee cannot meet the five-year construction requirement at the three-year construction deadline by submitting a substantial service showing in its notification.</w:t>
      </w:r>
    </w:p>
    <w:p w:rsidR="003F41E6" w:rsidRDefault="003F41E6" w:rsidP="003F41E6">
      <w:pPr>
        <w:rPr>
          <w:szCs w:val="22"/>
        </w:rPr>
      </w:pPr>
      <w:r>
        <w:rPr>
          <w:szCs w:val="22"/>
        </w:rPr>
        <w:br w:type="page"/>
      </w:r>
    </w:p>
    <w:p w:rsidR="003F41E6" w:rsidRPr="00A860D3" w:rsidRDefault="003F41E6" w:rsidP="003F41E6">
      <w:pPr>
        <w:pStyle w:val="ListParagraph"/>
        <w:spacing w:after="120"/>
        <w:ind w:left="0"/>
        <w:contextualSpacing w:val="0"/>
        <w:jc w:val="center"/>
        <w:rPr>
          <w:b/>
          <w:snapToGrid w:val="0"/>
          <w:kern w:val="28"/>
        </w:rPr>
      </w:pPr>
      <w:r w:rsidRPr="00A860D3">
        <w:rPr>
          <w:b/>
          <w:snapToGrid w:val="0"/>
          <w:kern w:val="28"/>
        </w:rPr>
        <w:t>ATTACHMENT B</w:t>
      </w:r>
    </w:p>
    <w:p w:rsidR="003F41E6" w:rsidRDefault="003F41E6" w:rsidP="003F41E6">
      <w:pPr>
        <w:pStyle w:val="ListParagraph"/>
        <w:spacing w:after="120"/>
        <w:ind w:left="0"/>
        <w:contextualSpacing w:val="0"/>
        <w:jc w:val="center"/>
        <w:rPr>
          <w:b/>
          <w:snapToGrid w:val="0"/>
          <w:kern w:val="28"/>
        </w:rPr>
      </w:pPr>
      <w:r w:rsidRPr="00A860D3">
        <w:rPr>
          <w:b/>
          <w:snapToGrid w:val="0"/>
          <w:kern w:val="28"/>
        </w:rPr>
        <w:t>PAGING CONSTRUCTION SUBSTANTIAL SERVICE OPTIONS</w:t>
      </w:r>
    </w:p>
    <w:p w:rsidR="00724124" w:rsidRDefault="00B81D0E" w:rsidP="00B97B90">
      <w:pPr>
        <w:spacing w:after="120"/>
        <w:ind w:firstLine="720"/>
        <w:rPr>
          <w:snapToGrid w:val="0"/>
          <w:kern w:val="28"/>
          <w:szCs w:val="22"/>
        </w:rPr>
      </w:pPr>
      <w:r w:rsidRPr="00796477">
        <w:rPr>
          <w:snapToGrid w:val="0"/>
          <w:kern w:val="28"/>
          <w:szCs w:val="22"/>
          <w:u w:val="single"/>
        </w:rPr>
        <w:t>Substantial Service</w:t>
      </w:r>
      <w:r>
        <w:rPr>
          <w:snapToGrid w:val="0"/>
          <w:kern w:val="28"/>
          <w:szCs w:val="22"/>
        </w:rPr>
        <w:t xml:space="preserve">.  </w:t>
      </w:r>
      <w:r w:rsidR="00B97B90">
        <w:rPr>
          <w:snapToGrid w:val="0"/>
          <w:kern w:val="28"/>
          <w:szCs w:val="22"/>
        </w:rPr>
        <w:t xml:space="preserve">If Licensee elected at the </w:t>
      </w:r>
      <w:r w:rsidR="00273551">
        <w:rPr>
          <w:snapToGrid w:val="0"/>
          <w:kern w:val="28"/>
          <w:szCs w:val="22"/>
        </w:rPr>
        <w:t>three-year construction deadline</w:t>
      </w:r>
      <w:r w:rsidR="00B97B90">
        <w:rPr>
          <w:snapToGrid w:val="0"/>
          <w:kern w:val="28"/>
          <w:szCs w:val="22"/>
        </w:rPr>
        <w:t xml:space="preserve"> to show substantial service at the five-year construction deadline, it must provide information on population coverage as well as a </w:t>
      </w:r>
      <w:r w:rsidR="00B97B90" w:rsidRPr="00902EC8">
        <w:rPr>
          <w:snapToGrid w:val="0"/>
          <w:kern w:val="28"/>
          <w:szCs w:val="22"/>
        </w:rPr>
        <w:t>description of the type of service it is providing, and how that service is meaningful, i.e. sound, substantial and above the level of mediocre service</w:t>
      </w:r>
      <w:r w:rsidR="00796477">
        <w:rPr>
          <w:snapToGrid w:val="0"/>
          <w:kern w:val="28"/>
          <w:szCs w:val="22"/>
        </w:rPr>
        <w:t>, as described below</w:t>
      </w:r>
      <w:r w:rsidR="00B97B90" w:rsidRPr="00902EC8">
        <w:rPr>
          <w:snapToGrid w:val="0"/>
          <w:kern w:val="28"/>
          <w:szCs w:val="22"/>
        </w:rPr>
        <w:t>.</w:t>
      </w:r>
      <w:r w:rsidR="00E03823">
        <w:rPr>
          <w:snapToGrid w:val="0"/>
          <w:kern w:val="28"/>
          <w:szCs w:val="22"/>
        </w:rPr>
        <w:t xml:space="preserve"> </w:t>
      </w:r>
      <w:r w:rsidR="00B97B90">
        <w:rPr>
          <w:snapToGrid w:val="0"/>
          <w:kern w:val="28"/>
          <w:szCs w:val="22"/>
        </w:rPr>
        <w:t xml:space="preserve"> </w:t>
      </w:r>
    </w:p>
    <w:p w:rsidR="00B81D0E" w:rsidRPr="00724124" w:rsidRDefault="00B81D0E" w:rsidP="00B97B90">
      <w:pPr>
        <w:spacing w:after="120"/>
        <w:ind w:firstLine="720"/>
        <w:rPr>
          <w:snapToGrid w:val="0"/>
          <w:kern w:val="28"/>
          <w:szCs w:val="22"/>
        </w:rPr>
      </w:pPr>
      <w:r w:rsidRPr="00796477">
        <w:rPr>
          <w:snapToGrid w:val="0"/>
          <w:kern w:val="28"/>
          <w:szCs w:val="22"/>
          <w:u w:val="single"/>
        </w:rPr>
        <w:t>Partitioning</w:t>
      </w:r>
      <w:r>
        <w:rPr>
          <w:snapToGrid w:val="0"/>
          <w:kern w:val="28"/>
          <w:szCs w:val="22"/>
        </w:rPr>
        <w:t>.  I</w:t>
      </w:r>
      <w:r w:rsidRPr="00681C0C">
        <w:rPr>
          <w:snapToGrid w:val="0"/>
          <w:kern w:val="28"/>
          <w:szCs w:val="22"/>
        </w:rPr>
        <w:t>f</w:t>
      </w:r>
      <w:r>
        <w:rPr>
          <w:snapToGrid w:val="0"/>
          <w:kern w:val="28"/>
          <w:szCs w:val="22"/>
        </w:rPr>
        <w:t>, however,</w:t>
      </w:r>
      <w:r w:rsidRPr="00681C0C">
        <w:rPr>
          <w:snapToGrid w:val="0"/>
          <w:kern w:val="28"/>
          <w:szCs w:val="22"/>
        </w:rPr>
        <w:t xml:space="preserve"> </w:t>
      </w:r>
      <w:r>
        <w:rPr>
          <w:szCs w:val="22"/>
        </w:rPr>
        <w:t xml:space="preserve">Licensee </w:t>
      </w:r>
      <w:r w:rsidRPr="00681C0C">
        <w:rPr>
          <w:snapToGrid w:val="0"/>
          <w:kern w:val="28"/>
          <w:szCs w:val="22"/>
        </w:rPr>
        <w:t xml:space="preserve">cannot meet the </w:t>
      </w:r>
      <w:r>
        <w:rPr>
          <w:snapToGrid w:val="0"/>
          <w:kern w:val="28"/>
          <w:szCs w:val="22"/>
        </w:rPr>
        <w:t>substantial service</w:t>
      </w:r>
      <w:r w:rsidRPr="00681C0C">
        <w:rPr>
          <w:snapToGrid w:val="0"/>
          <w:kern w:val="28"/>
          <w:szCs w:val="22"/>
        </w:rPr>
        <w:t xml:space="preserve"> requirement for the entire market</w:t>
      </w:r>
      <w:r>
        <w:rPr>
          <w:snapToGrid w:val="0"/>
          <w:kern w:val="28"/>
          <w:szCs w:val="22"/>
        </w:rPr>
        <w:t xml:space="preserve"> area of the original license</w:t>
      </w:r>
      <w:r w:rsidRPr="00681C0C">
        <w:rPr>
          <w:snapToGrid w:val="0"/>
          <w:kern w:val="28"/>
          <w:szCs w:val="22"/>
        </w:rPr>
        <w:t xml:space="preserve">, </w:t>
      </w:r>
      <w:r>
        <w:rPr>
          <w:snapToGrid w:val="0"/>
          <w:kern w:val="28"/>
          <w:szCs w:val="22"/>
        </w:rPr>
        <w:t>it could partition and cancel</w:t>
      </w:r>
      <w:r w:rsidRPr="00681C0C">
        <w:rPr>
          <w:snapToGrid w:val="0"/>
          <w:kern w:val="28"/>
          <w:szCs w:val="22"/>
        </w:rPr>
        <w:t xml:space="preserve"> the </w:t>
      </w:r>
      <w:r>
        <w:rPr>
          <w:snapToGrid w:val="0"/>
          <w:kern w:val="28"/>
          <w:szCs w:val="22"/>
        </w:rPr>
        <w:t xml:space="preserve">unused </w:t>
      </w:r>
      <w:r w:rsidRPr="00681C0C">
        <w:rPr>
          <w:snapToGrid w:val="0"/>
          <w:kern w:val="28"/>
          <w:szCs w:val="22"/>
        </w:rPr>
        <w:t>licensed area</w:t>
      </w:r>
      <w:r>
        <w:rPr>
          <w:snapToGrid w:val="0"/>
          <w:kern w:val="28"/>
          <w:szCs w:val="22"/>
        </w:rPr>
        <w:t xml:space="preserve">, </w:t>
      </w:r>
      <w:r w:rsidR="00796477">
        <w:rPr>
          <w:snapToGrid w:val="0"/>
          <w:kern w:val="28"/>
          <w:szCs w:val="22"/>
        </w:rPr>
        <w:t xml:space="preserve">also </w:t>
      </w:r>
      <w:r w:rsidRPr="00681C0C">
        <w:rPr>
          <w:snapToGrid w:val="0"/>
          <w:kern w:val="28"/>
          <w:szCs w:val="22"/>
        </w:rPr>
        <w:t xml:space="preserve">as described </w:t>
      </w:r>
      <w:r>
        <w:rPr>
          <w:snapToGrid w:val="0"/>
          <w:kern w:val="28"/>
          <w:szCs w:val="22"/>
        </w:rPr>
        <w:t xml:space="preserve">below, and file </w:t>
      </w:r>
      <w:r w:rsidRPr="001C2E79">
        <w:rPr>
          <w:snapToGrid w:val="0"/>
          <w:kern w:val="28"/>
          <w:szCs w:val="22"/>
        </w:rPr>
        <w:t>a</w:t>
      </w:r>
      <w:r>
        <w:rPr>
          <w:snapToGrid w:val="0"/>
          <w:kern w:val="28"/>
          <w:szCs w:val="22"/>
        </w:rPr>
        <w:t xml:space="preserve"> </w:t>
      </w:r>
      <w:r w:rsidRPr="001C2E79">
        <w:rPr>
          <w:snapToGrid w:val="0"/>
          <w:kern w:val="28"/>
          <w:szCs w:val="22"/>
        </w:rPr>
        <w:t xml:space="preserve">construction notification </w:t>
      </w:r>
      <w:r>
        <w:rPr>
          <w:snapToGrid w:val="0"/>
          <w:kern w:val="28"/>
          <w:szCs w:val="22"/>
        </w:rPr>
        <w:t>for the retained licensed area showing compliance</w:t>
      </w:r>
      <w:r w:rsidRPr="001C2E79">
        <w:rPr>
          <w:snapToGrid w:val="0"/>
          <w:kern w:val="28"/>
          <w:szCs w:val="22"/>
        </w:rPr>
        <w:t xml:space="preserve"> with the Commission’s substantial service requirements</w:t>
      </w:r>
      <w:r w:rsidR="00D3203A">
        <w:rPr>
          <w:snapToGrid w:val="0"/>
          <w:kern w:val="28"/>
          <w:szCs w:val="22"/>
        </w:rPr>
        <w:t>.</w:t>
      </w:r>
      <w:r>
        <w:rPr>
          <w:snapToGrid w:val="0"/>
          <w:kern w:val="28"/>
          <w:szCs w:val="22"/>
        </w:rPr>
        <w:t xml:space="preserve"> </w:t>
      </w:r>
    </w:p>
    <w:p w:rsidR="00446025" w:rsidRPr="00737F86" w:rsidRDefault="00446025" w:rsidP="008E4A42">
      <w:pPr>
        <w:keepNext/>
        <w:spacing w:after="120"/>
        <w:rPr>
          <w:b/>
          <w:snapToGrid w:val="0"/>
          <w:kern w:val="28"/>
          <w:szCs w:val="22"/>
        </w:rPr>
      </w:pPr>
      <w:r w:rsidRPr="00737F86">
        <w:rPr>
          <w:b/>
          <w:snapToGrid w:val="0"/>
          <w:kern w:val="28"/>
          <w:szCs w:val="22"/>
        </w:rPr>
        <w:t>Safe Harbors</w:t>
      </w:r>
    </w:p>
    <w:p w:rsidR="00C36CCB" w:rsidRPr="00C36CCB" w:rsidRDefault="00B97B90" w:rsidP="003F41E6">
      <w:pPr>
        <w:spacing w:after="120"/>
        <w:ind w:firstLine="360"/>
        <w:rPr>
          <w:snapToGrid w:val="0"/>
          <w:kern w:val="28"/>
          <w:szCs w:val="22"/>
        </w:rPr>
      </w:pPr>
      <w:r>
        <w:rPr>
          <w:snapToGrid w:val="0"/>
          <w:kern w:val="28"/>
          <w:szCs w:val="22"/>
        </w:rPr>
        <w:t>While Licensee may provide information similar to that described in Attachment A to demonstrate it has met the two-thirds population requirement, t</w:t>
      </w:r>
      <w:r w:rsidR="00C36CCB" w:rsidRPr="00C36CCB">
        <w:rPr>
          <w:snapToGrid w:val="0"/>
          <w:kern w:val="28"/>
          <w:szCs w:val="22"/>
        </w:rPr>
        <w:t>he Commission has provided</w:t>
      </w:r>
      <w:r w:rsidR="002145D8">
        <w:rPr>
          <w:snapToGrid w:val="0"/>
          <w:kern w:val="28"/>
          <w:szCs w:val="22"/>
        </w:rPr>
        <w:t xml:space="preserve"> </w:t>
      </w:r>
      <w:r w:rsidR="00737F86">
        <w:rPr>
          <w:snapToGrid w:val="0"/>
          <w:kern w:val="28"/>
          <w:szCs w:val="22"/>
        </w:rPr>
        <w:t xml:space="preserve">the following </w:t>
      </w:r>
      <w:r w:rsidR="00737F86" w:rsidRPr="00C36CCB">
        <w:rPr>
          <w:snapToGrid w:val="0"/>
          <w:kern w:val="28"/>
          <w:szCs w:val="22"/>
        </w:rPr>
        <w:t xml:space="preserve">safe harbors </w:t>
      </w:r>
      <w:r>
        <w:rPr>
          <w:snapToGrid w:val="0"/>
          <w:kern w:val="28"/>
          <w:szCs w:val="22"/>
        </w:rPr>
        <w:t xml:space="preserve">for </w:t>
      </w:r>
      <w:r w:rsidR="00796477">
        <w:rPr>
          <w:snapToGrid w:val="0"/>
          <w:kern w:val="28"/>
          <w:szCs w:val="22"/>
        </w:rPr>
        <w:t>paging licensees</w:t>
      </w:r>
      <w:r w:rsidR="002145D8">
        <w:rPr>
          <w:snapToGrid w:val="0"/>
          <w:kern w:val="28"/>
          <w:szCs w:val="22"/>
        </w:rPr>
        <w:t xml:space="preserve"> to meet substantial service </w:t>
      </w:r>
      <w:r w:rsidR="0031409C">
        <w:rPr>
          <w:snapToGrid w:val="0"/>
          <w:kern w:val="28"/>
          <w:szCs w:val="22"/>
        </w:rPr>
        <w:t>requirement</w:t>
      </w:r>
      <w:r w:rsidR="00796477">
        <w:rPr>
          <w:snapToGrid w:val="0"/>
          <w:kern w:val="28"/>
          <w:szCs w:val="22"/>
        </w:rPr>
        <w:t>s</w:t>
      </w:r>
      <w:r w:rsidR="00737F86">
        <w:rPr>
          <w:snapToGrid w:val="0"/>
          <w:kern w:val="28"/>
          <w:szCs w:val="22"/>
        </w:rPr>
        <w:t>:</w:t>
      </w:r>
    </w:p>
    <w:p w:rsidR="00446025" w:rsidRPr="00737F86" w:rsidRDefault="00446025" w:rsidP="008E4A42">
      <w:pPr>
        <w:pStyle w:val="ListParagraph"/>
        <w:keepNext/>
        <w:spacing w:after="120"/>
        <w:ind w:left="360"/>
        <w:rPr>
          <w:snapToGrid w:val="0"/>
          <w:kern w:val="28"/>
          <w:szCs w:val="22"/>
          <w:u w:val="single"/>
        </w:rPr>
      </w:pPr>
      <w:r w:rsidRPr="00737F86">
        <w:rPr>
          <w:snapToGrid w:val="0"/>
          <w:kern w:val="28"/>
          <w:szCs w:val="22"/>
          <w:u w:val="single"/>
        </w:rPr>
        <w:t>Unserved Area Safe Harbor</w:t>
      </w:r>
    </w:p>
    <w:p w:rsidR="0096487F" w:rsidRDefault="003F41E6" w:rsidP="002145D8">
      <w:pPr>
        <w:spacing w:after="120"/>
        <w:ind w:firstLine="360"/>
        <w:rPr>
          <w:snapToGrid w:val="0"/>
          <w:kern w:val="28"/>
          <w:szCs w:val="22"/>
        </w:rPr>
      </w:pPr>
      <w:r w:rsidRPr="00EA414B">
        <w:rPr>
          <w:snapToGrid w:val="0"/>
          <w:kern w:val="28"/>
          <w:szCs w:val="22"/>
        </w:rPr>
        <w:t xml:space="preserve">As the Commission stated in its </w:t>
      </w:r>
      <w:r w:rsidRPr="00EA414B">
        <w:rPr>
          <w:i/>
          <w:snapToGrid w:val="0"/>
          <w:kern w:val="28"/>
          <w:szCs w:val="22"/>
        </w:rPr>
        <w:t>Paging Third Report and Order</w:t>
      </w:r>
      <w:r w:rsidRPr="00EA414B">
        <w:rPr>
          <w:snapToGrid w:val="0"/>
          <w:kern w:val="28"/>
          <w:szCs w:val="22"/>
        </w:rPr>
        <w:t>,</w:t>
      </w:r>
      <w:r w:rsidR="00AC096D">
        <w:rPr>
          <w:rStyle w:val="FootnoteReference"/>
          <w:snapToGrid w:val="0"/>
          <w:kern w:val="28"/>
          <w:szCs w:val="22"/>
        </w:rPr>
        <w:footnoteReference w:id="16"/>
      </w:r>
      <w:r w:rsidRPr="00EA414B">
        <w:rPr>
          <w:snapToGrid w:val="0"/>
          <w:kern w:val="28"/>
          <w:szCs w:val="22"/>
        </w:rPr>
        <w:t xml:space="preserve"> “we will presume that the substantial service coverage requirement is satisfied if an MEA or EA licensee provides coverage to two-thirds of the population of the unserved area of the MEA or EA within five years of license grant.”</w:t>
      </w:r>
      <w:r w:rsidRPr="004F2EDF">
        <w:rPr>
          <w:rStyle w:val="FootnoteReference"/>
          <w:snapToGrid w:val="0"/>
          <w:kern w:val="28"/>
          <w:szCs w:val="22"/>
        </w:rPr>
        <w:footnoteReference w:id="17"/>
      </w:r>
      <w:r w:rsidRPr="00EA414B">
        <w:rPr>
          <w:snapToGrid w:val="0"/>
          <w:kern w:val="28"/>
          <w:szCs w:val="22"/>
        </w:rPr>
        <w:t xml:space="preserve">  The Commission defined “unserved area” for purposes of substantial service requirements as “the area not served by co-channel incumbent licensees at the time the MEA or EA license is granted.”</w:t>
      </w:r>
      <w:r w:rsidRPr="004F2EDF">
        <w:rPr>
          <w:rStyle w:val="FootnoteReference"/>
          <w:snapToGrid w:val="0"/>
          <w:kern w:val="28"/>
          <w:szCs w:val="22"/>
        </w:rPr>
        <w:footnoteReference w:id="18"/>
      </w:r>
    </w:p>
    <w:p w:rsidR="0096487F" w:rsidRDefault="0096487F">
      <w:pPr>
        <w:spacing w:after="120"/>
        <w:ind w:firstLine="360"/>
        <w:rPr>
          <w:szCs w:val="22"/>
        </w:rPr>
      </w:pPr>
      <w:r w:rsidRPr="004F2EDF">
        <w:rPr>
          <w:snapToGrid w:val="0"/>
          <w:kern w:val="28"/>
          <w:szCs w:val="22"/>
        </w:rPr>
        <w:t xml:space="preserve">Under this option, Licensee must provide information sufficient to demonstrate that the license’s service contour(s) cover(s) </w:t>
      </w:r>
      <w:r w:rsidR="00796477">
        <w:rPr>
          <w:snapToGrid w:val="0"/>
          <w:kern w:val="28"/>
          <w:szCs w:val="22"/>
        </w:rPr>
        <w:t>two</w:t>
      </w:r>
      <w:r>
        <w:rPr>
          <w:snapToGrid w:val="0"/>
          <w:kern w:val="28"/>
          <w:szCs w:val="22"/>
        </w:rPr>
        <w:t>-third</w:t>
      </w:r>
      <w:r w:rsidR="00796477">
        <w:rPr>
          <w:snapToGrid w:val="0"/>
          <w:kern w:val="28"/>
          <w:szCs w:val="22"/>
        </w:rPr>
        <w:t>s</w:t>
      </w:r>
      <w:r w:rsidRPr="004F2EDF">
        <w:rPr>
          <w:snapToGrid w:val="0"/>
          <w:kern w:val="28"/>
          <w:szCs w:val="22"/>
        </w:rPr>
        <w:t xml:space="preserve"> of the population in the </w:t>
      </w:r>
      <w:r w:rsidRPr="00796477">
        <w:rPr>
          <w:i/>
          <w:snapToGrid w:val="0"/>
          <w:kern w:val="28"/>
          <w:szCs w:val="22"/>
        </w:rPr>
        <w:t>unserved area</w:t>
      </w:r>
      <w:r w:rsidRPr="004F2EDF">
        <w:rPr>
          <w:snapToGrid w:val="0"/>
          <w:kern w:val="28"/>
          <w:szCs w:val="22"/>
        </w:rPr>
        <w:t xml:space="preserve"> within the original or </w:t>
      </w:r>
      <w:r>
        <w:rPr>
          <w:snapToGrid w:val="0"/>
          <w:kern w:val="28"/>
          <w:szCs w:val="22"/>
        </w:rPr>
        <w:t xml:space="preserve">retained </w:t>
      </w:r>
      <w:r w:rsidRPr="004F2EDF">
        <w:rPr>
          <w:snapToGrid w:val="0"/>
          <w:kern w:val="28"/>
          <w:szCs w:val="22"/>
        </w:rPr>
        <w:t xml:space="preserve">partitioned market.  </w:t>
      </w:r>
      <w:r>
        <w:rPr>
          <w:szCs w:val="22"/>
        </w:rPr>
        <w:t xml:space="preserve">The construction notification must include:  </w:t>
      </w:r>
    </w:p>
    <w:p w:rsidR="0096487F" w:rsidRPr="00C73D83" w:rsidRDefault="0096487F" w:rsidP="00083E32">
      <w:pPr>
        <w:numPr>
          <w:ilvl w:val="0"/>
          <w:numId w:val="37"/>
        </w:numPr>
        <w:spacing w:after="120"/>
        <w:rPr>
          <w:snapToGrid w:val="0"/>
          <w:kern w:val="28"/>
          <w:szCs w:val="22"/>
        </w:rPr>
      </w:pPr>
      <w:r>
        <w:rPr>
          <w:szCs w:val="22"/>
        </w:rPr>
        <w:t xml:space="preserve">a list of all counties in the market; </w:t>
      </w:r>
    </w:p>
    <w:p w:rsidR="0096487F" w:rsidRPr="00C73D83" w:rsidRDefault="0096487F" w:rsidP="00083E32">
      <w:pPr>
        <w:numPr>
          <w:ilvl w:val="0"/>
          <w:numId w:val="37"/>
        </w:numPr>
        <w:spacing w:after="120"/>
        <w:rPr>
          <w:snapToGrid w:val="0"/>
          <w:kern w:val="28"/>
          <w:szCs w:val="22"/>
        </w:rPr>
      </w:pPr>
      <w:r>
        <w:rPr>
          <w:szCs w:val="22"/>
        </w:rPr>
        <w:t>the total population of each county as well as the sum of the total population of all counties;</w:t>
      </w:r>
    </w:p>
    <w:p w:rsidR="0096487F" w:rsidRPr="0096487F" w:rsidRDefault="0096487F" w:rsidP="00083E32">
      <w:pPr>
        <w:numPr>
          <w:ilvl w:val="0"/>
          <w:numId w:val="37"/>
        </w:numPr>
        <w:spacing w:after="120"/>
        <w:rPr>
          <w:snapToGrid w:val="0"/>
          <w:kern w:val="28"/>
          <w:szCs w:val="22"/>
        </w:rPr>
      </w:pPr>
      <w:r w:rsidRPr="0044340D">
        <w:rPr>
          <w:szCs w:val="22"/>
        </w:rPr>
        <w:t>the total population served in each county by the incumbent service contour(s) as well as the sum of the total population served in all counties by the incumbent service contour(s);</w:t>
      </w:r>
    </w:p>
    <w:p w:rsidR="0096487F" w:rsidRPr="00C73D83" w:rsidRDefault="0096487F" w:rsidP="00083E32">
      <w:pPr>
        <w:numPr>
          <w:ilvl w:val="0"/>
          <w:numId w:val="37"/>
        </w:numPr>
        <w:spacing w:after="120"/>
        <w:rPr>
          <w:snapToGrid w:val="0"/>
          <w:kern w:val="28"/>
          <w:szCs w:val="22"/>
        </w:rPr>
      </w:pPr>
      <w:r>
        <w:rPr>
          <w:szCs w:val="22"/>
        </w:rPr>
        <w:t>the total population of the unserved area in each county as well as the sum of the total population of the unserved area in all counties;</w:t>
      </w:r>
    </w:p>
    <w:p w:rsidR="0096487F" w:rsidRPr="00C73D83" w:rsidRDefault="0096487F" w:rsidP="00083E32">
      <w:pPr>
        <w:numPr>
          <w:ilvl w:val="0"/>
          <w:numId w:val="37"/>
        </w:numPr>
        <w:spacing w:after="120"/>
        <w:rPr>
          <w:snapToGrid w:val="0"/>
          <w:kern w:val="28"/>
          <w:szCs w:val="22"/>
        </w:rPr>
      </w:pPr>
      <w:r>
        <w:rPr>
          <w:szCs w:val="22"/>
        </w:rPr>
        <w:t xml:space="preserve">the total population served by Licensee in the unserved area in each county as well as the sum of the total population served by Licensee in the unserved area in all counties; and </w:t>
      </w:r>
    </w:p>
    <w:p w:rsidR="0096487F" w:rsidRPr="001F5DF1" w:rsidRDefault="0096487F" w:rsidP="00083E32">
      <w:pPr>
        <w:numPr>
          <w:ilvl w:val="0"/>
          <w:numId w:val="37"/>
        </w:numPr>
        <w:spacing w:after="120"/>
        <w:rPr>
          <w:snapToGrid w:val="0"/>
          <w:kern w:val="28"/>
          <w:szCs w:val="22"/>
        </w:rPr>
      </w:pPr>
      <w:r w:rsidRPr="004F2EDF">
        <w:rPr>
          <w:szCs w:val="22"/>
        </w:rPr>
        <w:t xml:space="preserve">the percentage of population served </w:t>
      </w:r>
      <w:r>
        <w:rPr>
          <w:szCs w:val="22"/>
        </w:rPr>
        <w:t xml:space="preserve">by Licensee </w:t>
      </w:r>
      <w:r w:rsidRPr="004F2EDF">
        <w:rPr>
          <w:szCs w:val="22"/>
        </w:rPr>
        <w:t xml:space="preserve">in </w:t>
      </w:r>
      <w:r>
        <w:rPr>
          <w:szCs w:val="22"/>
        </w:rPr>
        <w:t>the unserved area</w:t>
      </w:r>
      <w:r w:rsidRPr="004F2EDF">
        <w:rPr>
          <w:szCs w:val="22"/>
        </w:rPr>
        <w:t xml:space="preserve">.  </w:t>
      </w:r>
    </w:p>
    <w:p w:rsidR="003F41E6" w:rsidRPr="00A31999" w:rsidRDefault="0096487F" w:rsidP="0096487F">
      <w:pPr>
        <w:spacing w:after="120"/>
        <w:ind w:firstLine="360"/>
        <w:rPr>
          <w:b/>
          <w:snapToGrid w:val="0"/>
          <w:kern w:val="28"/>
          <w:szCs w:val="22"/>
        </w:rPr>
      </w:pPr>
      <w:r>
        <w:rPr>
          <w:szCs w:val="22"/>
        </w:rPr>
        <w:t xml:space="preserve">The construction notification must also identify the incumbent licensee(s) and incumbent call sign(s).  </w:t>
      </w:r>
      <w:r w:rsidRPr="001F5DF1">
        <w:rPr>
          <w:snapToGrid w:val="0"/>
          <w:kern w:val="28"/>
          <w:szCs w:val="22"/>
        </w:rPr>
        <w:t>For the most accurate calculation, population served should be determined using Census Block data fro</w:t>
      </w:r>
      <w:r>
        <w:rPr>
          <w:snapToGrid w:val="0"/>
          <w:kern w:val="28"/>
          <w:szCs w:val="22"/>
        </w:rPr>
        <w:t xml:space="preserve">m either 1990, 2000, or 2010.  </w:t>
      </w:r>
      <w:r w:rsidRPr="001F5DF1">
        <w:rPr>
          <w:snapToGrid w:val="0"/>
          <w:kern w:val="28"/>
          <w:szCs w:val="22"/>
        </w:rPr>
        <w:t>If Licensee holds multiple licenses, it must submit separate showings for each call sign.</w:t>
      </w:r>
    </w:p>
    <w:p w:rsidR="003F41E6" w:rsidRPr="00DE204B" w:rsidRDefault="00796477" w:rsidP="008E4A42">
      <w:pPr>
        <w:keepNext/>
        <w:spacing w:after="120"/>
        <w:ind w:left="360"/>
        <w:rPr>
          <w:kern w:val="28"/>
          <w:u w:val="single"/>
        </w:rPr>
      </w:pPr>
      <w:r>
        <w:rPr>
          <w:kern w:val="28"/>
          <w:u w:val="single"/>
        </w:rPr>
        <w:t xml:space="preserve">Mobile and Fixed </w:t>
      </w:r>
      <w:r w:rsidR="003F41E6" w:rsidRPr="00DE204B">
        <w:rPr>
          <w:kern w:val="28"/>
          <w:u w:val="single"/>
        </w:rPr>
        <w:t xml:space="preserve">Rural Safe </w:t>
      </w:r>
      <w:r w:rsidR="00704BB4" w:rsidRPr="00737F86">
        <w:rPr>
          <w:snapToGrid w:val="0"/>
          <w:kern w:val="28"/>
          <w:szCs w:val="22"/>
          <w:u w:val="single"/>
        </w:rPr>
        <w:t>Harbor</w:t>
      </w:r>
      <w:r>
        <w:rPr>
          <w:snapToGrid w:val="0"/>
          <w:kern w:val="28"/>
          <w:szCs w:val="22"/>
          <w:u w:val="single"/>
        </w:rPr>
        <w:t>s</w:t>
      </w:r>
    </w:p>
    <w:p w:rsidR="00737F86" w:rsidRDefault="00FE4350" w:rsidP="00083E32">
      <w:pPr>
        <w:spacing w:after="120"/>
        <w:ind w:firstLine="360"/>
        <w:rPr>
          <w:snapToGrid w:val="0"/>
          <w:kern w:val="28"/>
          <w:szCs w:val="22"/>
        </w:rPr>
      </w:pPr>
      <w:r>
        <w:rPr>
          <w:snapToGrid w:val="0"/>
          <w:kern w:val="28"/>
          <w:szCs w:val="22"/>
        </w:rPr>
        <w:t>As the Commission</w:t>
      </w:r>
      <w:r w:rsidR="003F41E6">
        <w:rPr>
          <w:snapToGrid w:val="0"/>
          <w:kern w:val="28"/>
          <w:szCs w:val="22"/>
        </w:rPr>
        <w:t xml:space="preserve"> </w:t>
      </w:r>
      <w:r w:rsidR="003F41E6" w:rsidRPr="00B62E67">
        <w:rPr>
          <w:snapToGrid w:val="0"/>
          <w:kern w:val="28"/>
          <w:szCs w:val="22"/>
        </w:rPr>
        <w:t>stated</w:t>
      </w:r>
      <w:r>
        <w:rPr>
          <w:snapToGrid w:val="0"/>
          <w:kern w:val="28"/>
          <w:szCs w:val="22"/>
        </w:rPr>
        <w:t xml:space="preserve"> in its </w:t>
      </w:r>
      <w:r>
        <w:rPr>
          <w:i/>
        </w:rPr>
        <w:t xml:space="preserve">Rural </w:t>
      </w:r>
      <w:r w:rsidRPr="006E2E31">
        <w:rPr>
          <w:i/>
        </w:rPr>
        <w:t>Report and Order</w:t>
      </w:r>
      <w:r w:rsidR="003F41E6" w:rsidRPr="00B62E67">
        <w:rPr>
          <w:snapToGrid w:val="0"/>
          <w:kern w:val="28"/>
          <w:szCs w:val="22"/>
        </w:rPr>
        <w:t>, “[w]ith respect to mobile wireless services, a licensee will be deemed to have</w:t>
      </w:r>
      <w:r w:rsidR="003F41E6" w:rsidRPr="009C61B9">
        <w:rPr>
          <w:snapToGrid w:val="0"/>
          <w:kern w:val="28"/>
          <w:szCs w:val="22"/>
        </w:rPr>
        <w:t xml:space="preserve"> met the substantial service requirement if it provides coverage to at least 75 percent of the geographic area of at least 20 percent of the ‘rural areas’ within its licensed area.  With respect to fixed wireless services, the substantial service requirement is met if a licensee constructs at least one end of a permanent link in at least 20 percent of the number of ‘rural areas’ within its licensed area.”</w:t>
      </w:r>
      <w:r w:rsidR="003F41E6" w:rsidRPr="009C61B9">
        <w:rPr>
          <w:rStyle w:val="FootnoteReference"/>
          <w:snapToGrid w:val="0"/>
          <w:kern w:val="28"/>
          <w:szCs w:val="22"/>
        </w:rPr>
        <w:footnoteReference w:id="19"/>
      </w:r>
      <w:r w:rsidR="003F41E6">
        <w:rPr>
          <w:snapToGrid w:val="0"/>
          <w:kern w:val="28"/>
          <w:szCs w:val="22"/>
        </w:rPr>
        <w:t xml:space="preserve">  The Commission defined “rural areas” as “those counties (or equivalent) with a population density of 100 persons per square mile or less, based upon the most recently available Census data.”</w:t>
      </w:r>
      <w:r w:rsidR="003F41E6">
        <w:rPr>
          <w:rStyle w:val="FootnoteReference"/>
          <w:snapToGrid w:val="0"/>
          <w:kern w:val="28"/>
          <w:szCs w:val="22"/>
        </w:rPr>
        <w:footnoteReference w:id="20"/>
      </w:r>
    </w:p>
    <w:p w:rsidR="00796477" w:rsidRDefault="00796477" w:rsidP="00796477">
      <w:pPr>
        <w:spacing w:after="120"/>
        <w:ind w:firstLine="360"/>
        <w:rPr>
          <w:snapToGrid w:val="0"/>
          <w:kern w:val="28"/>
          <w:szCs w:val="22"/>
        </w:rPr>
      </w:pPr>
      <w:r>
        <w:rPr>
          <w:snapToGrid w:val="0"/>
          <w:kern w:val="28"/>
          <w:szCs w:val="22"/>
        </w:rPr>
        <w:t>For mobile wireless services</w:t>
      </w:r>
      <w:r w:rsidRPr="009C61B9">
        <w:rPr>
          <w:snapToGrid w:val="0"/>
          <w:kern w:val="28"/>
          <w:szCs w:val="22"/>
        </w:rPr>
        <w:t xml:space="preserve">, </w:t>
      </w:r>
      <w:r>
        <w:rPr>
          <w:snapToGrid w:val="0"/>
          <w:kern w:val="28"/>
          <w:szCs w:val="22"/>
        </w:rPr>
        <w:t>Licensee</w:t>
      </w:r>
      <w:r w:rsidRPr="009C61B9">
        <w:rPr>
          <w:snapToGrid w:val="0"/>
          <w:kern w:val="28"/>
          <w:szCs w:val="22"/>
        </w:rPr>
        <w:t xml:space="preserve"> must </w:t>
      </w:r>
      <w:r>
        <w:rPr>
          <w:snapToGrid w:val="0"/>
          <w:kern w:val="28"/>
          <w:szCs w:val="22"/>
        </w:rPr>
        <w:t>include</w:t>
      </w:r>
      <w:r w:rsidRPr="009C61B9">
        <w:rPr>
          <w:snapToGrid w:val="0"/>
          <w:kern w:val="28"/>
          <w:szCs w:val="22"/>
        </w:rPr>
        <w:t xml:space="preserve"> an exhibit </w:t>
      </w:r>
      <w:r>
        <w:rPr>
          <w:snapToGrid w:val="0"/>
          <w:kern w:val="28"/>
          <w:szCs w:val="22"/>
        </w:rPr>
        <w:t xml:space="preserve">in its construction notification providing:  (1) the total number of counties in the entire market; (2) the total number of </w:t>
      </w:r>
      <w:r w:rsidRPr="009C61B9">
        <w:rPr>
          <w:snapToGrid w:val="0"/>
          <w:kern w:val="28"/>
          <w:szCs w:val="22"/>
        </w:rPr>
        <w:t>rural co</w:t>
      </w:r>
      <w:r>
        <w:rPr>
          <w:snapToGrid w:val="0"/>
          <w:kern w:val="28"/>
          <w:szCs w:val="22"/>
        </w:rPr>
        <w:t>unties in the market; (3) and the number of counties that make up 20 percent of those rural counties.</w:t>
      </w:r>
      <w:r>
        <w:rPr>
          <w:rStyle w:val="FootnoteReference"/>
          <w:snapToGrid w:val="0"/>
          <w:kern w:val="28"/>
          <w:szCs w:val="22"/>
        </w:rPr>
        <w:footnoteReference w:id="21"/>
      </w:r>
      <w:r>
        <w:rPr>
          <w:snapToGrid w:val="0"/>
          <w:kern w:val="28"/>
          <w:szCs w:val="22"/>
        </w:rPr>
        <w:t xml:space="preserve">  In addition, the showing must include a list of all counties in the market and the percent of geographic area covered within each county by the service contour(s).  For fixed wireless services, Licensee must provide the information required in 1-3 and the list of counties where Licensee</w:t>
      </w:r>
      <w:r w:rsidRPr="004F2EDF">
        <w:rPr>
          <w:snapToGrid w:val="0"/>
          <w:kern w:val="28"/>
          <w:szCs w:val="22"/>
        </w:rPr>
        <w:t xml:space="preserve"> </w:t>
      </w:r>
      <w:r>
        <w:rPr>
          <w:snapToGrid w:val="0"/>
          <w:kern w:val="28"/>
          <w:szCs w:val="22"/>
        </w:rPr>
        <w:t>has constructed at least one end of a permanent link.</w:t>
      </w:r>
    </w:p>
    <w:p w:rsidR="003F41E6" w:rsidRPr="00796477" w:rsidRDefault="003F41E6" w:rsidP="008E4A42">
      <w:pPr>
        <w:keepNext/>
        <w:spacing w:after="120"/>
        <w:rPr>
          <w:b/>
          <w:kern w:val="28"/>
        </w:rPr>
      </w:pPr>
      <w:r w:rsidRPr="00796477">
        <w:rPr>
          <w:b/>
          <w:kern w:val="28"/>
        </w:rPr>
        <w:t>Alternative</w:t>
      </w:r>
      <w:r w:rsidRPr="00796477">
        <w:rPr>
          <w:b/>
          <w:snapToGrid w:val="0"/>
          <w:kern w:val="28"/>
          <w:szCs w:val="22"/>
        </w:rPr>
        <w:t xml:space="preserve"> </w:t>
      </w:r>
      <w:r w:rsidR="00F21A6A" w:rsidRPr="00796477">
        <w:rPr>
          <w:b/>
          <w:snapToGrid w:val="0"/>
          <w:kern w:val="28"/>
          <w:szCs w:val="22"/>
        </w:rPr>
        <w:t>Engineering</w:t>
      </w:r>
      <w:r w:rsidR="00F21A6A" w:rsidRPr="00796477">
        <w:rPr>
          <w:b/>
          <w:kern w:val="28"/>
        </w:rPr>
        <w:t xml:space="preserve"> </w:t>
      </w:r>
      <w:r w:rsidRPr="00796477">
        <w:rPr>
          <w:b/>
          <w:kern w:val="28"/>
        </w:rPr>
        <w:t>Showings</w:t>
      </w:r>
    </w:p>
    <w:p w:rsidR="003F41E6" w:rsidRDefault="003F41E6" w:rsidP="00794E7D">
      <w:pPr>
        <w:spacing w:after="120"/>
        <w:ind w:firstLine="360"/>
        <w:rPr>
          <w:szCs w:val="22"/>
        </w:rPr>
      </w:pPr>
      <w:r>
        <w:rPr>
          <w:szCs w:val="22"/>
        </w:rPr>
        <w:t>As the Commission has also previously stated, a licensee is “free to meet the substantial service test by satisfying one of the safe harbors or providing some alternative coverage to its licensed area, depending upon the individual needs of their consumers or their own unique business plans.”</w:t>
      </w:r>
      <w:r>
        <w:rPr>
          <w:rStyle w:val="FootnoteReference"/>
          <w:szCs w:val="22"/>
        </w:rPr>
        <w:footnoteReference w:id="22"/>
      </w:r>
      <w:r>
        <w:rPr>
          <w:szCs w:val="22"/>
        </w:rPr>
        <w:t xml:space="preserve">  In this case, Sections 22.537 and 22.567 of the Commission’s rules set forth the technical criteria for generating service contours for Part 22 paging licenses used to calculate population coverage required under Section 22.503(k)(1) and (2) of the Commission’s rules.</w:t>
      </w:r>
      <w:r>
        <w:rPr>
          <w:rStyle w:val="FootnoteReference"/>
          <w:szCs w:val="22"/>
        </w:rPr>
        <w:footnoteReference w:id="23"/>
      </w:r>
      <w:r>
        <w:rPr>
          <w:szCs w:val="22"/>
        </w:rPr>
        <w:t xml:space="preserve">  Under Section 22.503(k)(3), </w:t>
      </w:r>
      <w:r w:rsidRPr="009C61B9">
        <w:rPr>
          <w:szCs w:val="22"/>
        </w:rPr>
        <w:t xml:space="preserve">Licensee </w:t>
      </w:r>
      <w:r>
        <w:rPr>
          <w:szCs w:val="22"/>
        </w:rPr>
        <w:t xml:space="preserve">may </w:t>
      </w:r>
      <w:r w:rsidRPr="009C61B9">
        <w:rPr>
          <w:szCs w:val="22"/>
        </w:rPr>
        <w:t xml:space="preserve">choose to rely on an alternative </w:t>
      </w:r>
      <w:r>
        <w:rPr>
          <w:szCs w:val="22"/>
        </w:rPr>
        <w:t>engineering method</w:t>
      </w:r>
      <w:r w:rsidRPr="009C61B9">
        <w:rPr>
          <w:szCs w:val="22"/>
        </w:rPr>
        <w:t xml:space="preserve"> to demonstrate substantial service</w:t>
      </w:r>
      <w:r>
        <w:rPr>
          <w:szCs w:val="22"/>
        </w:rPr>
        <w:t>.</w:t>
      </w:r>
      <w:r>
        <w:rPr>
          <w:rStyle w:val="FootnoteReference"/>
          <w:szCs w:val="22"/>
        </w:rPr>
        <w:footnoteReference w:id="24"/>
      </w:r>
      <w:r>
        <w:rPr>
          <w:szCs w:val="22"/>
        </w:rPr>
        <w:t xml:space="preserve">  </w:t>
      </w:r>
    </w:p>
    <w:p w:rsidR="003F41E6" w:rsidRDefault="003F41E6" w:rsidP="00794E7D">
      <w:pPr>
        <w:spacing w:after="120"/>
        <w:ind w:firstLine="360"/>
        <w:rPr>
          <w:szCs w:val="22"/>
        </w:rPr>
      </w:pPr>
      <w:r>
        <w:rPr>
          <w:szCs w:val="22"/>
        </w:rPr>
        <w:t>If Licensee chooses an alternative engineering method</w:t>
      </w:r>
      <w:r w:rsidRPr="009C61B9">
        <w:rPr>
          <w:szCs w:val="22"/>
        </w:rPr>
        <w:t xml:space="preserve">, it </w:t>
      </w:r>
      <w:r w:rsidR="00B0059F">
        <w:rPr>
          <w:szCs w:val="22"/>
        </w:rPr>
        <w:t>should</w:t>
      </w:r>
      <w:r w:rsidRPr="009C61B9">
        <w:rPr>
          <w:szCs w:val="22"/>
        </w:rPr>
        <w:t xml:space="preserve"> include in its construction notification the information </w:t>
      </w:r>
      <w:r>
        <w:rPr>
          <w:szCs w:val="22"/>
        </w:rPr>
        <w:t>listed</w:t>
      </w:r>
      <w:r w:rsidRPr="009C61B9">
        <w:rPr>
          <w:szCs w:val="22"/>
        </w:rPr>
        <w:t xml:space="preserve"> above </w:t>
      </w:r>
      <w:r>
        <w:rPr>
          <w:szCs w:val="22"/>
        </w:rPr>
        <w:t xml:space="preserve">with regard to one of the two options listed under population coverage or information supporting the rural safe harbor options.  In addition, the construction notification </w:t>
      </w:r>
      <w:r w:rsidR="00B0059F">
        <w:rPr>
          <w:szCs w:val="22"/>
        </w:rPr>
        <w:t>should</w:t>
      </w:r>
      <w:r>
        <w:rPr>
          <w:szCs w:val="22"/>
        </w:rPr>
        <w:t xml:space="preserve"> identify </w:t>
      </w:r>
      <w:r w:rsidRPr="009C61B9">
        <w:rPr>
          <w:szCs w:val="22"/>
        </w:rPr>
        <w:t xml:space="preserve">the </w:t>
      </w:r>
      <w:r>
        <w:rPr>
          <w:szCs w:val="22"/>
        </w:rPr>
        <w:t xml:space="preserve">engineering </w:t>
      </w:r>
      <w:r w:rsidRPr="009C61B9">
        <w:rPr>
          <w:szCs w:val="22"/>
        </w:rPr>
        <w:t>method used to generate the alternative coverage</w:t>
      </w:r>
      <w:r>
        <w:rPr>
          <w:szCs w:val="22"/>
        </w:rPr>
        <w:t>.  Licensee also</w:t>
      </w:r>
      <w:r w:rsidR="00B72D07">
        <w:rPr>
          <w:szCs w:val="22"/>
        </w:rPr>
        <w:t xml:space="preserve"> should</w:t>
      </w:r>
      <w:r>
        <w:rPr>
          <w:szCs w:val="22"/>
        </w:rPr>
        <w:t xml:space="preserve"> include a</w:t>
      </w:r>
      <w:r w:rsidRPr="009C61B9">
        <w:rPr>
          <w:szCs w:val="22"/>
        </w:rPr>
        <w:t xml:space="preserve"> Forward and Reverse path link budget table that </w:t>
      </w:r>
      <w:r>
        <w:rPr>
          <w:szCs w:val="22"/>
        </w:rPr>
        <w:t>substantiates</w:t>
      </w:r>
      <w:r w:rsidRPr="009C61B9">
        <w:rPr>
          <w:szCs w:val="22"/>
        </w:rPr>
        <w:t xml:space="preserve"> the method used to generate the alternative coverage</w:t>
      </w:r>
      <w:r>
        <w:rPr>
          <w:szCs w:val="22"/>
        </w:rPr>
        <w:t>, including, at a minimum, the following infor</w:t>
      </w:r>
      <w:r w:rsidR="00B72D07">
        <w:rPr>
          <w:szCs w:val="22"/>
        </w:rPr>
        <w:t>mation for uplink and downlink:</w:t>
      </w:r>
      <w:r>
        <w:rPr>
          <w:szCs w:val="22"/>
        </w:rPr>
        <w:t xml:space="preserve"> transmit power; transmit attenuation or bodyloss; antenna gain; the Effective Radiated Power (ERP); receive sensitivity; receive antenna gain; receive bodyloss; minimum receive levels; reliable signal level; fade margin; and Maximum Allowable Path Loss (MAPL)</w:t>
      </w:r>
      <w:r w:rsidRPr="009C61B9">
        <w:rPr>
          <w:szCs w:val="22"/>
        </w:rPr>
        <w:t xml:space="preserve">.  </w:t>
      </w:r>
    </w:p>
    <w:p w:rsidR="003F41E6" w:rsidRPr="009C61B9" w:rsidRDefault="003F41E6" w:rsidP="00794E7D">
      <w:pPr>
        <w:spacing w:after="120"/>
        <w:ind w:firstLine="360"/>
        <w:rPr>
          <w:snapToGrid w:val="0"/>
          <w:kern w:val="28"/>
          <w:szCs w:val="22"/>
        </w:rPr>
      </w:pPr>
      <w:r w:rsidRPr="009C61B9">
        <w:rPr>
          <w:szCs w:val="22"/>
        </w:rPr>
        <w:t xml:space="preserve">If Licensee elects to rely on an alternative </w:t>
      </w:r>
      <w:r>
        <w:rPr>
          <w:szCs w:val="22"/>
        </w:rPr>
        <w:t>engineering method</w:t>
      </w:r>
      <w:r w:rsidRPr="009C61B9">
        <w:rPr>
          <w:szCs w:val="22"/>
        </w:rPr>
        <w:t xml:space="preserve">, </w:t>
      </w:r>
      <w:r w:rsidR="00B72D07">
        <w:rPr>
          <w:szCs w:val="22"/>
        </w:rPr>
        <w:t xml:space="preserve">it </w:t>
      </w:r>
      <w:r>
        <w:rPr>
          <w:szCs w:val="22"/>
        </w:rPr>
        <w:t>also</w:t>
      </w:r>
      <w:r w:rsidR="00B72D07">
        <w:rPr>
          <w:szCs w:val="22"/>
        </w:rPr>
        <w:t xml:space="preserve"> should</w:t>
      </w:r>
      <w:r>
        <w:rPr>
          <w:szCs w:val="22"/>
        </w:rPr>
        <w:t xml:space="preserve"> include, as an exhibit to the construction notification, an </w:t>
      </w:r>
      <w:r w:rsidRPr="009C61B9">
        <w:rPr>
          <w:szCs w:val="22"/>
        </w:rPr>
        <w:t xml:space="preserve">affidavit or unsworn declaration </w:t>
      </w:r>
      <w:r>
        <w:rPr>
          <w:szCs w:val="22"/>
        </w:rPr>
        <w:t xml:space="preserve">signed by </w:t>
      </w:r>
      <w:r w:rsidRPr="009C61B9">
        <w:rPr>
          <w:szCs w:val="22"/>
        </w:rPr>
        <w:t xml:space="preserve">an authorized officer of </w:t>
      </w:r>
      <w:r w:rsidR="008E6951">
        <w:rPr>
          <w:szCs w:val="22"/>
        </w:rPr>
        <w:t xml:space="preserve">the </w:t>
      </w:r>
      <w:r w:rsidRPr="009C61B9">
        <w:rPr>
          <w:szCs w:val="22"/>
        </w:rPr>
        <w:t xml:space="preserve">Licensee under penalty of perjury that complies with Section 1.16 of the Commission’s </w:t>
      </w:r>
      <w:r>
        <w:rPr>
          <w:szCs w:val="22"/>
        </w:rPr>
        <w:t>rules and that</w:t>
      </w:r>
      <w:r w:rsidRPr="009C61B9">
        <w:rPr>
          <w:szCs w:val="22"/>
        </w:rPr>
        <w:t xml:space="preserve"> support</w:t>
      </w:r>
      <w:r>
        <w:rPr>
          <w:szCs w:val="22"/>
        </w:rPr>
        <w:t>s</w:t>
      </w:r>
      <w:r w:rsidRPr="009C61B9">
        <w:rPr>
          <w:szCs w:val="22"/>
        </w:rPr>
        <w:t xml:space="preserve"> </w:t>
      </w:r>
      <w:r w:rsidR="008E6951">
        <w:rPr>
          <w:szCs w:val="22"/>
        </w:rPr>
        <w:t xml:space="preserve">the </w:t>
      </w:r>
      <w:r w:rsidRPr="009C61B9">
        <w:rPr>
          <w:szCs w:val="22"/>
        </w:rPr>
        <w:t>Licensee’s construction notification.</w:t>
      </w:r>
      <w:r>
        <w:rPr>
          <w:rStyle w:val="FootnoteReference"/>
          <w:szCs w:val="22"/>
        </w:rPr>
        <w:footnoteReference w:id="25"/>
      </w:r>
      <w:r w:rsidRPr="009C61B9">
        <w:rPr>
          <w:szCs w:val="22"/>
        </w:rPr>
        <w:t xml:space="preserve">  </w:t>
      </w:r>
    </w:p>
    <w:p w:rsidR="003F41E6" w:rsidRPr="00796477" w:rsidRDefault="003F41E6" w:rsidP="008E4A42">
      <w:pPr>
        <w:keepNext/>
        <w:spacing w:after="120"/>
        <w:rPr>
          <w:b/>
          <w:snapToGrid w:val="0"/>
          <w:kern w:val="28"/>
          <w:szCs w:val="22"/>
        </w:rPr>
      </w:pPr>
      <w:r w:rsidRPr="00796477">
        <w:rPr>
          <w:b/>
          <w:snapToGrid w:val="0"/>
          <w:kern w:val="28"/>
          <w:szCs w:val="22"/>
        </w:rPr>
        <w:t>Description of Service</w:t>
      </w:r>
    </w:p>
    <w:p w:rsidR="003F41E6" w:rsidRDefault="003F41E6" w:rsidP="000736E5">
      <w:pPr>
        <w:pStyle w:val="ListParagraph"/>
        <w:spacing w:after="120"/>
        <w:ind w:left="0" w:firstLine="360"/>
        <w:contextualSpacing w:val="0"/>
      </w:pPr>
      <w:r w:rsidRPr="009B0569">
        <w:rPr>
          <w:snapToGrid w:val="0"/>
          <w:kern w:val="28"/>
        </w:rPr>
        <w:t xml:space="preserve">The substantial service showing in </w:t>
      </w:r>
      <w:r>
        <w:rPr>
          <w:snapToGrid w:val="0"/>
          <w:kern w:val="28"/>
        </w:rPr>
        <w:t>the</w:t>
      </w:r>
      <w:r w:rsidRPr="009B0569">
        <w:rPr>
          <w:snapToGrid w:val="0"/>
          <w:kern w:val="28"/>
        </w:rPr>
        <w:t xml:space="preserve"> construction notification </w:t>
      </w:r>
      <w:r>
        <w:rPr>
          <w:snapToGrid w:val="0"/>
          <w:kern w:val="28"/>
        </w:rPr>
        <w:t>also</w:t>
      </w:r>
      <w:r w:rsidR="00B57B26">
        <w:rPr>
          <w:snapToGrid w:val="0"/>
          <w:kern w:val="28"/>
        </w:rPr>
        <w:t xml:space="preserve"> should</w:t>
      </w:r>
      <w:r>
        <w:rPr>
          <w:snapToGrid w:val="0"/>
          <w:kern w:val="28"/>
        </w:rPr>
        <w:t xml:space="preserve"> </w:t>
      </w:r>
      <w:r w:rsidRPr="009B0569">
        <w:t xml:space="preserve">describe </w:t>
      </w:r>
      <w:r>
        <w:t xml:space="preserve">with particularity </w:t>
      </w:r>
      <w:r w:rsidRPr="009B0569">
        <w:t xml:space="preserve">the type of service provided to actual customers.  </w:t>
      </w:r>
      <w:r w:rsidR="00D3203A">
        <w:t xml:space="preserve">Licensee must provide this description even if it is covering two-thirds of the population of the geographic area.  </w:t>
      </w:r>
      <w:r w:rsidRPr="009B0569">
        <w:t xml:space="preserve">For example, service may be considered substantial if it offers specialized or technologically sophisticated service that does not require a high level of coverage to benefit customers; serves niche markets such as residential services or services to business or educational campuses; provides service to unserved or underserved areas; provides </w:t>
      </w:r>
      <w:r>
        <w:t>coverage</w:t>
      </w:r>
      <w:r w:rsidRPr="009B0569">
        <w:t xml:space="preserve"> to rural counties or rural geographic areas; provides significant geographical coverage; serves unique or isolated communities or business parks; or expands provision of E911 services into areas that have limited or no </w:t>
      </w:r>
      <w:r w:rsidRPr="009C61B9">
        <w:t>access to such services.</w:t>
      </w:r>
    </w:p>
    <w:p w:rsidR="003F41E6" w:rsidRPr="00796477" w:rsidRDefault="003F41E6" w:rsidP="008E4A42">
      <w:pPr>
        <w:keepNext/>
        <w:spacing w:after="120"/>
        <w:rPr>
          <w:b/>
          <w:szCs w:val="22"/>
        </w:rPr>
      </w:pPr>
      <w:r w:rsidRPr="00796477">
        <w:rPr>
          <w:b/>
          <w:szCs w:val="22"/>
        </w:rPr>
        <w:t>Maps</w:t>
      </w:r>
    </w:p>
    <w:p w:rsidR="003F41E6" w:rsidRPr="009C61B9" w:rsidRDefault="003F41E6" w:rsidP="009D6E4C">
      <w:pPr>
        <w:spacing w:after="120"/>
        <w:ind w:firstLine="360"/>
        <w:rPr>
          <w:szCs w:val="22"/>
        </w:rPr>
      </w:pPr>
      <w:r w:rsidRPr="009C61B9">
        <w:rPr>
          <w:szCs w:val="22"/>
        </w:rPr>
        <w:t>We strongly encourage Licensee</w:t>
      </w:r>
      <w:r w:rsidR="00B57B26">
        <w:rPr>
          <w:szCs w:val="22"/>
        </w:rPr>
        <w:t xml:space="preserve"> to include in </w:t>
      </w:r>
      <w:r w:rsidR="00EA1B6B">
        <w:rPr>
          <w:szCs w:val="22"/>
        </w:rPr>
        <w:t>its</w:t>
      </w:r>
      <w:r w:rsidRPr="009C61B9">
        <w:rPr>
          <w:szCs w:val="22"/>
        </w:rPr>
        <w:t xml:space="preserve"> construction notifi</w:t>
      </w:r>
      <w:r>
        <w:rPr>
          <w:szCs w:val="22"/>
        </w:rPr>
        <w:t xml:space="preserve">cation a map showing the </w:t>
      </w:r>
      <w:r w:rsidRPr="009C61B9">
        <w:rPr>
          <w:szCs w:val="22"/>
        </w:rPr>
        <w:t>service c</w:t>
      </w:r>
      <w:r>
        <w:rPr>
          <w:szCs w:val="22"/>
        </w:rPr>
        <w:t>ontour(s)</w:t>
      </w:r>
      <w:r w:rsidRPr="009C61B9">
        <w:rPr>
          <w:szCs w:val="22"/>
        </w:rPr>
        <w:t xml:space="preserve"> </w:t>
      </w:r>
      <w:r>
        <w:rPr>
          <w:szCs w:val="22"/>
        </w:rPr>
        <w:t xml:space="preserve">or alternative coverage used to demonstrate substantial service.  </w:t>
      </w:r>
      <w:r w:rsidRPr="009C61B9">
        <w:rPr>
          <w:szCs w:val="22"/>
        </w:rPr>
        <w:t xml:space="preserve">If Licensee elects to include a map with its </w:t>
      </w:r>
      <w:r>
        <w:rPr>
          <w:szCs w:val="22"/>
        </w:rPr>
        <w:t xml:space="preserve">construction </w:t>
      </w:r>
      <w:r w:rsidRPr="009C61B9">
        <w:rPr>
          <w:szCs w:val="22"/>
        </w:rPr>
        <w:t xml:space="preserve">notification, the map </w:t>
      </w:r>
      <w:r>
        <w:rPr>
          <w:szCs w:val="22"/>
        </w:rPr>
        <w:t>should include the following:  t</w:t>
      </w:r>
      <w:r w:rsidRPr="009C61B9">
        <w:rPr>
          <w:szCs w:val="22"/>
        </w:rPr>
        <w:t>ransmitter site</w:t>
      </w:r>
      <w:r>
        <w:rPr>
          <w:szCs w:val="22"/>
        </w:rPr>
        <w:t>(s)</w:t>
      </w:r>
      <w:r w:rsidRPr="009C61B9">
        <w:rPr>
          <w:szCs w:val="22"/>
        </w:rPr>
        <w:t xml:space="preserve">; </w:t>
      </w:r>
      <w:r>
        <w:rPr>
          <w:szCs w:val="22"/>
        </w:rPr>
        <w:t>county boundaries and the l</w:t>
      </w:r>
      <w:r w:rsidRPr="009C61B9">
        <w:rPr>
          <w:szCs w:val="22"/>
        </w:rPr>
        <w:t xml:space="preserve">icensed market </w:t>
      </w:r>
      <w:r>
        <w:rPr>
          <w:szCs w:val="22"/>
        </w:rPr>
        <w:t xml:space="preserve">area </w:t>
      </w:r>
      <w:r w:rsidRPr="009C61B9">
        <w:rPr>
          <w:szCs w:val="22"/>
        </w:rPr>
        <w:t xml:space="preserve">boundary clearly marked and labeled; </w:t>
      </w:r>
      <w:r>
        <w:rPr>
          <w:szCs w:val="22"/>
        </w:rPr>
        <w:t>distance scale; l</w:t>
      </w:r>
      <w:r w:rsidRPr="009C61B9">
        <w:rPr>
          <w:szCs w:val="22"/>
        </w:rPr>
        <w:t xml:space="preserve">atitude/longitude lines; </w:t>
      </w:r>
      <w:r>
        <w:rPr>
          <w:szCs w:val="22"/>
        </w:rPr>
        <w:t>a l</w:t>
      </w:r>
      <w:r w:rsidRPr="009C61B9">
        <w:rPr>
          <w:szCs w:val="22"/>
        </w:rPr>
        <w:t xml:space="preserve">egend identifying all map attributes; and </w:t>
      </w:r>
      <w:r>
        <w:rPr>
          <w:szCs w:val="22"/>
        </w:rPr>
        <w:t>the s</w:t>
      </w:r>
      <w:r w:rsidRPr="009C61B9">
        <w:rPr>
          <w:szCs w:val="22"/>
        </w:rPr>
        <w:t xml:space="preserve">ervice contour for each transmitter site as </w:t>
      </w:r>
      <w:r>
        <w:rPr>
          <w:szCs w:val="22"/>
        </w:rPr>
        <w:t>defined</w:t>
      </w:r>
      <w:r w:rsidRPr="009C61B9">
        <w:rPr>
          <w:szCs w:val="22"/>
        </w:rPr>
        <w:t xml:space="preserve"> </w:t>
      </w:r>
      <w:r>
        <w:rPr>
          <w:szCs w:val="22"/>
        </w:rPr>
        <w:t>in either Section</w:t>
      </w:r>
      <w:r w:rsidRPr="009C61B9">
        <w:rPr>
          <w:szCs w:val="22"/>
        </w:rPr>
        <w:t xml:space="preserve"> 22.537 or </w:t>
      </w:r>
      <w:r>
        <w:rPr>
          <w:szCs w:val="22"/>
        </w:rPr>
        <w:t xml:space="preserve">Section </w:t>
      </w:r>
      <w:r w:rsidRPr="009C61B9">
        <w:rPr>
          <w:szCs w:val="22"/>
        </w:rPr>
        <w:t>22.567 of the Commission’s rules</w:t>
      </w:r>
      <w:r>
        <w:rPr>
          <w:szCs w:val="22"/>
        </w:rPr>
        <w:t xml:space="preserve">, as appropriate, </w:t>
      </w:r>
      <w:r w:rsidRPr="009C61B9">
        <w:rPr>
          <w:szCs w:val="22"/>
        </w:rPr>
        <w:t xml:space="preserve">or the </w:t>
      </w:r>
      <w:r>
        <w:rPr>
          <w:szCs w:val="22"/>
        </w:rPr>
        <w:t xml:space="preserve">area covered by the </w:t>
      </w:r>
      <w:r w:rsidRPr="009C61B9">
        <w:rPr>
          <w:szCs w:val="22"/>
        </w:rPr>
        <w:t xml:space="preserve">alternative </w:t>
      </w:r>
      <w:r>
        <w:rPr>
          <w:szCs w:val="22"/>
        </w:rPr>
        <w:t>method</w:t>
      </w:r>
      <w:r w:rsidRPr="009C61B9">
        <w:rPr>
          <w:szCs w:val="22"/>
        </w:rPr>
        <w:t>.</w:t>
      </w:r>
    </w:p>
    <w:p w:rsidR="00A54C47" w:rsidRPr="009C61B9" w:rsidRDefault="00D3203A" w:rsidP="008E4A42">
      <w:pPr>
        <w:keepNext/>
        <w:spacing w:after="120"/>
        <w:rPr>
          <w:b/>
          <w:snapToGrid w:val="0"/>
          <w:kern w:val="28"/>
          <w:szCs w:val="22"/>
        </w:rPr>
      </w:pPr>
      <w:r>
        <w:rPr>
          <w:b/>
          <w:snapToGrid w:val="0"/>
          <w:kern w:val="28"/>
          <w:szCs w:val="22"/>
        </w:rPr>
        <w:t>How to Partition a Market</w:t>
      </w:r>
    </w:p>
    <w:p w:rsidR="00A54C47" w:rsidRPr="009C61B9" w:rsidRDefault="00A54C47" w:rsidP="00A54C47">
      <w:pPr>
        <w:pStyle w:val="NormalWeb"/>
        <w:shd w:val="clear" w:color="auto" w:fill="FFFFFF"/>
        <w:spacing w:after="120"/>
        <w:contextualSpacing/>
        <w:rPr>
          <w:color w:val="000000"/>
          <w:sz w:val="22"/>
          <w:szCs w:val="22"/>
        </w:rPr>
      </w:pPr>
      <w:r w:rsidRPr="009C61B9">
        <w:rPr>
          <w:i/>
          <w:color w:val="000000"/>
          <w:sz w:val="22"/>
          <w:szCs w:val="22"/>
        </w:rPr>
        <w:t>Original License</w:t>
      </w:r>
      <w:r w:rsidRPr="009C61B9">
        <w:rPr>
          <w:color w:val="000000"/>
          <w:sz w:val="22"/>
          <w:szCs w:val="22"/>
        </w:rPr>
        <w:t>:</w:t>
      </w:r>
      <w:r w:rsidRPr="009C61B9">
        <w:rPr>
          <w:color w:val="000000"/>
          <w:sz w:val="22"/>
          <w:szCs w:val="22"/>
        </w:rPr>
        <w:tab/>
      </w:r>
      <w:r w:rsidRPr="009C61B9">
        <w:rPr>
          <w:color w:val="000000"/>
          <w:sz w:val="22"/>
          <w:szCs w:val="22"/>
        </w:rPr>
        <w:tab/>
        <w:t>The call sign that includes the entire area authorized before partitioning.</w:t>
      </w:r>
    </w:p>
    <w:p w:rsidR="00A54C47" w:rsidRPr="009C61B9" w:rsidRDefault="00A54C47" w:rsidP="00A54C47">
      <w:pPr>
        <w:pStyle w:val="NormalWeb"/>
        <w:shd w:val="clear" w:color="auto" w:fill="FFFFFF"/>
        <w:spacing w:after="120"/>
        <w:contextualSpacing/>
        <w:rPr>
          <w:color w:val="000000"/>
          <w:sz w:val="22"/>
          <w:szCs w:val="22"/>
        </w:rPr>
      </w:pPr>
      <w:r w:rsidRPr="009C61B9">
        <w:rPr>
          <w:i/>
          <w:color w:val="000000"/>
          <w:sz w:val="22"/>
          <w:szCs w:val="22"/>
        </w:rPr>
        <w:t>Original Partitioned License</w:t>
      </w:r>
      <w:r w:rsidRPr="009C61B9">
        <w:rPr>
          <w:color w:val="000000"/>
          <w:sz w:val="22"/>
          <w:szCs w:val="22"/>
        </w:rPr>
        <w:t>:</w:t>
      </w:r>
      <w:r w:rsidRPr="009C61B9">
        <w:rPr>
          <w:color w:val="000000"/>
          <w:sz w:val="22"/>
          <w:szCs w:val="22"/>
        </w:rPr>
        <w:tab/>
        <w:t>The area that remains under the Original License after partitioning.</w:t>
      </w:r>
    </w:p>
    <w:p w:rsidR="00A54C47" w:rsidRPr="009C61B9" w:rsidRDefault="00A54C47" w:rsidP="00A54C47">
      <w:pPr>
        <w:pStyle w:val="NormalWeb"/>
        <w:shd w:val="clear" w:color="auto" w:fill="FFFFFF"/>
        <w:spacing w:after="120"/>
        <w:ind w:left="2880" w:hanging="2880"/>
        <w:contextualSpacing/>
        <w:rPr>
          <w:color w:val="000000"/>
          <w:sz w:val="22"/>
          <w:szCs w:val="22"/>
        </w:rPr>
      </w:pPr>
      <w:r w:rsidRPr="009C61B9">
        <w:rPr>
          <w:i/>
          <w:color w:val="000000"/>
          <w:sz w:val="22"/>
          <w:szCs w:val="22"/>
        </w:rPr>
        <w:t>Newly Partitioned Area</w:t>
      </w:r>
      <w:r w:rsidRPr="009C61B9">
        <w:rPr>
          <w:color w:val="000000"/>
          <w:sz w:val="22"/>
          <w:szCs w:val="22"/>
        </w:rPr>
        <w:t>:</w:t>
      </w:r>
      <w:r w:rsidRPr="009C61B9">
        <w:rPr>
          <w:color w:val="000000"/>
          <w:sz w:val="22"/>
          <w:szCs w:val="22"/>
        </w:rPr>
        <w:tab/>
        <w:t>The area that is partitioned from the Original License.</w:t>
      </w:r>
    </w:p>
    <w:p w:rsidR="00A54C47" w:rsidRPr="009C61B9" w:rsidRDefault="00A54C47" w:rsidP="00A54C47">
      <w:pPr>
        <w:pStyle w:val="NormalWeb"/>
        <w:shd w:val="clear" w:color="auto" w:fill="FFFFFF"/>
        <w:spacing w:after="120"/>
        <w:rPr>
          <w:color w:val="000000"/>
          <w:sz w:val="22"/>
          <w:szCs w:val="22"/>
        </w:rPr>
      </w:pPr>
      <w:r w:rsidRPr="009C61B9">
        <w:rPr>
          <w:i/>
          <w:color w:val="000000"/>
          <w:sz w:val="22"/>
          <w:szCs w:val="22"/>
        </w:rPr>
        <w:t>Newly Partitioned License</w:t>
      </w:r>
      <w:r w:rsidRPr="009C61B9">
        <w:rPr>
          <w:color w:val="000000"/>
          <w:sz w:val="22"/>
          <w:szCs w:val="22"/>
        </w:rPr>
        <w:t>:</w:t>
      </w:r>
      <w:r w:rsidRPr="009C61B9">
        <w:rPr>
          <w:color w:val="000000"/>
          <w:sz w:val="22"/>
          <w:szCs w:val="22"/>
        </w:rPr>
        <w:tab/>
        <w:t>The call sign that is assigned to the Newly Partitioned Area.</w:t>
      </w:r>
    </w:p>
    <w:p w:rsidR="00A54C47" w:rsidRPr="009C61B9" w:rsidRDefault="00A54C47" w:rsidP="008E4A42">
      <w:pPr>
        <w:pStyle w:val="NormalWeb"/>
        <w:shd w:val="clear" w:color="auto" w:fill="FFFFFF"/>
        <w:spacing w:after="120"/>
        <w:ind w:firstLine="360"/>
        <w:rPr>
          <w:color w:val="000000"/>
          <w:sz w:val="22"/>
          <w:szCs w:val="22"/>
        </w:rPr>
      </w:pPr>
      <w:r>
        <w:rPr>
          <w:color w:val="000000"/>
          <w:sz w:val="22"/>
          <w:szCs w:val="22"/>
        </w:rPr>
        <w:t xml:space="preserve">If </w:t>
      </w:r>
      <w:r>
        <w:rPr>
          <w:snapToGrid w:val="0"/>
          <w:kern w:val="28"/>
          <w:sz w:val="22"/>
          <w:szCs w:val="22"/>
        </w:rPr>
        <w:t>Licensee</w:t>
      </w:r>
      <w:r w:rsidRPr="004F2EDF">
        <w:rPr>
          <w:snapToGrid w:val="0"/>
          <w:kern w:val="28"/>
          <w:sz w:val="22"/>
          <w:szCs w:val="22"/>
        </w:rPr>
        <w:t xml:space="preserve"> </w:t>
      </w:r>
      <w:r>
        <w:rPr>
          <w:color w:val="000000"/>
          <w:sz w:val="22"/>
          <w:szCs w:val="22"/>
        </w:rPr>
        <w:t xml:space="preserve">elects to partition its license to meet substantial service, it must complete the following steps </w:t>
      </w:r>
      <w:r w:rsidRPr="009C61B9">
        <w:rPr>
          <w:color w:val="000000"/>
          <w:sz w:val="22"/>
          <w:szCs w:val="22"/>
        </w:rPr>
        <w:t xml:space="preserve">prior to </w:t>
      </w:r>
      <w:r>
        <w:rPr>
          <w:color w:val="000000"/>
          <w:sz w:val="22"/>
          <w:szCs w:val="22"/>
        </w:rPr>
        <w:t>its five-year construction deadline</w:t>
      </w:r>
      <w:r w:rsidRPr="009C61B9">
        <w:rPr>
          <w:color w:val="000000"/>
          <w:sz w:val="22"/>
          <w:szCs w:val="22"/>
        </w:rPr>
        <w:t xml:space="preserve">.  </w:t>
      </w:r>
    </w:p>
    <w:p w:rsidR="00A54C47" w:rsidRPr="009C61B9" w:rsidRDefault="00A54C47" w:rsidP="00A54C47">
      <w:pPr>
        <w:pStyle w:val="NormalWeb"/>
        <w:numPr>
          <w:ilvl w:val="0"/>
          <w:numId w:val="38"/>
        </w:numPr>
        <w:shd w:val="clear" w:color="auto" w:fill="FFFFFF"/>
        <w:spacing w:after="120"/>
        <w:contextualSpacing/>
        <w:rPr>
          <w:color w:val="000000"/>
          <w:sz w:val="22"/>
          <w:szCs w:val="22"/>
        </w:rPr>
      </w:pPr>
      <w:r w:rsidRPr="009C61B9">
        <w:rPr>
          <w:snapToGrid w:val="0"/>
          <w:kern w:val="28"/>
          <w:sz w:val="22"/>
          <w:szCs w:val="22"/>
        </w:rPr>
        <w:t xml:space="preserve">Submit, in ULS, a </w:t>
      </w:r>
      <w:r w:rsidRPr="009C61B9">
        <w:rPr>
          <w:i/>
          <w:snapToGrid w:val="0"/>
          <w:kern w:val="28"/>
          <w:sz w:val="22"/>
          <w:szCs w:val="22"/>
        </w:rPr>
        <w:t>pro forma</w:t>
      </w:r>
      <w:r w:rsidRPr="009C61B9">
        <w:rPr>
          <w:snapToGrid w:val="0"/>
          <w:kern w:val="28"/>
          <w:sz w:val="22"/>
          <w:szCs w:val="22"/>
        </w:rPr>
        <w:t xml:space="preserve"> forbearance notification on FCC Form 603 that partitions the Original License to </w:t>
      </w:r>
      <w:r w:rsidR="003778B5">
        <w:rPr>
          <w:snapToGrid w:val="0"/>
          <w:kern w:val="28"/>
          <w:sz w:val="22"/>
          <w:szCs w:val="22"/>
        </w:rPr>
        <w:t>Licensee</w:t>
      </w:r>
      <w:r w:rsidRPr="004F2EDF">
        <w:rPr>
          <w:snapToGrid w:val="0"/>
          <w:kern w:val="28"/>
          <w:sz w:val="22"/>
          <w:szCs w:val="22"/>
        </w:rPr>
        <w:t xml:space="preserve"> </w:t>
      </w:r>
      <w:r w:rsidRPr="009C61B9">
        <w:rPr>
          <w:snapToGrid w:val="0"/>
          <w:kern w:val="28"/>
          <w:sz w:val="22"/>
          <w:szCs w:val="22"/>
        </w:rPr>
        <w:t xml:space="preserve">either by entire county subdivisions or by undefined area </w:t>
      </w:r>
      <w:r w:rsidRPr="009C61B9">
        <w:rPr>
          <w:color w:val="000000"/>
          <w:sz w:val="22"/>
          <w:szCs w:val="22"/>
        </w:rPr>
        <w:t>(areas made up of partial counties or a mixture of entire and partial counties)</w:t>
      </w:r>
      <w:r w:rsidRPr="009C61B9">
        <w:rPr>
          <w:snapToGrid w:val="0"/>
          <w:kern w:val="28"/>
          <w:sz w:val="22"/>
          <w:szCs w:val="22"/>
        </w:rPr>
        <w:t xml:space="preserve">.  </w:t>
      </w:r>
    </w:p>
    <w:p w:rsidR="00A54C47" w:rsidRPr="009C61B9" w:rsidRDefault="00A54C47" w:rsidP="00A54C47">
      <w:pPr>
        <w:pStyle w:val="NormalWeb"/>
        <w:numPr>
          <w:ilvl w:val="0"/>
          <w:numId w:val="38"/>
        </w:numPr>
        <w:shd w:val="clear" w:color="auto" w:fill="FFFFFF"/>
        <w:spacing w:after="120"/>
        <w:contextualSpacing/>
        <w:rPr>
          <w:color w:val="000000"/>
          <w:sz w:val="22"/>
          <w:szCs w:val="22"/>
        </w:rPr>
      </w:pPr>
      <w:r w:rsidRPr="009C61B9">
        <w:rPr>
          <w:snapToGrid w:val="0"/>
          <w:kern w:val="28"/>
          <w:sz w:val="22"/>
          <w:szCs w:val="22"/>
        </w:rPr>
        <w:t xml:space="preserve">If </w:t>
      </w:r>
      <w:r>
        <w:rPr>
          <w:snapToGrid w:val="0"/>
          <w:kern w:val="28"/>
          <w:sz w:val="22"/>
          <w:szCs w:val="22"/>
        </w:rPr>
        <w:t>Licensee</w:t>
      </w:r>
      <w:r w:rsidRPr="004F2EDF">
        <w:rPr>
          <w:snapToGrid w:val="0"/>
          <w:kern w:val="28"/>
          <w:sz w:val="22"/>
          <w:szCs w:val="22"/>
        </w:rPr>
        <w:t xml:space="preserve"> </w:t>
      </w:r>
      <w:r w:rsidRPr="009C61B9">
        <w:rPr>
          <w:snapToGrid w:val="0"/>
          <w:kern w:val="28"/>
          <w:sz w:val="22"/>
          <w:szCs w:val="22"/>
        </w:rPr>
        <w:t xml:space="preserve">partitions by entire county subdivision, it must include in the </w:t>
      </w:r>
      <w:r w:rsidRPr="009C61B9">
        <w:rPr>
          <w:i/>
          <w:snapToGrid w:val="0"/>
          <w:kern w:val="28"/>
          <w:sz w:val="22"/>
          <w:szCs w:val="22"/>
        </w:rPr>
        <w:t>pro forma</w:t>
      </w:r>
      <w:r w:rsidRPr="009C61B9">
        <w:rPr>
          <w:snapToGrid w:val="0"/>
          <w:kern w:val="28"/>
          <w:sz w:val="22"/>
          <w:szCs w:val="22"/>
        </w:rPr>
        <w:t xml:space="preserve"> forbearance notification </w:t>
      </w:r>
      <w:r>
        <w:rPr>
          <w:snapToGrid w:val="0"/>
          <w:kern w:val="28"/>
          <w:sz w:val="22"/>
          <w:szCs w:val="22"/>
        </w:rPr>
        <w:t xml:space="preserve">two lists of counties:  </w:t>
      </w:r>
      <w:r w:rsidRPr="009C61B9">
        <w:rPr>
          <w:color w:val="000000"/>
          <w:sz w:val="22"/>
          <w:szCs w:val="22"/>
        </w:rPr>
        <w:t>a list of the counties that make up the Original Partitioned License and a list of counties that make up the Newly Partitioned Area.</w:t>
      </w:r>
    </w:p>
    <w:p w:rsidR="00A54C47" w:rsidRPr="009C61B9" w:rsidRDefault="00A54C47" w:rsidP="00A54C47">
      <w:pPr>
        <w:pStyle w:val="NormalWeb"/>
        <w:numPr>
          <w:ilvl w:val="0"/>
          <w:numId w:val="38"/>
        </w:numPr>
        <w:shd w:val="clear" w:color="auto" w:fill="FFFFFF"/>
        <w:spacing w:after="120"/>
        <w:contextualSpacing/>
        <w:rPr>
          <w:color w:val="000000"/>
          <w:sz w:val="22"/>
          <w:szCs w:val="22"/>
        </w:rPr>
      </w:pPr>
      <w:r w:rsidRPr="009C61B9">
        <w:rPr>
          <w:color w:val="000000"/>
          <w:sz w:val="22"/>
          <w:szCs w:val="22"/>
        </w:rPr>
        <w:t xml:space="preserve">If </w:t>
      </w:r>
      <w:r>
        <w:rPr>
          <w:snapToGrid w:val="0"/>
          <w:kern w:val="28"/>
          <w:sz w:val="22"/>
          <w:szCs w:val="22"/>
        </w:rPr>
        <w:t>Licensee</w:t>
      </w:r>
      <w:r w:rsidRPr="004F2EDF">
        <w:rPr>
          <w:snapToGrid w:val="0"/>
          <w:kern w:val="28"/>
          <w:sz w:val="22"/>
          <w:szCs w:val="22"/>
        </w:rPr>
        <w:t xml:space="preserve"> </w:t>
      </w:r>
      <w:r w:rsidRPr="009C61B9">
        <w:rPr>
          <w:color w:val="000000"/>
          <w:sz w:val="22"/>
          <w:szCs w:val="22"/>
        </w:rPr>
        <w:t>partitions by undefined area, it must use Shapefile, KML, Geojson, or pipe-delimited CSV files to designate the Newly Partitioned Area (based on 1990 county-equivalent boundaries).</w:t>
      </w:r>
    </w:p>
    <w:p w:rsidR="00A54C47" w:rsidRPr="009C61B9" w:rsidRDefault="00A54C47" w:rsidP="00A54C47">
      <w:pPr>
        <w:pStyle w:val="NormalWeb"/>
        <w:numPr>
          <w:ilvl w:val="0"/>
          <w:numId w:val="38"/>
        </w:numPr>
        <w:shd w:val="clear" w:color="auto" w:fill="FFFFFF"/>
        <w:spacing w:after="120"/>
        <w:contextualSpacing/>
        <w:rPr>
          <w:color w:val="000000"/>
          <w:sz w:val="22"/>
          <w:szCs w:val="22"/>
        </w:rPr>
      </w:pPr>
      <w:r>
        <w:rPr>
          <w:snapToGrid w:val="0"/>
          <w:kern w:val="28"/>
          <w:sz w:val="22"/>
          <w:szCs w:val="22"/>
        </w:rPr>
        <w:t xml:space="preserve">Licensee </w:t>
      </w:r>
      <w:r w:rsidRPr="009C61B9">
        <w:rPr>
          <w:color w:val="000000"/>
          <w:sz w:val="22"/>
          <w:szCs w:val="22"/>
        </w:rPr>
        <w:t>must</w:t>
      </w:r>
      <w:r>
        <w:rPr>
          <w:snapToGrid w:val="0"/>
          <w:kern w:val="28"/>
          <w:sz w:val="22"/>
          <w:szCs w:val="22"/>
        </w:rPr>
        <w:t xml:space="preserve"> retain</w:t>
      </w:r>
      <w:r w:rsidRPr="009C61B9">
        <w:rPr>
          <w:color w:val="000000"/>
          <w:sz w:val="22"/>
          <w:szCs w:val="22"/>
        </w:rPr>
        <w:t xml:space="preserve"> responsibility for meeting the construction requirements for both the Original Partitioned License and Newly Partitioned License.</w:t>
      </w:r>
      <w:r>
        <w:rPr>
          <w:rStyle w:val="FootnoteReference"/>
          <w:color w:val="000000"/>
          <w:sz w:val="22"/>
          <w:szCs w:val="22"/>
        </w:rPr>
        <w:footnoteReference w:id="26"/>
      </w:r>
    </w:p>
    <w:p w:rsidR="00A54C47" w:rsidRPr="009C61B9" w:rsidRDefault="00A54C47" w:rsidP="00A54C47">
      <w:pPr>
        <w:pStyle w:val="NormalWeb"/>
        <w:numPr>
          <w:ilvl w:val="0"/>
          <w:numId w:val="38"/>
        </w:numPr>
        <w:shd w:val="clear" w:color="auto" w:fill="FFFFFF"/>
        <w:spacing w:after="120"/>
        <w:contextualSpacing/>
        <w:rPr>
          <w:color w:val="000000"/>
          <w:sz w:val="22"/>
          <w:szCs w:val="22"/>
        </w:rPr>
      </w:pPr>
      <w:r w:rsidRPr="009C61B9">
        <w:rPr>
          <w:snapToGrid w:val="0"/>
          <w:kern w:val="28"/>
          <w:sz w:val="22"/>
          <w:szCs w:val="22"/>
        </w:rPr>
        <w:t xml:space="preserve">Once the </w:t>
      </w:r>
      <w:r w:rsidRPr="009C61B9">
        <w:rPr>
          <w:i/>
          <w:snapToGrid w:val="0"/>
          <w:kern w:val="28"/>
          <w:sz w:val="22"/>
          <w:szCs w:val="22"/>
        </w:rPr>
        <w:t>pro forma</w:t>
      </w:r>
      <w:r w:rsidRPr="009C61B9">
        <w:rPr>
          <w:snapToGrid w:val="0"/>
          <w:kern w:val="28"/>
          <w:sz w:val="22"/>
          <w:szCs w:val="22"/>
        </w:rPr>
        <w:t xml:space="preserve"> forbearance notification is accepted, ULS will assign the Newly Partitioned Area a new call sign. </w:t>
      </w:r>
    </w:p>
    <w:p w:rsidR="00A54C47" w:rsidRPr="002B022F" w:rsidRDefault="00FD5360" w:rsidP="00A54C47">
      <w:pPr>
        <w:pStyle w:val="NormalWeb"/>
        <w:numPr>
          <w:ilvl w:val="0"/>
          <w:numId w:val="38"/>
        </w:numPr>
        <w:shd w:val="clear" w:color="auto" w:fill="FFFFFF"/>
        <w:spacing w:after="120"/>
        <w:rPr>
          <w:color w:val="000000"/>
          <w:sz w:val="22"/>
          <w:szCs w:val="22"/>
        </w:rPr>
      </w:pPr>
      <w:r>
        <w:rPr>
          <w:snapToGrid w:val="0"/>
          <w:kern w:val="28"/>
          <w:sz w:val="22"/>
          <w:szCs w:val="22"/>
        </w:rPr>
        <w:t xml:space="preserve">Licensee </w:t>
      </w:r>
      <w:r w:rsidR="00A54C47" w:rsidRPr="009C61B9">
        <w:rPr>
          <w:snapToGrid w:val="0"/>
          <w:kern w:val="28"/>
          <w:sz w:val="22"/>
          <w:szCs w:val="22"/>
        </w:rPr>
        <w:t xml:space="preserve">must cancel, through ULS, the call sign for the Newly Partitioned License.  </w:t>
      </w:r>
    </w:p>
    <w:p w:rsidR="006E4393" w:rsidRPr="00FD5360" w:rsidRDefault="00A54C47" w:rsidP="008E4A42">
      <w:pPr>
        <w:pStyle w:val="NormalWeb"/>
        <w:shd w:val="clear" w:color="auto" w:fill="FFFFFF"/>
        <w:spacing w:after="120"/>
        <w:ind w:firstLine="360"/>
        <w:contextualSpacing/>
        <w:rPr>
          <w:snapToGrid w:val="0"/>
          <w:kern w:val="28"/>
          <w:sz w:val="22"/>
          <w:szCs w:val="22"/>
        </w:rPr>
      </w:pPr>
      <w:r w:rsidRPr="009C61B9">
        <w:rPr>
          <w:snapToGrid w:val="0"/>
          <w:kern w:val="28"/>
          <w:sz w:val="22"/>
          <w:szCs w:val="22"/>
        </w:rPr>
        <w:t xml:space="preserve">Once the Original Partitioned License is established and the Newly Partitioned License is cancelled, </w:t>
      </w:r>
      <w:r w:rsidR="00FD5360">
        <w:rPr>
          <w:snapToGrid w:val="0"/>
          <w:kern w:val="28"/>
          <w:sz w:val="22"/>
          <w:szCs w:val="22"/>
        </w:rPr>
        <w:t xml:space="preserve">Licensee </w:t>
      </w:r>
      <w:r w:rsidRPr="009C61B9">
        <w:rPr>
          <w:snapToGrid w:val="0"/>
          <w:kern w:val="28"/>
          <w:sz w:val="22"/>
          <w:szCs w:val="22"/>
        </w:rPr>
        <w:t>must submit a construction notification for the Original Partitioned License that includes a substantial service showing for</w:t>
      </w:r>
      <w:r>
        <w:rPr>
          <w:snapToGrid w:val="0"/>
          <w:kern w:val="28"/>
          <w:sz w:val="22"/>
          <w:szCs w:val="22"/>
        </w:rPr>
        <w:t xml:space="preserve"> each call sign.</w:t>
      </w:r>
    </w:p>
    <w:sectPr w:rsidR="006E4393" w:rsidRPr="00FD5360" w:rsidSect="004365A8">
      <w:headerReference w:type="even" r:id="rId10"/>
      <w:headerReference w:type="default" r:id="rId11"/>
      <w:footerReference w:type="even" r:id="rId12"/>
      <w:footerReference w:type="default" r:id="rId13"/>
      <w:headerReference w:type="first" r:id="rId14"/>
      <w:footerReference w:type="first" r:id="rId15"/>
      <w:pgSz w:w="12240" w:h="15840" w:code="1"/>
      <w:pgMar w:top="126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F0" w:rsidRDefault="009C4AF0">
      <w:r>
        <w:separator/>
      </w:r>
    </w:p>
  </w:endnote>
  <w:endnote w:type="continuationSeparator" w:id="0">
    <w:p w:rsidR="009C4AF0" w:rsidRDefault="009C4AF0">
      <w:r>
        <w:continuationSeparator/>
      </w:r>
    </w:p>
  </w:endnote>
  <w:endnote w:type="continuationNotice" w:id="1">
    <w:p w:rsidR="009C4AF0" w:rsidRDefault="009C4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61" w:rsidRDefault="00AF6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64475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61" w:rsidRDefault="00AF6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F0" w:rsidRDefault="009C4AF0">
      <w:r>
        <w:separator/>
      </w:r>
    </w:p>
  </w:footnote>
  <w:footnote w:type="continuationSeparator" w:id="0">
    <w:p w:rsidR="009C4AF0" w:rsidRDefault="009C4AF0">
      <w:r>
        <w:continuationSeparator/>
      </w:r>
    </w:p>
  </w:footnote>
  <w:footnote w:type="continuationNotice" w:id="1">
    <w:p w:rsidR="009C4AF0" w:rsidRDefault="009C4AF0"/>
  </w:footnote>
  <w:footnote w:id="2">
    <w:p w:rsidR="00AE5373" w:rsidRPr="00773668" w:rsidRDefault="00AE5373" w:rsidP="00AE5373">
      <w:pPr>
        <w:pStyle w:val="FootnoteText"/>
      </w:pPr>
      <w:r w:rsidRPr="00773668">
        <w:rPr>
          <w:rStyle w:val="FootnoteReference"/>
        </w:rPr>
        <w:footnoteRef/>
      </w:r>
      <w:r w:rsidRPr="00773668">
        <w:t xml:space="preserve"> The Commission granted </w:t>
      </w:r>
      <w:r>
        <w:t>3,104</w:t>
      </w:r>
      <w:r w:rsidRPr="00773668">
        <w:t xml:space="preserve"> Major Economic Area (MEA) and Economic Area (EA) paging licenses as a result of Auction 95, which closed in August 6, 2013.  In Auction 95, 33 Bidders won 3,104 Licenses.  </w:t>
      </w:r>
      <w:r w:rsidRPr="00773668">
        <w:rPr>
          <w:i/>
        </w:rPr>
        <w:t>Auction of Lower and Upper Paging Bands Licenses Closes; Winning Bidders Announced for Auction 95</w:t>
      </w:r>
      <w:r>
        <w:t>, Public Notice, 28 </w:t>
      </w:r>
      <w:r w:rsidRPr="00773668">
        <w:t>FCC Rcd 11848 (Aug. 9, 2013).</w:t>
      </w:r>
      <w:r>
        <w:t xml:space="preserve">  The three-year construction deadline for 3,060 Auction 95 licenses is November 1, 2016, and the deadline for another 24 licenses is November 13, 2016.  The three-year construction deadline for the remaining 20 Auction 95 licenses is January 16, 2018.</w:t>
      </w:r>
    </w:p>
  </w:footnote>
  <w:footnote w:id="3">
    <w:p w:rsidR="003F41E6" w:rsidRPr="00773668" w:rsidRDefault="003F41E6" w:rsidP="003F38BA">
      <w:pPr>
        <w:pStyle w:val="FootnoteText"/>
      </w:pPr>
      <w:r w:rsidRPr="00773668">
        <w:rPr>
          <w:rStyle w:val="FootnoteReference"/>
        </w:rPr>
        <w:footnoteRef/>
      </w:r>
      <w:r w:rsidRPr="00773668">
        <w:t xml:space="preserve"> 47 CFR §</w:t>
      </w:r>
      <w:r w:rsidR="00636732">
        <w:t> </w:t>
      </w:r>
      <w:r w:rsidRPr="00773668">
        <w:t xml:space="preserve">22.503(k)(1).  </w:t>
      </w:r>
    </w:p>
  </w:footnote>
  <w:footnote w:id="4">
    <w:p w:rsidR="00647A0B" w:rsidRPr="00773668" w:rsidRDefault="00647A0B" w:rsidP="00647A0B">
      <w:pPr>
        <w:pStyle w:val="FootnoteText"/>
      </w:pPr>
      <w:r w:rsidRPr="00773668">
        <w:rPr>
          <w:rStyle w:val="FootnoteReference"/>
        </w:rPr>
        <w:footnoteRef/>
      </w:r>
      <w:r w:rsidRPr="00773668">
        <w:t xml:space="preserve"> </w:t>
      </w:r>
      <w:r w:rsidRPr="00872274">
        <w:rPr>
          <w:i/>
        </w:rPr>
        <w:t>Id</w:t>
      </w:r>
      <w:r w:rsidRPr="00773668">
        <w:t>. §</w:t>
      </w:r>
      <w:r>
        <w:t> </w:t>
      </w:r>
      <w:r w:rsidRPr="00773668">
        <w:t>22.503(k)(2).</w:t>
      </w:r>
    </w:p>
  </w:footnote>
  <w:footnote w:id="5">
    <w:p w:rsidR="00647A0B" w:rsidRPr="00773668" w:rsidRDefault="00647A0B" w:rsidP="00647A0B">
      <w:pPr>
        <w:pStyle w:val="FootnoteText"/>
      </w:pPr>
      <w:r w:rsidRPr="00773668">
        <w:rPr>
          <w:rStyle w:val="FootnoteReference"/>
        </w:rPr>
        <w:footnoteRef/>
      </w:r>
      <w:r w:rsidRPr="00773668">
        <w:t xml:space="preserve"> </w:t>
      </w:r>
      <w:r w:rsidRPr="00872274">
        <w:rPr>
          <w:i/>
        </w:rPr>
        <w:t>Id</w:t>
      </w:r>
      <w:r w:rsidRPr="00773668">
        <w:t>. §</w:t>
      </w:r>
      <w:r>
        <w:t> </w:t>
      </w:r>
      <w:r w:rsidRPr="00773668">
        <w:t>22.503(k)(2)</w:t>
      </w:r>
      <w:r>
        <w:t>-(k)(3)</w:t>
      </w:r>
      <w:r w:rsidRPr="00773668">
        <w:t>.</w:t>
      </w:r>
    </w:p>
  </w:footnote>
  <w:footnote w:id="6">
    <w:p w:rsidR="00F36A3F" w:rsidRPr="00773668" w:rsidRDefault="00F36A3F" w:rsidP="00F36A3F">
      <w:pPr>
        <w:pStyle w:val="FootnoteText"/>
      </w:pPr>
      <w:r w:rsidRPr="00773668">
        <w:rPr>
          <w:rStyle w:val="FootnoteReference"/>
        </w:rPr>
        <w:footnoteRef/>
      </w:r>
      <w:r w:rsidRPr="00773668">
        <w:t xml:space="preserve"> </w:t>
      </w:r>
      <w:r>
        <w:rPr>
          <w:i/>
        </w:rPr>
        <w:t>I</w:t>
      </w:r>
      <w:r w:rsidRPr="00773668">
        <w:rPr>
          <w:i/>
        </w:rPr>
        <w:t>d</w:t>
      </w:r>
      <w:r w:rsidRPr="00773668">
        <w:t>. §</w:t>
      </w:r>
      <w:r>
        <w:t> </w:t>
      </w:r>
      <w:r w:rsidRPr="00773668">
        <w:t>22.503(k)(1)</w:t>
      </w:r>
      <w:r>
        <w:t xml:space="preserve">; </w:t>
      </w:r>
      <w:r w:rsidRPr="004236AA">
        <w:rPr>
          <w:i/>
        </w:rPr>
        <w:t>see id</w:t>
      </w:r>
      <w:r>
        <w:t xml:space="preserve">. </w:t>
      </w:r>
      <w:r w:rsidRPr="00773668">
        <w:t>§</w:t>
      </w:r>
      <w:r>
        <w:t> 1.946(d) (requiring licensees that met coverage or substantial service obligations within the coverage period to notify the Commission by filing FCC Form 601 within 15 days of the expiration of the applicable coverage period)</w:t>
      </w:r>
      <w:r w:rsidRPr="00773668">
        <w:t>.</w:t>
      </w:r>
    </w:p>
  </w:footnote>
  <w:footnote w:id="7">
    <w:p w:rsidR="00902EC8" w:rsidRDefault="00902EC8" w:rsidP="00902EC8">
      <w:pPr>
        <w:pStyle w:val="FootnoteText"/>
      </w:pPr>
      <w:r>
        <w:rPr>
          <w:rStyle w:val="FootnoteReference"/>
        </w:rPr>
        <w:footnoteRef/>
      </w:r>
      <w:r>
        <w:t xml:space="preserve"> </w:t>
      </w:r>
      <w:r w:rsidRPr="00773668">
        <w:rPr>
          <w:i/>
        </w:rPr>
        <w:t>Id</w:t>
      </w:r>
      <w:r w:rsidRPr="00773668">
        <w:t>. §</w:t>
      </w:r>
      <w:r w:rsidR="00636732">
        <w:t> </w:t>
      </w:r>
      <w:r w:rsidRPr="00773668">
        <w:t>22.503(k)(3).</w:t>
      </w:r>
    </w:p>
  </w:footnote>
  <w:footnote w:id="8">
    <w:p w:rsidR="003F41E6" w:rsidRPr="00773668" w:rsidRDefault="003F41E6" w:rsidP="003F38BA">
      <w:pPr>
        <w:pStyle w:val="FootnoteText"/>
      </w:pPr>
      <w:r w:rsidRPr="00773668">
        <w:rPr>
          <w:rStyle w:val="FootnoteReference"/>
        </w:rPr>
        <w:footnoteRef/>
      </w:r>
      <w:r w:rsidRPr="00773668">
        <w:t xml:space="preserve"> </w:t>
      </w:r>
      <w:r w:rsidR="00712D0C" w:rsidRPr="00712D0C">
        <w:rPr>
          <w:i/>
        </w:rPr>
        <w:t>Id</w:t>
      </w:r>
      <w:r w:rsidR="00712D0C">
        <w:t>.</w:t>
      </w:r>
      <w:r w:rsidR="00E11988">
        <w:t xml:space="preserve"> </w:t>
      </w:r>
      <w:r w:rsidRPr="00773668">
        <w:t>§</w:t>
      </w:r>
      <w:r w:rsidR="00636732">
        <w:t> </w:t>
      </w:r>
      <w:r w:rsidRPr="00773668">
        <w:t xml:space="preserve">1.946(c); </w:t>
      </w:r>
      <w:r w:rsidRPr="00872274">
        <w:rPr>
          <w:i/>
        </w:rPr>
        <w:t>see id</w:t>
      </w:r>
      <w:r w:rsidRPr="00773668">
        <w:t>. §§ 1.955(a)(2) (providing that “authorizations automatically terminate (in whole or in part as set forth in the service rules), without specific Commission action, if the licensee fails to meet applicable construction or coverage requirements (citing § 1.946(c))”); 22.503(k) (providing that failure by an MEA or EA licensee to meet either the three-year or five-year coverage requirements, or alternatively, the substantial service requirements no later than five years after initial grant of the authorization, will result in automatic termination of authorizations for those facilities that were not authorized, constructed, and operating at the time the geographic area authorization was granted).</w:t>
      </w:r>
    </w:p>
  </w:footnote>
  <w:footnote w:id="9">
    <w:p w:rsidR="003F41E6" w:rsidRPr="00773668" w:rsidRDefault="003F41E6" w:rsidP="003F38BA">
      <w:pPr>
        <w:pStyle w:val="FootnoteText"/>
      </w:pPr>
      <w:r w:rsidRPr="00773668">
        <w:rPr>
          <w:rStyle w:val="FootnoteReference"/>
        </w:rPr>
        <w:footnoteRef/>
      </w:r>
      <w:r w:rsidRPr="00773668">
        <w:t xml:space="preserve"> </w:t>
      </w:r>
      <w:r w:rsidRPr="00773668">
        <w:rPr>
          <w:i/>
        </w:rPr>
        <w:t>See</w:t>
      </w:r>
      <w:r w:rsidRPr="00773668">
        <w:t xml:space="preserve"> </w:t>
      </w:r>
      <w:r w:rsidRPr="002B5E7C">
        <w:rPr>
          <w:i/>
        </w:rPr>
        <w:t>ATT:</w:t>
      </w:r>
      <w:r w:rsidR="002B5E7C">
        <w:rPr>
          <w:i/>
        </w:rPr>
        <w:t xml:space="preserve"> </w:t>
      </w:r>
      <w:r w:rsidRPr="002B5E7C">
        <w:rPr>
          <w:i/>
        </w:rPr>
        <w:t xml:space="preserve">JEFF SOHN, </w:t>
      </w:r>
      <w:r w:rsidRPr="002B5E7C">
        <w:t>Letter</w:t>
      </w:r>
      <w:r w:rsidRPr="00773668">
        <w:t>, 27 FCC Rcd 586</w:t>
      </w:r>
      <w:r w:rsidR="0040533E">
        <w:t>4, 5865 (WTB MD, May 31, 2012)</w:t>
      </w:r>
      <w:r w:rsidRPr="00773668">
        <w:t xml:space="preserve"> (</w:t>
      </w:r>
      <w:r w:rsidRPr="00773668">
        <w:rPr>
          <w:i/>
        </w:rPr>
        <w:t xml:space="preserve">citing </w:t>
      </w:r>
      <w:r w:rsidRPr="00773668">
        <w:t>Section 22.5</w:t>
      </w:r>
      <w:r w:rsidR="00636732">
        <w:t>03(k)(2)</w:t>
      </w:r>
      <w:r w:rsidR="00636732">
        <w:noBreakHyphen/>
        <w:t>(3) of the Rules, 47 C</w:t>
      </w:r>
      <w:r w:rsidRPr="00773668">
        <w:t>FR §</w:t>
      </w:r>
      <w:r w:rsidR="00636732">
        <w:t> </w:t>
      </w:r>
      <w:r w:rsidRPr="00773668">
        <w:t xml:space="preserve">22.503(k)(2)-(3), and </w:t>
      </w:r>
      <w:r w:rsidRPr="00E7386F">
        <w:rPr>
          <w:i/>
        </w:rPr>
        <w:t>Cingular Interactive, L.P., Showing of Substantial Service Pursuant to Section 90.665(c)</w:t>
      </w:r>
      <w:r w:rsidRPr="00773668">
        <w:t>, File No.0000226552</w:t>
      </w:r>
      <w:r w:rsidRPr="00773668">
        <w:rPr>
          <w:i/>
        </w:rPr>
        <w:t xml:space="preserve">, </w:t>
      </w:r>
      <w:r w:rsidRPr="00E7386F">
        <w:t>Order</w:t>
      </w:r>
      <w:r w:rsidRPr="00773668">
        <w:t>, 16</w:t>
      </w:r>
      <w:r w:rsidR="00636732">
        <w:t> </w:t>
      </w:r>
      <w:r w:rsidRPr="00773668">
        <w:t>FCC Rcd 19200, 19203 (WTB 2001)</w:t>
      </w:r>
      <w:r w:rsidR="00E7386F">
        <w:t>)</w:t>
      </w:r>
      <w:r w:rsidRPr="00773668">
        <w:t xml:space="preserve">.  </w:t>
      </w:r>
    </w:p>
  </w:footnote>
  <w:footnote w:id="10">
    <w:p w:rsidR="003F38BA" w:rsidRPr="00E03281" w:rsidRDefault="00924FFD" w:rsidP="003F38BA">
      <w:pPr>
        <w:pStyle w:val="FootnoteText"/>
        <w:rPr>
          <w:szCs w:val="22"/>
        </w:rPr>
      </w:pPr>
      <w:r>
        <w:rPr>
          <w:rStyle w:val="FootnoteReference"/>
        </w:rPr>
        <w:footnoteRef/>
      </w:r>
      <w:r>
        <w:t xml:space="preserve"> </w:t>
      </w:r>
      <w:r w:rsidR="00D22598">
        <w:t xml:space="preserve">In particular, </w:t>
      </w:r>
      <w:r w:rsidR="00712D0C">
        <w:t xml:space="preserve">frequencies </w:t>
      </w:r>
      <w:r w:rsidR="00712D0C" w:rsidRPr="00CA27EF">
        <w:t xml:space="preserve">in the 30-174 MHz and 450-470 MHz bands (VHF and UHF Frequency Bands) along the </w:t>
      </w:r>
      <w:r w:rsidR="00E03281" w:rsidRPr="00924FFD">
        <w:rPr>
          <w:szCs w:val="22"/>
        </w:rPr>
        <w:t xml:space="preserve">U.S.-Canada border may not be assigned in the United States north of “Line A” without prior coordination with and approval from Industry Canada pursuant to </w:t>
      </w:r>
      <w:r w:rsidR="00E03281">
        <w:t xml:space="preserve">the </w:t>
      </w:r>
      <w:r w:rsidR="00E03281" w:rsidRPr="00E03281">
        <w:rPr>
          <w:i/>
        </w:rPr>
        <w:t>Exchange of Notes Between the Government of Canada and the Government of the United States of America Concerning the Coordination and Use of Radio Frequencies Above Thirty Megacycles Per Second</w:t>
      </w:r>
      <w:r w:rsidR="00E03281" w:rsidRPr="002E19FD">
        <w:t xml:space="preserve"> </w:t>
      </w:r>
      <w:r w:rsidR="00E03281">
        <w:t>(</w:t>
      </w:r>
      <w:r w:rsidR="00E03281" w:rsidRPr="002E19FD">
        <w:t>October 24, 1962</w:t>
      </w:r>
      <w:r w:rsidR="00E03281">
        <w:t>) (</w:t>
      </w:r>
      <w:r w:rsidR="00E03281" w:rsidRPr="003F38BA">
        <w:rPr>
          <w:i/>
        </w:rPr>
        <w:t>Above 30 MHz Agreement</w:t>
      </w:r>
      <w:r w:rsidR="00E03281">
        <w:t>)</w:t>
      </w:r>
      <w:r w:rsidR="00E03281" w:rsidRPr="002E19FD">
        <w:t xml:space="preserve">.  </w:t>
      </w:r>
      <w:r w:rsidR="00E03281" w:rsidRPr="00482321">
        <w:rPr>
          <w:i/>
        </w:rPr>
        <w:t>See</w:t>
      </w:r>
      <w:r w:rsidR="00E03281">
        <w:t xml:space="preserve"> 47 CFR</w:t>
      </w:r>
      <w:r w:rsidR="00E03281" w:rsidRPr="00482321">
        <w:t xml:space="preserve"> § 1.928(a).</w:t>
      </w:r>
      <w:r w:rsidR="00E03281">
        <w:t xml:space="preserve">  </w:t>
      </w:r>
      <w:r w:rsidR="00E03281" w:rsidRPr="00482321">
        <w:t xml:space="preserve">The coordination zones for the VHF </w:t>
      </w:r>
      <w:r w:rsidR="00C95F9A">
        <w:t xml:space="preserve">and UHF </w:t>
      </w:r>
      <w:r w:rsidR="00E03281" w:rsidRPr="00482321">
        <w:t xml:space="preserve">Frequency Bands are defined by Lines A, B, C, and D.  </w:t>
      </w:r>
      <w:r w:rsidR="00E03281" w:rsidRPr="001F25B5">
        <w:rPr>
          <w:i/>
        </w:rPr>
        <w:t>Id</w:t>
      </w:r>
      <w:r w:rsidR="00E03281">
        <w:t>. at § 2(a).  “</w:t>
      </w:r>
      <w:r w:rsidR="00E03281" w:rsidRPr="001F25B5">
        <w:t xml:space="preserve">Line A” defines the coordination zone in the U.S. along the border between Canada and the lower 48 states of the United States and begins at Aberdeen, Washington and terminates at the southernmost point of </w:t>
      </w:r>
      <w:r w:rsidR="00E03281">
        <w:t>Bangor</w:t>
      </w:r>
      <w:r w:rsidR="00E03281" w:rsidRPr="001F25B5">
        <w:t xml:space="preserve">, Maine.  </w:t>
      </w:r>
      <w:r w:rsidR="00E03281" w:rsidRPr="001F25B5">
        <w:rPr>
          <w:i/>
        </w:rPr>
        <w:t>Id</w:t>
      </w:r>
      <w:r w:rsidR="00E03281">
        <w:t xml:space="preserve">.; </w:t>
      </w:r>
      <w:r w:rsidR="00E03281" w:rsidRPr="001F25B5">
        <w:rPr>
          <w:i/>
        </w:rPr>
        <w:t>see</w:t>
      </w:r>
      <w:r w:rsidR="00E03281">
        <w:t xml:space="preserve"> 47 CFR </w:t>
      </w:r>
      <w:r w:rsidR="00E03281" w:rsidRPr="001F25B5">
        <w:t>§§ 1.928(e) and 90.7 (defining “Line A”).</w:t>
      </w:r>
      <w:r w:rsidR="00E03281" w:rsidRPr="00924FFD">
        <w:rPr>
          <w:szCs w:val="22"/>
        </w:rPr>
        <w:t xml:space="preserve"> </w:t>
      </w:r>
      <w:r w:rsidR="00636732">
        <w:rPr>
          <w:szCs w:val="22"/>
        </w:rPr>
        <w:t xml:space="preserve"> </w:t>
      </w:r>
      <w:r w:rsidR="003F38BA" w:rsidRPr="00924FFD">
        <w:rPr>
          <w:szCs w:val="22"/>
        </w:rPr>
        <w:t xml:space="preserve">Under the </w:t>
      </w:r>
      <w:r w:rsidR="003F38BA" w:rsidRPr="003F38BA">
        <w:rPr>
          <w:i/>
        </w:rPr>
        <w:t>Above 30 MHz Agreement</w:t>
      </w:r>
      <w:r w:rsidR="003F38BA" w:rsidRPr="00924FFD">
        <w:rPr>
          <w:szCs w:val="22"/>
        </w:rPr>
        <w:t>, both the United States and Canada have equal access to the entire VHF Frequency Band and assignments for those frequencies are made on a first-come, first-served basis.</w:t>
      </w:r>
      <w:r w:rsidR="003F38BA">
        <w:rPr>
          <w:szCs w:val="22"/>
        </w:rPr>
        <w:t xml:space="preserve">  </w:t>
      </w:r>
      <w:r w:rsidR="003F38BA" w:rsidRPr="00454F4E">
        <w:rPr>
          <w:i/>
        </w:rPr>
        <w:t>Above 30 MHz Agreement</w:t>
      </w:r>
      <w:r w:rsidR="003F38BA">
        <w:t xml:space="preserve"> at Arrangement A; </w:t>
      </w:r>
      <w:r w:rsidR="003F38BA">
        <w:rPr>
          <w:i/>
        </w:rPr>
        <w:t>s</w:t>
      </w:r>
      <w:r w:rsidR="003F38BA" w:rsidRPr="009972C7">
        <w:rPr>
          <w:i/>
        </w:rPr>
        <w:t>ee</w:t>
      </w:r>
      <w:r w:rsidR="003F38BA" w:rsidRPr="009972C7">
        <w:t xml:space="preserve"> 4</w:t>
      </w:r>
      <w:r w:rsidR="003F38BA">
        <w:t>7 CFR</w:t>
      </w:r>
      <w:r w:rsidR="003F38BA" w:rsidRPr="009972C7">
        <w:t xml:space="preserve"> § 22.169.</w:t>
      </w:r>
    </w:p>
  </w:footnote>
  <w:footnote w:id="11">
    <w:p w:rsidR="00B87DA5" w:rsidRDefault="00B87DA5" w:rsidP="00B87DA5">
      <w:pPr>
        <w:pStyle w:val="FootnoteText"/>
      </w:pPr>
      <w:r>
        <w:rPr>
          <w:rStyle w:val="FootnoteReference"/>
        </w:rPr>
        <w:footnoteRef/>
      </w:r>
      <w:r>
        <w:t xml:space="preserve"> </w:t>
      </w:r>
      <w:r w:rsidRPr="00924FFD">
        <w:rPr>
          <w:szCs w:val="22"/>
        </w:rPr>
        <w:t>Before the Commission takes final action on an application for a new or modified U.S. frequency assignment in the coordination zone, the data from the application is referred to Industry Canada as a coordination proposal through the Canadian Co-Channel Serial Coordination System (COSER).  Canada approves or rejects a U.S. coordination proposal based on whether harmful interference to an incumbent station in Canada is likely to occur from the proposed U.S. assignment.</w:t>
      </w:r>
      <w:r>
        <w:rPr>
          <w:szCs w:val="22"/>
        </w:rPr>
        <w:t xml:space="preserve">  </w:t>
      </w:r>
      <w:r w:rsidRPr="007B1F10">
        <w:rPr>
          <w:i/>
        </w:rPr>
        <w:t>See</w:t>
      </w:r>
      <w:r>
        <w:t xml:space="preserve"> </w:t>
      </w:r>
      <w:r w:rsidRPr="00454F4E">
        <w:rPr>
          <w:i/>
        </w:rPr>
        <w:t>Above 30 MHz Agreement</w:t>
      </w:r>
      <w:r>
        <w:t xml:space="preserve">, Arrangement A at </w:t>
      </w:r>
      <w:r w:rsidRPr="007B1F10">
        <w:t>§</w:t>
      </w:r>
      <w:r>
        <w:t> 4</w:t>
      </w:r>
      <w:r w:rsidRPr="007B1F10">
        <w:t>(a)</w:t>
      </w:r>
      <w:r>
        <w:t xml:space="preserve">; </w:t>
      </w:r>
      <w:r w:rsidRPr="00985BCE">
        <w:rPr>
          <w:i/>
        </w:rPr>
        <w:t>see also</w:t>
      </w:r>
      <w:r>
        <w:t xml:space="preserve"> </w:t>
      </w:r>
      <w:r w:rsidRPr="00E16C36">
        <w:rPr>
          <w:i/>
        </w:rPr>
        <w:t>Public Safety and Homeland Security Bureau, Wireless Telecommunications Bureau, and International Bureau Provide Guidance to Part 22 and Part 90 Applicants Seeking VHF and UHF Frequencies Along the U.S. – Canada Border</w:t>
      </w:r>
      <w:r>
        <w:t xml:space="preserve">, </w:t>
      </w:r>
      <w:r w:rsidRPr="00E16C36">
        <w:t>Public Notice</w:t>
      </w:r>
      <w:r>
        <w:t xml:space="preserve">, 24 FCC Rcd 5578, 5579 (PSHSB/WTB/IB 2009).  </w:t>
      </w:r>
    </w:p>
  </w:footnote>
  <w:footnote w:id="12">
    <w:p w:rsidR="009865BD" w:rsidRPr="00773668" w:rsidRDefault="009865BD" w:rsidP="009865BD">
      <w:pPr>
        <w:pStyle w:val="FootnoteText"/>
      </w:pPr>
      <w:r w:rsidRPr="00773668">
        <w:rPr>
          <w:rStyle w:val="FootnoteReference"/>
        </w:rPr>
        <w:footnoteRef/>
      </w:r>
      <w:r w:rsidRPr="00773668">
        <w:t xml:space="preserve"> 47 </w:t>
      </w:r>
      <w:r w:rsidR="002F23E7">
        <w:t>CFR</w:t>
      </w:r>
      <w:r w:rsidRPr="00773668">
        <w:t xml:space="preserve"> § 22.503(k)(1).  </w:t>
      </w:r>
    </w:p>
  </w:footnote>
  <w:footnote w:id="13">
    <w:p w:rsidR="003F41E6" w:rsidRPr="00773668" w:rsidRDefault="003F41E6" w:rsidP="003F38BA">
      <w:pPr>
        <w:pStyle w:val="FootnoteText"/>
      </w:pPr>
      <w:r w:rsidRPr="00773668">
        <w:rPr>
          <w:rStyle w:val="FootnoteReference"/>
        </w:rPr>
        <w:footnoteRef/>
      </w:r>
      <w:r w:rsidRPr="00773668">
        <w:t xml:space="preserve"> </w:t>
      </w:r>
      <w:r w:rsidR="00724124" w:rsidRPr="00724124">
        <w:t>Uniform population and geographic area distribution throughout a county is not permitted.  For example, 67 percent coverage by a service contour of the geographic area of a county does not automatically equate to 67 percent coverage of the population of that county.</w:t>
      </w:r>
    </w:p>
  </w:footnote>
  <w:footnote w:id="14">
    <w:p w:rsidR="009865BD" w:rsidRPr="00773668" w:rsidRDefault="009865BD" w:rsidP="009865BD">
      <w:pPr>
        <w:pStyle w:val="FootnoteText"/>
      </w:pPr>
      <w:r w:rsidRPr="00773668">
        <w:rPr>
          <w:rStyle w:val="FootnoteReference"/>
        </w:rPr>
        <w:footnoteRef/>
      </w:r>
      <w:r w:rsidRPr="00773668">
        <w:t xml:space="preserve"> </w:t>
      </w:r>
      <w:r w:rsidR="00E03823" w:rsidRPr="00773668">
        <w:t xml:space="preserve">47 CFR </w:t>
      </w:r>
      <w:r w:rsidRPr="00773668">
        <w:t>§ 22.503(k)(1).</w:t>
      </w:r>
    </w:p>
  </w:footnote>
  <w:footnote w:id="15">
    <w:p w:rsidR="00513222" w:rsidRPr="00773668" w:rsidRDefault="00513222" w:rsidP="00513222">
      <w:pPr>
        <w:pStyle w:val="FootnoteText"/>
      </w:pPr>
      <w:r w:rsidRPr="00773668">
        <w:rPr>
          <w:rStyle w:val="FootnoteReference"/>
        </w:rPr>
        <w:footnoteRef/>
      </w:r>
      <w:r w:rsidRPr="00773668">
        <w:t xml:space="preserve"> </w:t>
      </w:r>
      <w:r w:rsidRPr="00872274">
        <w:rPr>
          <w:i/>
        </w:rPr>
        <w:t>Id</w:t>
      </w:r>
      <w:r w:rsidRPr="00773668">
        <w:t>. § 22.503(k)(2)</w:t>
      </w:r>
      <w:r>
        <w:t>-(k)(3)</w:t>
      </w:r>
      <w:r w:rsidRPr="00773668">
        <w:t>.</w:t>
      </w:r>
    </w:p>
  </w:footnote>
  <w:footnote w:id="16">
    <w:p w:rsidR="00AC096D" w:rsidRDefault="00AC096D">
      <w:pPr>
        <w:pStyle w:val="FootnoteText"/>
      </w:pPr>
      <w:r>
        <w:rPr>
          <w:rStyle w:val="FootnoteReference"/>
        </w:rPr>
        <w:footnoteRef/>
      </w:r>
      <w:r>
        <w:t xml:space="preserve"> </w:t>
      </w:r>
      <w:r w:rsidR="00933E96" w:rsidRPr="00933E96">
        <w:rPr>
          <w:i/>
        </w:rPr>
        <w:t>Revision of Part 22 and Part 90 of the Commission’s Rules to Facilitate Future Development of Paging Systems</w:t>
      </w:r>
      <w:r w:rsidR="00933E96" w:rsidRPr="00933E96">
        <w:t>, Memorandum Opinion and Order on Reconsideration and Third Report and</w:t>
      </w:r>
      <w:r w:rsidR="00933E96">
        <w:t xml:space="preserve"> Order, 14</w:t>
      </w:r>
      <w:r w:rsidR="00B724E8">
        <w:t> </w:t>
      </w:r>
      <w:r w:rsidR="00933E96">
        <w:t xml:space="preserve">FCC Rcd 10030 </w:t>
      </w:r>
      <w:r w:rsidR="00B724E8">
        <w:t>(1999).</w:t>
      </w:r>
    </w:p>
  </w:footnote>
  <w:footnote w:id="17">
    <w:p w:rsidR="003F41E6" w:rsidRPr="00773668" w:rsidRDefault="003F41E6" w:rsidP="003F38BA">
      <w:pPr>
        <w:pStyle w:val="FootnoteText"/>
      </w:pPr>
      <w:r w:rsidRPr="00773668">
        <w:rPr>
          <w:rStyle w:val="FootnoteReference"/>
        </w:rPr>
        <w:footnoteRef/>
      </w:r>
      <w:r w:rsidRPr="00773668">
        <w:t xml:space="preserve"> </w:t>
      </w:r>
      <w:r w:rsidR="00B724E8">
        <w:rPr>
          <w:i/>
        </w:rPr>
        <w:t>Id</w:t>
      </w:r>
      <w:r w:rsidR="00B724E8">
        <w:t>.</w:t>
      </w:r>
      <w:r w:rsidRPr="00773668">
        <w:t xml:space="preserve"> at 10072, </w:t>
      </w:r>
      <w:r w:rsidR="005C4FBA">
        <w:t>para.</w:t>
      </w:r>
      <w:r w:rsidRPr="00773668">
        <w:t> 69.</w:t>
      </w:r>
    </w:p>
  </w:footnote>
  <w:footnote w:id="18">
    <w:p w:rsidR="003F41E6" w:rsidRPr="00773668" w:rsidRDefault="003F41E6" w:rsidP="003F38BA">
      <w:pPr>
        <w:pStyle w:val="FootnoteText"/>
      </w:pPr>
      <w:r w:rsidRPr="00773668">
        <w:rPr>
          <w:rStyle w:val="FootnoteReference"/>
        </w:rPr>
        <w:footnoteRef/>
      </w:r>
      <w:r w:rsidRPr="00773668">
        <w:t xml:space="preserve"> </w:t>
      </w:r>
      <w:r w:rsidRPr="00773668">
        <w:rPr>
          <w:i/>
        </w:rPr>
        <w:t>Id</w:t>
      </w:r>
      <w:r w:rsidRPr="00773668">
        <w:t>.</w:t>
      </w:r>
    </w:p>
  </w:footnote>
  <w:footnote w:id="19">
    <w:p w:rsidR="003F41E6" w:rsidRPr="00773668" w:rsidRDefault="003F41E6" w:rsidP="003F38BA">
      <w:pPr>
        <w:pStyle w:val="FootnoteText"/>
      </w:pPr>
      <w:r w:rsidRPr="00773668">
        <w:rPr>
          <w:rStyle w:val="FootnoteReference"/>
        </w:rPr>
        <w:footnoteRef/>
      </w:r>
      <w:r w:rsidRPr="00773668">
        <w:t xml:space="preserve"> </w:t>
      </w:r>
      <w:r w:rsidR="006E2E31" w:rsidRPr="006E2E31">
        <w:rPr>
          <w:i/>
        </w:rPr>
        <w:t xml:space="preserve">Facilitating the Provision of Spectrum-Based Services to Rural Areas and Promoting Opportunities for Rural Telephone Companies to Provide Spectrum-Based Services, </w:t>
      </w:r>
      <w:r w:rsidR="006E2E31" w:rsidRPr="006E2E31">
        <w:t>Report and Order and Further Notice of Proposed Rulema</w:t>
      </w:r>
      <w:r w:rsidR="005C4FBA">
        <w:t>king, 19 FCC Rcd 19078, 19123, para.</w:t>
      </w:r>
      <w:r w:rsidR="006E2E31" w:rsidRPr="006E2E31">
        <w:t> 79 (2004) (</w:t>
      </w:r>
      <w:r w:rsidR="006E2E31">
        <w:rPr>
          <w:i/>
        </w:rPr>
        <w:t xml:space="preserve">Rural </w:t>
      </w:r>
      <w:r w:rsidR="006E2E31" w:rsidRPr="006E2E31">
        <w:rPr>
          <w:i/>
        </w:rPr>
        <w:t>Report and Order</w:t>
      </w:r>
      <w:r w:rsidR="006E2E31">
        <w:t>)</w:t>
      </w:r>
      <w:r w:rsidRPr="00773668">
        <w:t xml:space="preserve">.  </w:t>
      </w:r>
    </w:p>
  </w:footnote>
  <w:footnote w:id="20">
    <w:p w:rsidR="003F41E6" w:rsidRPr="00773668" w:rsidRDefault="003F41E6" w:rsidP="003F38BA">
      <w:pPr>
        <w:pStyle w:val="FootnoteText"/>
      </w:pPr>
      <w:r w:rsidRPr="00773668">
        <w:rPr>
          <w:rStyle w:val="FootnoteReference"/>
        </w:rPr>
        <w:footnoteRef/>
      </w:r>
      <w:r w:rsidRPr="00773668">
        <w:t xml:space="preserve"> </w:t>
      </w:r>
      <w:r w:rsidRPr="00773668">
        <w:rPr>
          <w:i/>
        </w:rPr>
        <w:t>Id</w:t>
      </w:r>
      <w:r w:rsidRPr="00773668">
        <w:t xml:space="preserve">. at 19087, </w:t>
      </w:r>
      <w:r w:rsidR="005C4FBA">
        <w:t>para.</w:t>
      </w:r>
      <w:r w:rsidRPr="00773668">
        <w:t> 11.</w:t>
      </w:r>
    </w:p>
  </w:footnote>
  <w:footnote w:id="21">
    <w:p w:rsidR="00796477" w:rsidRPr="00981CB9" w:rsidRDefault="00796477" w:rsidP="00796477">
      <w:pPr>
        <w:pStyle w:val="FootnoteText"/>
      </w:pPr>
      <w:r w:rsidRPr="00981CB9">
        <w:rPr>
          <w:rStyle w:val="FootnoteReference"/>
        </w:rPr>
        <w:footnoteRef/>
      </w:r>
      <w:r w:rsidRPr="00981CB9">
        <w:t xml:space="preserve"> For example, “the licensed area is made up of 15 counties, 10 of which are rural under the Commission’s definition of ‘rural areas.’  Twenty percent of 10 counties is 2 counties.”</w:t>
      </w:r>
    </w:p>
  </w:footnote>
  <w:footnote w:id="22">
    <w:p w:rsidR="003F41E6" w:rsidRPr="00773668" w:rsidRDefault="003F41E6" w:rsidP="003F38BA">
      <w:pPr>
        <w:pStyle w:val="FootnoteText"/>
      </w:pPr>
      <w:r w:rsidRPr="00773668">
        <w:rPr>
          <w:rStyle w:val="FootnoteReference"/>
        </w:rPr>
        <w:footnoteRef/>
      </w:r>
      <w:r w:rsidRPr="00773668">
        <w:t xml:space="preserve"> </w:t>
      </w:r>
      <w:r w:rsidRPr="00773668">
        <w:rPr>
          <w:i/>
        </w:rPr>
        <w:t xml:space="preserve">Rural </w:t>
      </w:r>
      <w:r w:rsidR="006E2E31" w:rsidRPr="006E2E31">
        <w:rPr>
          <w:i/>
        </w:rPr>
        <w:t>Report and Order</w:t>
      </w:r>
      <w:r w:rsidR="005C4FBA">
        <w:t>, 19 FCC Rcd 19124, para.</w:t>
      </w:r>
      <w:r w:rsidRPr="00773668">
        <w:t> 80.</w:t>
      </w:r>
    </w:p>
  </w:footnote>
  <w:footnote w:id="23">
    <w:p w:rsidR="003F41E6" w:rsidRPr="00773668" w:rsidRDefault="003F41E6" w:rsidP="003F38BA">
      <w:pPr>
        <w:pStyle w:val="FootnoteText"/>
      </w:pPr>
      <w:r w:rsidRPr="00773668">
        <w:rPr>
          <w:rStyle w:val="FootnoteReference"/>
        </w:rPr>
        <w:footnoteRef/>
      </w:r>
      <w:r w:rsidRPr="00773668">
        <w:t xml:space="preserve"> 47 CFR §§ 22.537, 22.567.</w:t>
      </w:r>
    </w:p>
  </w:footnote>
  <w:footnote w:id="24">
    <w:p w:rsidR="003F41E6" w:rsidRPr="00773668" w:rsidRDefault="003F41E6" w:rsidP="003F38BA">
      <w:pPr>
        <w:pStyle w:val="FootnoteText"/>
      </w:pPr>
      <w:r w:rsidRPr="00773668">
        <w:rPr>
          <w:rStyle w:val="FootnoteReference"/>
        </w:rPr>
        <w:footnoteRef/>
      </w:r>
      <w:r w:rsidRPr="00773668">
        <w:t xml:space="preserve"> </w:t>
      </w:r>
      <w:r w:rsidRPr="00773668">
        <w:rPr>
          <w:i/>
        </w:rPr>
        <w:t>See id</w:t>
      </w:r>
      <w:r w:rsidRPr="00773668">
        <w:t>. § 22.503(k)(3) (providing that “[a]s an alternative to the coverage requirements of paragraphs (k)(1) and (k)(2) of this section, the paging geographic area licensee may demonstrate that, no later than five years after the initial grant of the paging geographic area authorization, it provides substantial service to the paging geographic area”).</w:t>
      </w:r>
    </w:p>
  </w:footnote>
  <w:footnote w:id="25">
    <w:p w:rsidR="003F41E6" w:rsidRPr="00773668" w:rsidRDefault="003F41E6" w:rsidP="003F38BA">
      <w:pPr>
        <w:spacing w:after="120"/>
        <w:rPr>
          <w:sz w:val="20"/>
        </w:rPr>
      </w:pPr>
      <w:r w:rsidRPr="00773668">
        <w:rPr>
          <w:rStyle w:val="FootnoteReference"/>
          <w:sz w:val="20"/>
        </w:rPr>
        <w:footnoteRef/>
      </w:r>
      <w:r w:rsidRPr="00773668">
        <w:rPr>
          <w:sz w:val="20"/>
        </w:rPr>
        <w:t xml:space="preserve"> For example, “[I] believe that all information is complete and accurately represents the deployed system as of the construction deadline, and complies with all applicable FCC rules and regulations that govern Part 22 buildout notifications.  I declare under penalty of perjury that the foregoing is true and correct.  Executed on (date).  [Signature of Authorized Officer].”</w:t>
      </w:r>
    </w:p>
  </w:footnote>
  <w:footnote w:id="26">
    <w:p w:rsidR="00A54C47" w:rsidRPr="00981CB9" w:rsidRDefault="00A54C47" w:rsidP="00A54C47">
      <w:pPr>
        <w:pStyle w:val="FootnoteText"/>
      </w:pPr>
      <w:r w:rsidRPr="00981CB9">
        <w:rPr>
          <w:rStyle w:val="FootnoteReference"/>
        </w:rPr>
        <w:footnoteRef/>
      </w:r>
      <w:r w:rsidRPr="00981CB9">
        <w:t xml:space="preserve"> Because </w:t>
      </w:r>
      <w:r w:rsidR="00FD5360">
        <w:rPr>
          <w:snapToGrid w:val="0"/>
          <w:kern w:val="28"/>
        </w:rPr>
        <w:t>Licensee</w:t>
      </w:r>
      <w:r w:rsidRPr="00981CB9">
        <w:rPr>
          <w:snapToGrid w:val="0"/>
          <w:kern w:val="28"/>
        </w:rPr>
        <w:t xml:space="preserve"> </w:t>
      </w:r>
      <w:r w:rsidRPr="00981CB9">
        <w:t xml:space="preserve">is both the “original licensee” and the “partitionee,” it must elect to satisfy the coverage requirements for the entire original market.  </w:t>
      </w:r>
      <w:r w:rsidRPr="00981CB9">
        <w:rPr>
          <w:i/>
        </w:rPr>
        <w:t>See</w:t>
      </w:r>
      <w:r>
        <w:t xml:space="preserve"> 47 CFR</w:t>
      </w:r>
      <w:r w:rsidRPr="00981CB9">
        <w:t xml:space="preserve"> § 22.513(f).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61" w:rsidRDefault="00AF6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61" w:rsidRDefault="00AF6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3E5BB58E" wp14:editId="5F50CBA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5BB58E"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14:paraId="50460B40" w14:textId="77777777" w:rsidR="00602577" w:rsidRDefault="00602577">
                    <w:pPr>
                      <w:rPr>
                        <w:rFonts w:ascii="Arial" w:hAnsi="Arial"/>
                        <w:b/>
                      </w:rPr>
                    </w:pPr>
                    <w:r>
                      <w:rPr>
                        <w:rFonts w:ascii="Arial" w:hAnsi="Arial"/>
                        <w:b/>
                      </w:rPr>
                      <w:t>Federal Communications Commission</w:t>
                    </w:r>
                  </w:p>
                  <w:p w14:paraId="2A2A82D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E993B2" w14:textId="77777777"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9A16896" wp14:editId="00360EB3">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4DE9217" wp14:editId="59974483">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DE9217"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14:paraId="000EB6BF" w14:textId="77777777" w:rsidR="00602577" w:rsidRDefault="00602577">
                    <w:pPr>
                      <w:spacing w:before="40"/>
                      <w:jc w:val="right"/>
                      <w:rPr>
                        <w:rFonts w:ascii="Arial" w:hAnsi="Arial"/>
                        <w:b/>
                        <w:sz w:val="16"/>
                      </w:rPr>
                    </w:pPr>
                    <w:r>
                      <w:rPr>
                        <w:rFonts w:ascii="Arial" w:hAnsi="Arial"/>
                        <w:b/>
                        <w:sz w:val="16"/>
                      </w:rPr>
                      <w:t>News Media Information 202 / 418-0500</w:t>
                    </w:r>
                  </w:p>
                  <w:p w14:paraId="4F8564B9" w14:textId="77777777"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4B75F4E9" w14:textId="77777777" w:rsidR="00602577" w:rsidRDefault="00602577">
                    <w:pPr>
                      <w:jc w:val="right"/>
                      <w:rPr>
                        <w:rFonts w:ascii="Arial" w:hAnsi="Arial"/>
                        <w:b/>
                        <w:sz w:val="16"/>
                      </w:rPr>
                    </w:pPr>
                    <w:r>
                      <w:rPr>
                        <w:rFonts w:ascii="Arial" w:hAnsi="Arial"/>
                        <w:b/>
                        <w:sz w:val="16"/>
                      </w:rPr>
                      <w:t>TTY: 1-888-835-5322</w:t>
                    </w:r>
                  </w:p>
                  <w:p w14:paraId="07415EBF" w14:textId="77777777"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1B2C3ABF" wp14:editId="0AD66D1C">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CF57F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B0C85"/>
    <w:multiLevelType w:val="hybridMultilevel"/>
    <w:tmpl w:val="7486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0E3"/>
    <w:multiLevelType w:val="hybridMultilevel"/>
    <w:tmpl w:val="46C66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11F59"/>
    <w:multiLevelType w:val="hybridMultilevel"/>
    <w:tmpl w:val="04882C60"/>
    <w:lvl w:ilvl="0" w:tplc="31F275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0D34A5B"/>
    <w:multiLevelType w:val="hybridMultilevel"/>
    <w:tmpl w:val="8870D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AF004F"/>
    <w:multiLevelType w:val="multilevel"/>
    <w:tmpl w:val="0B168C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D7956"/>
    <w:multiLevelType w:val="hybridMultilevel"/>
    <w:tmpl w:val="4D6EE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2">
    <w:nsid w:val="392C1AC7"/>
    <w:multiLevelType w:val="multilevel"/>
    <w:tmpl w:val="491047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CC721D"/>
    <w:multiLevelType w:val="hybridMultilevel"/>
    <w:tmpl w:val="C396F3D6"/>
    <w:lvl w:ilvl="0" w:tplc="E236C6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C726CCE"/>
    <w:multiLevelType w:val="hybridMultilevel"/>
    <w:tmpl w:val="2B6E6C7E"/>
    <w:lvl w:ilvl="0" w:tplc="B5C02B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7F4511"/>
    <w:multiLevelType w:val="hybridMultilevel"/>
    <w:tmpl w:val="D13C78B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0D25761"/>
    <w:multiLevelType w:val="hybridMultilevel"/>
    <w:tmpl w:val="C0A86E92"/>
    <w:lvl w:ilvl="0" w:tplc="AD2A9C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15663"/>
    <w:multiLevelType w:val="hybridMultilevel"/>
    <w:tmpl w:val="838408CC"/>
    <w:lvl w:ilvl="0" w:tplc="237EF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37321"/>
    <w:multiLevelType w:val="hybridMultilevel"/>
    <w:tmpl w:val="1480E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5F2259D9"/>
    <w:multiLevelType w:val="hybridMultilevel"/>
    <w:tmpl w:val="695A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5037A"/>
    <w:multiLevelType w:val="hybridMultilevel"/>
    <w:tmpl w:val="0AA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94221"/>
    <w:multiLevelType w:val="hybridMultilevel"/>
    <w:tmpl w:val="09BCF55C"/>
    <w:lvl w:ilvl="0" w:tplc="77E4007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83C69"/>
    <w:multiLevelType w:val="hybridMultilevel"/>
    <w:tmpl w:val="1480E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622B6"/>
    <w:multiLevelType w:val="hybridMultilevel"/>
    <w:tmpl w:val="938E3FE4"/>
    <w:lvl w:ilvl="0" w:tplc="64600D98">
      <w:start w:val="5"/>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E4FCE"/>
    <w:multiLevelType w:val="hybridMultilevel"/>
    <w:tmpl w:val="954890F6"/>
    <w:lvl w:ilvl="0" w:tplc="04090017">
      <w:start w:val="1"/>
      <w:numFmt w:val="lowerLetter"/>
      <w:lvlText w:val="%1)"/>
      <w:lvlJc w:val="left"/>
      <w:pPr>
        <w:ind w:left="2880" w:hanging="360"/>
      </w:pPr>
    </w:lvl>
    <w:lvl w:ilvl="1" w:tplc="D3CA69D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A7F3E2C"/>
    <w:multiLevelType w:val="hybridMultilevel"/>
    <w:tmpl w:val="A7F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2"/>
  </w:num>
  <w:num w:numId="2">
    <w:abstractNumId w:val="19"/>
  </w:num>
  <w:num w:numId="3">
    <w:abstractNumId w:val="23"/>
  </w:num>
  <w:num w:numId="4">
    <w:abstractNumId w:val="7"/>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8"/>
  </w:num>
  <w:num w:numId="12">
    <w:abstractNumId w:val="13"/>
  </w:num>
  <w:num w:numId="13">
    <w:abstractNumId w:val="2"/>
  </w:num>
  <w:num w:numId="14">
    <w:abstractNumId w:val="0"/>
  </w:num>
  <w:num w:numId="15">
    <w:abstractNumId w:val="5"/>
  </w:num>
  <w:num w:numId="16">
    <w:abstractNumId w:val="1"/>
  </w:num>
  <w:num w:numId="17">
    <w:abstractNumId w:val="31"/>
  </w:num>
  <w:num w:numId="18">
    <w:abstractNumId w:val="11"/>
  </w:num>
  <w:num w:numId="19">
    <w:abstractNumId w:val="8"/>
  </w:num>
  <w:num w:numId="20">
    <w:abstractNumId w:val="9"/>
  </w:num>
  <w:num w:numId="21">
    <w:abstractNumId w:val="3"/>
  </w:num>
  <w:num w:numId="22">
    <w:abstractNumId w:val="29"/>
  </w:num>
  <w:num w:numId="23">
    <w:abstractNumId w:val="26"/>
  </w:num>
  <w:num w:numId="24">
    <w:abstractNumId w:val="10"/>
  </w:num>
  <w:num w:numId="25">
    <w:abstractNumId w:val="25"/>
  </w:num>
  <w:num w:numId="26">
    <w:abstractNumId w:val="30"/>
  </w:num>
  <w:num w:numId="27">
    <w:abstractNumId w:val="16"/>
  </w:num>
  <w:num w:numId="28">
    <w:abstractNumId w:val="28"/>
  </w:num>
  <w:num w:numId="29">
    <w:abstractNumId w:val="20"/>
  </w:num>
  <w:num w:numId="30">
    <w:abstractNumId w:val="14"/>
  </w:num>
  <w:num w:numId="31">
    <w:abstractNumId w:val="24"/>
  </w:num>
  <w:num w:numId="32">
    <w:abstractNumId w:val="17"/>
  </w:num>
  <w:num w:numId="33">
    <w:abstractNumId w:val="21"/>
  </w:num>
  <w:num w:numId="34">
    <w:abstractNumId w:val="4"/>
  </w:num>
  <w:num w:numId="35">
    <w:abstractNumId w:val="6"/>
  </w:num>
  <w:num w:numId="36">
    <w:abstractNumId w:val="15"/>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0448C"/>
    <w:rsid w:val="000265AE"/>
    <w:rsid w:val="00027B04"/>
    <w:rsid w:val="0007247E"/>
    <w:rsid w:val="000736E5"/>
    <w:rsid w:val="00083E32"/>
    <w:rsid w:val="00084E8B"/>
    <w:rsid w:val="000A096D"/>
    <w:rsid w:val="000A44E9"/>
    <w:rsid w:val="000B654E"/>
    <w:rsid w:val="000C3EF3"/>
    <w:rsid w:val="000D3F20"/>
    <w:rsid w:val="000D4C49"/>
    <w:rsid w:val="000D5731"/>
    <w:rsid w:val="000E14FC"/>
    <w:rsid w:val="000F0BBE"/>
    <w:rsid w:val="00112BBE"/>
    <w:rsid w:val="00114908"/>
    <w:rsid w:val="00132B5D"/>
    <w:rsid w:val="001370AC"/>
    <w:rsid w:val="00140239"/>
    <w:rsid w:val="00144BD1"/>
    <w:rsid w:val="001474C5"/>
    <w:rsid w:val="00152E15"/>
    <w:rsid w:val="001619FF"/>
    <w:rsid w:val="00163B87"/>
    <w:rsid w:val="001909C1"/>
    <w:rsid w:val="00191BC9"/>
    <w:rsid w:val="00194C55"/>
    <w:rsid w:val="001B2960"/>
    <w:rsid w:val="001C7BE9"/>
    <w:rsid w:val="00206659"/>
    <w:rsid w:val="002145D8"/>
    <w:rsid w:val="0022173E"/>
    <w:rsid w:val="00231A9C"/>
    <w:rsid w:val="00235C25"/>
    <w:rsid w:val="0023754A"/>
    <w:rsid w:val="002428E6"/>
    <w:rsid w:val="00273551"/>
    <w:rsid w:val="0028770E"/>
    <w:rsid w:val="00292EB9"/>
    <w:rsid w:val="002A27FE"/>
    <w:rsid w:val="002A3081"/>
    <w:rsid w:val="002A7F11"/>
    <w:rsid w:val="002B5E7C"/>
    <w:rsid w:val="002B6478"/>
    <w:rsid w:val="002D010A"/>
    <w:rsid w:val="002D321A"/>
    <w:rsid w:val="002E6C1F"/>
    <w:rsid w:val="002F23E7"/>
    <w:rsid w:val="002F4B1B"/>
    <w:rsid w:val="0031409C"/>
    <w:rsid w:val="00322330"/>
    <w:rsid w:val="00327E61"/>
    <w:rsid w:val="003675C4"/>
    <w:rsid w:val="003778B5"/>
    <w:rsid w:val="003B0E5A"/>
    <w:rsid w:val="003E60E4"/>
    <w:rsid w:val="003F38BA"/>
    <w:rsid w:val="003F41E6"/>
    <w:rsid w:val="00403792"/>
    <w:rsid w:val="0040533E"/>
    <w:rsid w:val="004236AA"/>
    <w:rsid w:val="004365A8"/>
    <w:rsid w:val="0044340D"/>
    <w:rsid w:val="00446025"/>
    <w:rsid w:val="00453C40"/>
    <w:rsid w:val="00470C6C"/>
    <w:rsid w:val="00475259"/>
    <w:rsid w:val="0048327E"/>
    <w:rsid w:val="0048492E"/>
    <w:rsid w:val="00490AD3"/>
    <w:rsid w:val="004B6687"/>
    <w:rsid w:val="004D015E"/>
    <w:rsid w:val="004D26EC"/>
    <w:rsid w:val="004D3D8E"/>
    <w:rsid w:val="004F36FA"/>
    <w:rsid w:val="00500D93"/>
    <w:rsid w:val="00505BDE"/>
    <w:rsid w:val="00510770"/>
    <w:rsid w:val="00513222"/>
    <w:rsid w:val="005151F8"/>
    <w:rsid w:val="00522C4F"/>
    <w:rsid w:val="00524F19"/>
    <w:rsid w:val="00530586"/>
    <w:rsid w:val="005377B1"/>
    <w:rsid w:val="005426B8"/>
    <w:rsid w:val="00550518"/>
    <w:rsid w:val="00550E74"/>
    <w:rsid w:val="0057117D"/>
    <w:rsid w:val="00592A68"/>
    <w:rsid w:val="00596013"/>
    <w:rsid w:val="005A6D46"/>
    <w:rsid w:val="005B0B4D"/>
    <w:rsid w:val="005C4BA7"/>
    <w:rsid w:val="005C4FBA"/>
    <w:rsid w:val="005C5128"/>
    <w:rsid w:val="00602577"/>
    <w:rsid w:val="00602DD9"/>
    <w:rsid w:val="006225C0"/>
    <w:rsid w:val="00636732"/>
    <w:rsid w:val="00644750"/>
    <w:rsid w:val="00647A0B"/>
    <w:rsid w:val="0065224A"/>
    <w:rsid w:val="00653649"/>
    <w:rsid w:val="006A6FB6"/>
    <w:rsid w:val="006C0585"/>
    <w:rsid w:val="006C79CB"/>
    <w:rsid w:val="006D1260"/>
    <w:rsid w:val="006E2E31"/>
    <w:rsid w:val="006E2ED3"/>
    <w:rsid w:val="006E4393"/>
    <w:rsid w:val="006F6FB1"/>
    <w:rsid w:val="00702185"/>
    <w:rsid w:val="00704BB4"/>
    <w:rsid w:val="00712D0C"/>
    <w:rsid w:val="00715089"/>
    <w:rsid w:val="00716D55"/>
    <w:rsid w:val="00724124"/>
    <w:rsid w:val="00725B90"/>
    <w:rsid w:val="00732328"/>
    <w:rsid w:val="00732762"/>
    <w:rsid w:val="007341CA"/>
    <w:rsid w:val="00737F86"/>
    <w:rsid w:val="00754343"/>
    <w:rsid w:val="007665F9"/>
    <w:rsid w:val="00770218"/>
    <w:rsid w:val="00771588"/>
    <w:rsid w:val="007739B7"/>
    <w:rsid w:val="007835A2"/>
    <w:rsid w:val="0079124A"/>
    <w:rsid w:val="00794E7D"/>
    <w:rsid w:val="00796477"/>
    <w:rsid w:val="007A5720"/>
    <w:rsid w:val="007A67C8"/>
    <w:rsid w:val="007B00E4"/>
    <w:rsid w:val="007B0362"/>
    <w:rsid w:val="007B2D6C"/>
    <w:rsid w:val="007B3539"/>
    <w:rsid w:val="007B79E1"/>
    <w:rsid w:val="007C5096"/>
    <w:rsid w:val="007D40C3"/>
    <w:rsid w:val="007E67E0"/>
    <w:rsid w:val="007E748D"/>
    <w:rsid w:val="007F2121"/>
    <w:rsid w:val="007F3714"/>
    <w:rsid w:val="00804826"/>
    <w:rsid w:val="00845EB9"/>
    <w:rsid w:val="00846CFC"/>
    <w:rsid w:val="00870131"/>
    <w:rsid w:val="00872274"/>
    <w:rsid w:val="008841A4"/>
    <w:rsid w:val="0088532B"/>
    <w:rsid w:val="0088612D"/>
    <w:rsid w:val="00894A2A"/>
    <w:rsid w:val="008979AB"/>
    <w:rsid w:val="008A5E15"/>
    <w:rsid w:val="008B53D2"/>
    <w:rsid w:val="008D6F14"/>
    <w:rsid w:val="008E4194"/>
    <w:rsid w:val="008E4A42"/>
    <w:rsid w:val="008E6951"/>
    <w:rsid w:val="008F223E"/>
    <w:rsid w:val="00901FC0"/>
    <w:rsid w:val="00902EC8"/>
    <w:rsid w:val="009033A5"/>
    <w:rsid w:val="0091225E"/>
    <w:rsid w:val="00923A25"/>
    <w:rsid w:val="00924FFD"/>
    <w:rsid w:val="00927F22"/>
    <w:rsid w:val="00927FFA"/>
    <w:rsid w:val="00933E96"/>
    <w:rsid w:val="0093751F"/>
    <w:rsid w:val="0094506D"/>
    <w:rsid w:val="00946884"/>
    <w:rsid w:val="00955B02"/>
    <w:rsid w:val="0096487F"/>
    <w:rsid w:val="00970FFB"/>
    <w:rsid w:val="00974BA9"/>
    <w:rsid w:val="009865BD"/>
    <w:rsid w:val="009B4F07"/>
    <w:rsid w:val="009C4AF0"/>
    <w:rsid w:val="009D29D2"/>
    <w:rsid w:val="009D6E4C"/>
    <w:rsid w:val="009E01EE"/>
    <w:rsid w:val="00A1384E"/>
    <w:rsid w:val="00A20FE7"/>
    <w:rsid w:val="00A31999"/>
    <w:rsid w:val="00A31FC8"/>
    <w:rsid w:val="00A54C47"/>
    <w:rsid w:val="00A6684A"/>
    <w:rsid w:val="00A670B1"/>
    <w:rsid w:val="00A860D3"/>
    <w:rsid w:val="00AA2CB7"/>
    <w:rsid w:val="00AA4F66"/>
    <w:rsid w:val="00AB3693"/>
    <w:rsid w:val="00AC096D"/>
    <w:rsid w:val="00AC2A32"/>
    <w:rsid w:val="00AC6774"/>
    <w:rsid w:val="00AE5373"/>
    <w:rsid w:val="00AF6461"/>
    <w:rsid w:val="00B0059F"/>
    <w:rsid w:val="00B10477"/>
    <w:rsid w:val="00B10C34"/>
    <w:rsid w:val="00B10DEA"/>
    <w:rsid w:val="00B164B8"/>
    <w:rsid w:val="00B33F47"/>
    <w:rsid w:val="00B5216F"/>
    <w:rsid w:val="00B57B26"/>
    <w:rsid w:val="00B57E65"/>
    <w:rsid w:val="00B63AD7"/>
    <w:rsid w:val="00B63D92"/>
    <w:rsid w:val="00B67E09"/>
    <w:rsid w:val="00B67E60"/>
    <w:rsid w:val="00B724E8"/>
    <w:rsid w:val="00B72D07"/>
    <w:rsid w:val="00B77C0A"/>
    <w:rsid w:val="00B81D0E"/>
    <w:rsid w:val="00B87864"/>
    <w:rsid w:val="00B87DA5"/>
    <w:rsid w:val="00B97B90"/>
    <w:rsid w:val="00BB231A"/>
    <w:rsid w:val="00BB2949"/>
    <w:rsid w:val="00BB493B"/>
    <w:rsid w:val="00BC47CF"/>
    <w:rsid w:val="00BD73DB"/>
    <w:rsid w:val="00BD7CDF"/>
    <w:rsid w:val="00BE2AED"/>
    <w:rsid w:val="00BF7452"/>
    <w:rsid w:val="00C07A5B"/>
    <w:rsid w:val="00C10483"/>
    <w:rsid w:val="00C14453"/>
    <w:rsid w:val="00C31818"/>
    <w:rsid w:val="00C3318B"/>
    <w:rsid w:val="00C36CCB"/>
    <w:rsid w:val="00C36E9F"/>
    <w:rsid w:val="00C50013"/>
    <w:rsid w:val="00C62FFD"/>
    <w:rsid w:val="00C7088B"/>
    <w:rsid w:val="00C72E3D"/>
    <w:rsid w:val="00C7534B"/>
    <w:rsid w:val="00C85E15"/>
    <w:rsid w:val="00C95F9A"/>
    <w:rsid w:val="00CB17E2"/>
    <w:rsid w:val="00CD10F3"/>
    <w:rsid w:val="00CD6166"/>
    <w:rsid w:val="00CF18EC"/>
    <w:rsid w:val="00CF6588"/>
    <w:rsid w:val="00D16E08"/>
    <w:rsid w:val="00D17DC0"/>
    <w:rsid w:val="00D22598"/>
    <w:rsid w:val="00D3203A"/>
    <w:rsid w:val="00D42AD8"/>
    <w:rsid w:val="00D52610"/>
    <w:rsid w:val="00D60EFF"/>
    <w:rsid w:val="00D651F7"/>
    <w:rsid w:val="00D868BA"/>
    <w:rsid w:val="00D97BD4"/>
    <w:rsid w:val="00DE204B"/>
    <w:rsid w:val="00DE51BC"/>
    <w:rsid w:val="00DE69E9"/>
    <w:rsid w:val="00DF02C7"/>
    <w:rsid w:val="00E03281"/>
    <w:rsid w:val="00E03823"/>
    <w:rsid w:val="00E11988"/>
    <w:rsid w:val="00E26786"/>
    <w:rsid w:val="00E374A9"/>
    <w:rsid w:val="00E41F0C"/>
    <w:rsid w:val="00E41F2A"/>
    <w:rsid w:val="00E72D84"/>
    <w:rsid w:val="00E7386F"/>
    <w:rsid w:val="00E76EF1"/>
    <w:rsid w:val="00E86F74"/>
    <w:rsid w:val="00EA0089"/>
    <w:rsid w:val="00EA1B6B"/>
    <w:rsid w:val="00EA23BF"/>
    <w:rsid w:val="00EA414B"/>
    <w:rsid w:val="00EA506D"/>
    <w:rsid w:val="00EB0AC5"/>
    <w:rsid w:val="00EC2DEA"/>
    <w:rsid w:val="00EC73AC"/>
    <w:rsid w:val="00ED2670"/>
    <w:rsid w:val="00ED6218"/>
    <w:rsid w:val="00EF2744"/>
    <w:rsid w:val="00EF72FD"/>
    <w:rsid w:val="00F21A6A"/>
    <w:rsid w:val="00F27C48"/>
    <w:rsid w:val="00F36A3F"/>
    <w:rsid w:val="00F43CDA"/>
    <w:rsid w:val="00F62E1E"/>
    <w:rsid w:val="00F72E37"/>
    <w:rsid w:val="00F8086C"/>
    <w:rsid w:val="00FB08B0"/>
    <w:rsid w:val="00FD5360"/>
    <w:rsid w:val="00FE4350"/>
    <w:rsid w:val="00FF356B"/>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E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E6"/>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65A8"/>
    <w:rPr>
      <w:b/>
      <w:caps/>
      <w:sz w:val="22"/>
    </w:rPr>
  </w:style>
  <w:style w:type="character" w:customStyle="1" w:styleId="Heading2Char">
    <w:name w:val="Heading 2 Char"/>
    <w:basedOn w:val="DefaultParagraphFont"/>
    <w:link w:val="Heading2"/>
    <w:rsid w:val="004365A8"/>
    <w:rPr>
      <w:b/>
      <w:sz w:val="22"/>
    </w:rPr>
  </w:style>
  <w:style w:type="character" w:customStyle="1" w:styleId="Heading3Char">
    <w:name w:val="Heading 3 Char"/>
    <w:basedOn w:val="DefaultParagraphFont"/>
    <w:link w:val="Heading3"/>
    <w:rsid w:val="004365A8"/>
    <w:rPr>
      <w:b/>
      <w:sz w:val="22"/>
    </w:rPr>
  </w:style>
  <w:style w:type="character" w:customStyle="1" w:styleId="Heading4Char">
    <w:name w:val="Heading 4 Char"/>
    <w:basedOn w:val="DefaultParagraphFont"/>
    <w:link w:val="Heading4"/>
    <w:rsid w:val="004365A8"/>
    <w:rPr>
      <w:b/>
      <w:sz w:val="22"/>
    </w:rPr>
  </w:style>
  <w:style w:type="character" w:customStyle="1" w:styleId="Heading5Char">
    <w:name w:val="Heading 5 Char"/>
    <w:basedOn w:val="DefaultParagraphFont"/>
    <w:link w:val="Heading5"/>
    <w:rsid w:val="004365A8"/>
    <w:rPr>
      <w:b/>
      <w:sz w:val="22"/>
    </w:rPr>
  </w:style>
  <w:style w:type="character" w:customStyle="1" w:styleId="Heading6Char">
    <w:name w:val="Heading 6 Char"/>
    <w:basedOn w:val="DefaultParagraphFont"/>
    <w:link w:val="Heading6"/>
    <w:rsid w:val="004365A8"/>
    <w:rPr>
      <w:b/>
      <w:sz w:val="22"/>
    </w:rPr>
  </w:style>
  <w:style w:type="character" w:customStyle="1" w:styleId="Heading7Char">
    <w:name w:val="Heading 7 Char"/>
    <w:basedOn w:val="DefaultParagraphFont"/>
    <w:link w:val="Heading7"/>
    <w:rsid w:val="004365A8"/>
    <w:rPr>
      <w:b/>
      <w:sz w:val="22"/>
    </w:rPr>
  </w:style>
  <w:style w:type="character" w:customStyle="1" w:styleId="Heading9Char">
    <w:name w:val="Heading 9 Char"/>
    <w:basedOn w:val="DefaultParagraphFont"/>
    <w:link w:val="Heading9"/>
    <w:rsid w:val="004365A8"/>
    <w:rPr>
      <w:b/>
      <w:sz w:val="22"/>
    </w:rPr>
  </w:style>
  <w:style w:type="character" w:customStyle="1" w:styleId="HeaderChar">
    <w:name w:val="Header Char"/>
    <w:basedOn w:val="DefaultParagraphFont"/>
    <w:link w:val="Header"/>
    <w:uiPriority w:val="99"/>
    <w:rsid w:val="004365A8"/>
    <w:rPr>
      <w:sz w:val="22"/>
    </w:rPr>
  </w:style>
  <w:style w:type="character" w:customStyle="1" w:styleId="FooterChar">
    <w:name w:val="Footer Char"/>
    <w:basedOn w:val="DefaultParagraphFont"/>
    <w:link w:val="Footer"/>
    <w:uiPriority w:val="99"/>
    <w:rsid w:val="004365A8"/>
    <w:rPr>
      <w:sz w:val="22"/>
    </w:rPr>
  </w:style>
  <w:style w:type="character" w:styleId="PageNumber">
    <w:name w:val="page number"/>
    <w:basedOn w:val="DefaultParagraphFont"/>
    <w:rsid w:val="004365A8"/>
  </w:style>
  <w:style w:type="paragraph" w:customStyle="1" w:styleId="ParaNum0">
    <w:name w:val="ParaNum"/>
    <w:basedOn w:val="Normal"/>
    <w:rsid w:val="004365A8"/>
    <w:pPr>
      <w:widowControl w:val="0"/>
      <w:tabs>
        <w:tab w:val="left" w:pos="1440"/>
      </w:tabs>
      <w:spacing w:after="220"/>
      <w:ind w:firstLine="720"/>
      <w:jc w:val="both"/>
    </w:pPr>
  </w:style>
  <w:style w:type="paragraph" w:customStyle="1" w:styleId="text2">
    <w:name w:val="text2"/>
    <w:basedOn w:val="Normal"/>
    <w:rsid w:val="004365A8"/>
    <w:pPr>
      <w:spacing w:line="240" w:lineRule="atLeast"/>
    </w:pPr>
    <w:rPr>
      <w:sz w:val="19"/>
      <w:szCs w:val="19"/>
    </w:rPr>
  </w:style>
  <w:style w:type="character" w:customStyle="1" w:styleId="text-black-small">
    <w:name w:val="text-black-small"/>
    <w:basedOn w:val="DefaultParagraphFont"/>
    <w:rsid w:val="004365A8"/>
  </w:style>
  <w:style w:type="character" w:styleId="Emphasis">
    <w:name w:val="Emphasis"/>
    <w:basedOn w:val="DefaultParagraphFont"/>
    <w:uiPriority w:val="20"/>
    <w:qFormat/>
    <w:rsid w:val="004365A8"/>
    <w:rPr>
      <w:i/>
      <w:iCs/>
    </w:rPr>
  </w:style>
  <w:style w:type="character" w:styleId="CommentReference">
    <w:name w:val="annotation reference"/>
    <w:basedOn w:val="DefaultParagraphFont"/>
    <w:uiPriority w:val="99"/>
    <w:semiHidden/>
    <w:unhideWhenUsed/>
    <w:rsid w:val="004365A8"/>
    <w:rPr>
      <w:sz w:val="16"/>
      <w:szCs w:val="16"/>
    </w:rPr>
  </w:style>
  <w:style w:type="paragraph" w:styleId="CommentText">
    <w:name w:val="annotation text"/>
    <w:basedOn w:val="Normal"/>
    <w:link w:val="CommentTextChar"/>
    <w:uiPriority w:val="99"/>
    <w:semiHidden/>
    <w:unhideWhenUsed/>
    <w:rsid w:val="004365A8"/>
    <w:rPr>
      <w:sz w:val="20"/>
    </w:rPr>
  </w:style>
  <w:style w:type="character" w:customStyle="1" w:styleId="CommentTextChar">
    <w:name w:val="Comment Text Char"/>
    <w:basedOn w:val="DefaultParagraphFont"/>
    <w:link w:val="CommentText"/>
    <w:uiPriority w:val="99"/>
    <w:semiHidden/>
    <w:rsid w:val="004365A8"/>
  </w:style>
  <w:style w:type="paragraph" w:styleId="CommentSubject">
    <w:name w:val="annotation subject"/>
    <w:basedOn w:val="CommentText"/>
    <w:next w:val="CommentText"/>
    <w:link w:val="CommentSubjectChar"/>
    <w:uiPriority w:val="99"/>
    <w:semiHidden/>
    <w:unhideWhenUsed/>
    <w:rsid w:val="004365A8"/>
    <w:rPr>
      <w:b/>
      <w:bCs/>
    </w:rPr>
  </w:style>
  <w:style w:type="character" w:customStyle="1" w:styleId="CommentSubjectChar">
    <w:name w:val="Comment Subject Char"/>
    <w:basedOn w:val="CommentTextChar"/>
    <w:link w:val="CommentSubject"/>
    <w:uiPriority w:val="99"/>
    <w:semiHidden/>
    <w:rsid w:val="004365A8"/>
    <w:rPr>
      <w:b/>
      <w:bCs/>
    </w:rPr>
  </w:style>
  <w:style w:type="character" w:customStyle="1" w:styleId="st">
    <w:name w:val="st"/>
    <w:basedOn w:val="DefaultParagraphFont"/>
    <w:rsid w:val="004365A8"/>
  </w:style>
  <w:style w:type="paragraph" w:customStyle="1" w:styleId="Default">
    <w:name w:val="Default"/>
    <w:rsid w:val="004365A8"/>
    <w:pPr>
      <w:autoSpaceDE w:val="0"/>
      <w:autoSpaceDN w:val="0"/>
      <w:adjustRightInd w:val="0"/>
    </w:pPr>
    <w:rPr>
      <w:rFonts w:eastAsiaTheme="minorHAnsi"/>
      <w:color w:val="000000"/>
      <w:sz w:val="24"/>
      <w:szCs w:val="24"/>
    </w:rPr>
  </w:style>
  <w:style w:type="paragraph" w:styleId="Revision">
    <w:name w:val="Revision"/>
    <w:hidden/>
    <w:uiPriority w:val="99"/>
    <w:semiHidden/>
    <w:rsid w:val="004365A8"/>
    <w:rPr>
      <w:sz w:val="22"/>
    </w:rPr>
  </w:style>
  <w:style w:type="paragraph" w:styleId="EndnoteText">
    <w:name w:val="endnote text"/>
    <w:basedOn w:val="Normal"/>
    <w:link w:val="EndnoteTextChar"/>
    <w:uiPriority w:val="99"/>
    <w:semiHidden/>
    <w:unhideWhenUsed/>
    <w:rsid w:val="004365A8"/>
    <w:rPr>
      <w:sz w:val="20"/>
    </w:rPr>
  </w:style>
  <w:style w:type="character" w:customStyle="1" w:styleId="EndnoteTextChar">
    <w:name w:val="Endnote Text Char"/>
    <w:basedOn w:val="DefaultParagraphFont"/>
    <w:link w:val="EndnoteText"/>
    <w:uiPriority w:val="99"/>
    <w:semiHidden/>
    <w:rsid w:val="004365A8"/>
  </w:style>
  <w:style w:type="character" w:styleId="EndnoteReference">
    <w:name w:val="endnote reference"/>
    <w:basedOn w:val="DefaultParagraphFont"/>
    <w:uiPriority w:val="99"/>
    <w:semiHidden/>
    <w:unhideWhenUsed/>
    <w:rsid w:val="004365A8"/>
    <w:rPr>
      <w:vertAlign w:val="superscript"/>
    </w:rPr>
  </w:style>
  <w:style w:type="paragraph" w:styleId="NoSpacing">
    <w:name w:val="No Spacing"/>
    <w:uiPriority w:val="1"/>
    <w:qFormat/>
    <w:rsid w:val="004365A8"/>
    <w:pPr>
      <w:widowControl w:val="0"/>
    </w:pPr>
    <w:rPr>
      <w:rFonts w:asciiTheme="minorHAnsi" w:eastAsiaTheme="minorHAnsi" w:hAnsiTheme="minorHAnsi" w:cstheme="minorBidi"/>
      <w:sz w:val="22"/>
      <w:szCs w:val="22"/>
    </w:rPr>
  </w:style>
  <w:style w:type="character" w:customStyle="1" w:styleId="FootnoteTextCharCharChar">
    <w:name w:val="Footnote Text Char Char Char"/>
    <w:aliases w:val="Footnote Text Char3 Char Char Char1 Char,Footnote Text Char2 Char Char Char Char1 Char,Footnote Text Char Char Char1 Char Char Char Char1 Char"/>
    <w:basedOn w:val="DefaultParagraphFont"/>
    <w:rsid w:val="003F41E6"/>
    <w:rPr>
      <w:sz w:val="22"/>
    </w:rPr>
  </w:style>
  <w:style w:type="character" w:customStyle="1" w:styleId="FootnoteTextChar2Char1">
    <w:name w:val="Footnote Text Char2 Char1"/>
    <w:aliases w:val="Footnote Text Char Char Char1,Footnote Text Char2 Char Char Char1,Footnote Text Char3 Char Char Char1 Char1,Footnote Text Char2 Char Char Char Char1 Char1,fn Char Char,fn Char1"/>
    <w:basedOn w:val="DefaultParagraphFont"/>
    <w:rsid w:val="00B97B90"/>
  </w:style>
  <w:style w:type="paragraph" w:styleId="NormalWeb">
    <w:name w:val="Normal (Web)"/>
    <w:basedOn w:val="Normal"/>
    <w:uiPriority w:val="99"/>
    <w:unhideWhenUsed/>
    <w:rsid w:val="00A54C47"/>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E6"/>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65A8"/>
    <w:rPr>
      <w:b/>
      <w:caps/>
      <w:sz w:val="22"/>
    </w:rPr>
  </w:style>
  <w:style w:type="character" w:customStyle="1" w:styleId="Heading2Char">
    <w:name w:val="Heading 2 Char"/>
    <w:basedOn w:val="DefaultParagraphFont"/>
    <w:link w:val="Heading2"/>
    <w:rsid w:val="004365A8"/>
    <w:rPr>
      <w:b/>
      <w:sz w:val="22"/>
    </w:rPr>
  </w:style>
  <w:style w:type="character" w:customStyle="1" w:styleId="Heading3Char">
    <w:name w:val="Heading 3 Char"/>
    <w:basedOn w:val="DefaultParagraphFont"/>
    <w:link w:val="Heading3"/>
    <w:rsid w:val="004365A8"/>
    <w:rPr>
      <w:b/>
      <w:sz w:val="22"/>
    </w:rPr>
  </w:style>
  <w:style w:type="character" w:customStyle="1" w:styleId="Heading4Char">
    <w:name w:val="Heading 4 Char"/>
    <w:basedOn w:val="DefaultParagraphFont"/>
    <w:link w:val="Heading4"/>
    <w:rsid w:val="004365A8"/>
    <w:rPr>
      <w:b/>
      <w:sz w:val="22"/>
    </w:rPr>
  </w:style>
  <w:style w:type="character" w:customStyle="1" w:styleId="Heading5Char">
    <w:name w:val="Heading 5 Char"/>
    <w:basedOn w:val="DefaultParagraphFont"/>
    <w:link w:val="Heading5"/>
    <w:rsid w:val="004365A8"/>
    <w:rPr>
      <w:b/>
      <w:sz w:val="22"/>
    </w:rPr>
  </w:style>
  <w:style w:type="character" w:customStyle="1" w:styleId="Heading6Char">
    <w:name w:val="Heading 6 Char"/>
    <w:basedOn w:val="DefaultParagraphFont"/>
    <w:link w:val="Heading6"/>
    <w:rsid w:val="004365A8"/>
    <w:rPr>
      <w:b/>
      <w:sz w:val="22"/>
    </w:rPr>
  </w:style>
  <w:style w:type="character" w:customStyle="1" w:styleId="Heading7Char">
    <w:name w:val="Heading 7 Char"/>
    <w:basedOn w:val="DefaultParagraphFont"/>
    <w:link w:val="Heading7"/>
    <w:rsid w:val="004365A8"/>
    <w:rPr>
      <w:b/>
      <w:sz w:val="22"/>
    </w:rPr>
  </w:style>
  <w:style w:type="character" w:customStyle="1" w:styleId="Heading9Char">
    <w:name w:val="Heading 9 Char"/>
    <w:basedOn w:val="DefaultParagraphFont"/>
    <w:link w:val="Heading9"/>
    <w:rsid w:val="004365A8"/>
    <w:rPr>
      <w:b/>
      <w:sz w:val="22"/>
    </w:rPr>
  </w:style>
  <w:style w:type="character" w:customStyle="1" w:styleId="HeaderChar">
    <w:name w:val="Header Char"/>
    <w:basedOn w:val="DefaultParagraphFont"/>
    <w:link w:val="Header"/>
    <w:uiPriority w:val="99"/>
    <w:rsid w:val="004365A8"/>
    <w:rPr>
      <w:sz w:val="22"/>
    </w:rPr>
  </w:style>
  <w:style w:type="character" w:customStyle="1" w:styleId="FooterChar">
    <w:name w:val="Footer Char"/>
    <w:basedOn w:val="DefaultParagraphFont"/>
    <w:link w:val="Footer"/>
    <w:uiPriority w:val="99"/>
    <w:rsid w:val="004365A8"/>
    <w:rPr>
      <w:sz w:val="22"/>
    </w:rPr>
  </w:style>
  <w:style w:type="character" w:styleId="PageNumber">
    <w:name w:val="page number"/>
    <w:basedOn w:val="DefaultParagraphFont"/>
    <w:rsid w:val="004365A8"/>
  </w:style>
  <w:style w:type="paragraph" w:customStyle="1" w:styleId="ParaNum0">
    <w:name w:val="ParaNum"/>
    <w:basedOn w:val="Normal"/>
    <w:rsid w:val="004365A8"/>
    <w:pPr>
      <w:widowControl w:val="0"/>
      <w:tabs>
        <w:tab w:val="left" w:pos="1440"/>
      </w:tabs>
      <w:spacing w:after="220"/>
      <w:ind w:firstLine="720"/>
      <w:jc w:val="both"/>
    </w:pPr>
  </w:style>
  <w:style w:type="paragraph" w:customStyle="1" w:styleId="text2">
    <w:name w:val="text2"/>
    <w:basedOn w:val="Normal"/>
    <w:rsid w:val="004365A8"/>
    <w:pPr>
      <w:spacing w:line="240" w:lineRule="atLeast"/>
    </w:pPr>
    <w:rPr>
      <w:sz w:val="19"/>
      <w:szCs w:val="19"/>
    </w:rPr>
  </w:style>
  <w:style w:type="character" w:customStyle="1" w:styleId="text-black-small">
    <w:name w:val="text-black-small"/>
    <w:basedOn w:val="DefaultParagraphFont"/>
    <w:rsid w:val="004365A8"/>
  </w:style>
  <w:style w:type="character" w:styleId="Emphasis">
    <w:name w:val="Emphasis"/>
    <w:basedOn w:val="DefaultParagraphFont"/>
    <w:uiPriority w:val="20"/>
    <w:qFormat/>
    <w:rsid w:val="004365A8"/>
    <w:rPr>
      <w:i/>
      <w:iCs/>
    </w:rPr>
  </w:style>
  <w:style w:type="character" w:styleId="CommentReference">
    <w:name w:val="annotation reference"/>
    <w:basedOn w:val="DefaultParagraphFont"/>
    <w:uiPriority w:val="99"/>
    <w:semiHidden/>
    <w:unhideWhenUsed/>
    <w:rsid w:val="004365A8"/>
    <w:rPr>
      <w:sz w:val="16"/>
      <w:szCs w:val="16"/>
    </w:rPr>
  </w:style>
  <w:style w:type="paragraph" w:styleId="CommentText">
    <w:name w:val="annotation text"/>
    <w:basedOn w:val="Normal"/>
    <w:link w:val="CommentTextChar"/>
    <w:uiPriority w:val="99"/>
    <w:semiHidden/>
    <w:unhideWhenUsed/>
    <w:rsid w:val="004365A8"/>
    <w:rPr>
      <w:sz w:val="20"/>
    </w:rPr>
  </w:style>
  <w:style w:type="character" w:customStyle="1" w:styleId="CommentTextChar">
    <w:name w:val="Comment Text Char"/>
    <w:basedOn w:val="DefaultParagraphFont"/>
    <w:link w:val="CommentText"/>
    <w:uiPriority w:val="99"/>
    <w:semiHidden/>
    <w:rsid w:val="004365A8"/>
  </w:style>
  <w:style w:type="paragraph" w:styleId="CommentSubject">
    <w:name w:val="annotation subject"/>
    <w:basedOn w:val="CommentText"/>
    <w:next w:val="CommentText"/>
    <w:link w:val="CommentSubjectChar"/>
    <w:uiPriority w:val="99"/>
    <w:semiHidden/>
    <w:unhideWhenUsed/>
    <w:rsid w:val="004365A8"/>
    <w:rPr>
      <w:b/>
      <w:bCs/>
    </w:rPr>
  </w:style>
  <w:style w:type="character" w:customStyle="1" w:styleId="CommentSubjectChar">
    <w:name w:val="Comment Subject Char"/>
    <w:basedOn w:val="CommentTextChar"/>
    <w:link w:val="CommentSubject"/>
    <w:uiPriority w:val="99"/>
    <w:semiHidden/>
    <w:rsid w:val="004365A8"/>
    <w:rPr>
      <w:b/>
      <w:bCs/>
    </w:rPr>
  </w:style>
  <w:style w:type="character" w:customStyle="1" w:styleId="st">
    <w:name w:val="st"/>
    <w:basedOn w:val="DefaultParagraphFont"/>
    <w:rsid w:val="004365A8"/>
  </w:style>
  <w:style w:type="paragraph" w:customStyle="1" w:styleId="Default">
    <w:name w:val="Default"/>
    <w:rsid w:val="004365A8"/>
    <w:pPr>
      <w:autoSpaceDE w:val="0"/>
      <w:autoSpaceDN w:val="0"/>
      <w:adjustRightInd w:val="0"/>
    </w:pPr>
    <w:rPr>
      <w:rFonts w:eastAsiaTheme="minorHAnsi"/>
      <w:color w:val="000000"/>
      <w:sz w:val="24"/>
      <w:szCs w:val="24"/>
    </w:rPr>
  </w:style>
  <w:style w:type="paragraph" w:styleId="Revision">
    <w:name w:val="Revision"/>
    <w:hidden/>
    <w:uiPriority w:val="99"/>
    <w:semiHidden/>
    <w:rsid w:val="004365A8"/>
    <w:rPr>
      <w:sz w:val="22"/>
    </w:rPr>
  </w:style>
  <w:style w:type="paragraph" w:styleId="EndnoteText">
    <w:name w:val="endnote text"/>
    <w:basedOn w:val="Normal"/>
    <w:link w:val="EndnoteTextChar"/>
    <w:uiPriority w:val="99"/>
    <w:semiHidden/>
    <w:unhideWhenUsed/>
    <w:rsid w:val="004365A8"/>
    <w:rPr>
      <w:sz w:val="20"/>
    </w:rPr>
  </w:style>
  <w:style w:type="character" w:customStyle="1" w:styleId="EndnoteTextChar">
    <w:name w:val="Endnote Text Char"/>
    <w:basedOn w:val="DefaultParagraphFont"/>
    <w:link w:val="EndnoteText"/>
    <w:uiPriority w:val="99"/>
    <w:semiHidden/>
    <w:rsid w:val="004365A8"/>
  </w:style>
  <w:style w:type="character" w:styleId="EndnoteReference">
    <w:name w:val="endnote reference"/>
    <w:basedOn w:val="DefaultParagraphFont"/>
    <w:uiPriority w:val="99"/>
    <w:semiHidden/>
    <w:unhideWhenUsed/>
    <w:rsid w:val="004365A8"/>
    <w:rPr>
      <w:vertAlign w:val="superscript"/>
    </w:rPr>
  </w:style>
  <w:style w:type="paragraph" w:styleId="NoSpacing">
    <w:name w:val="No Spacing"/>
    <w:uiPriority w:val="1"/>
    <w:qFormat/>
    <w:rsid w:val="004365A8"/>
    <w:pPr>
      <w:widowControl w:val="0"/>
    </w:pPr>
    <w:rPr>
      <w:rFonts w:asciiTheme="minorHAnsi" w:eastAsiaTheme="minorHAnsi" w:hAnsiTheme="minorHAnsi" w:cstheme="minorBidi"/>
      <w:sz w:val="22"/>
      <w:szCs w:val="22"/>
    </w:rPr>
  </w:style>
  <w:style w:type="character" w:customStyle="1" w:styleId="FootnoteTextCharCharChar">
    <w:name w:val="Footnote Text Char Char Char"/>
    <w:aliases w:val="Footnote Text Char3 Char Char Char1 Char,Footnote Text Char2 Char Char Char Char1 Char,Footnote Text Char Char Char1 Char Char Char Char1 Char"/>
    <w:basedOn w:val="DefaultParagraphFont"/>
    <w:rsid w:val="003F41E6"/>
    <w:rPr>
      <w:sz w:val="22"/>
    </w:rPr>
  </w:style>
  <w:style w:type="character" w:customStyle="1" w:styleId="FootnoteTextChar2Char1">
    <w:name w:val="Footnote Text Char2 Char1"/>
    <w:aliases w:val="Footnote Text Char Char Char1,Footnote Text Char2 Char Char Char1,Footnote Text Char3 Char Char Char1 Char1,Footnote Text Char2 Char Char Char Char1 Char1,fn Char Char,fn Char1"/>
    <w:basedOn w:val="DefaultParagraphFont"/>
    <w:rsid w:val="00B97B90"/>
  </w:style>
  <w:style w:type="paragraph" w:styleId="NormalWeb">
    <w:name w:val="Normal (Web)"/>
    <w:basedOn w:val="Normal"/>
    <w:uiPriority w:val="99"/>
    <w:unhideWhenUsed/>
    <w:rsid w:val="00A54C4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eynold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Ubieta@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2945</Words>
  <Characters>16947</Characters>
  <Application>Microsoft Office Word</Application>
  <DocSecurity>0</DocSecurity>
  <Lines>234</Lines>
  <Paragraphs>71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19931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2016-10-05T14:18:00Z</cp:lastPrinted>
  <dcterms:created xsi:type="dcterms:W3CDTF">2016-10-14T15:58:00Z</dcterms:created>
  <dcterms:modified xsi:type="dcterms:W3CDTF">2016-10-14T15:58:00Z</dcterms:modified>
  <cp:category> </cp:category>
  <cp:contentStatus> </cp:contentStatus>
</cp:coreProperties>
</file>