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6374" w14:textId="77777777" w:rsidR="005517BA" w:rsidRPr="005C72D8" w:rsidRDefault="005517BA" w:rsidP="004A4D94">
      <w:pPr>
        <w:rPr>
          <w:b/>
          <w:color w:val="000000"/>
          <w:szCs w:val="22"/>
        </w:rPr>
        <w:sectPr w:rsidR="005517BA" w:rsidRPr="005C72D8" w:rsidSect="00215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bookmarkStart w:id="1" w:name="_GoBack"/>
      <w:bookmarkEnd w:id="1"/>
    </w:p>
    <w:p w14:paraId="7E63383D" w14:textId="6B519736" w:rsidR="00E21B6E" w:rsidRDefault="00E21B6E" w:rsidP="00E21B6E">
      <w:pPr>
        <w:jc w:val="right"/>
        <w:rPr>
          <w:b/>
          <w:bCs/>
          <w:color w:val="000000"/>
          <w:szCs w:val="22"/>
        </w:rPr>
      </w:pPr>
      <w:r w:rsidRPr="005C72D8">
        <w:rPr>
          <w:b/>
          <w:bCs/>
          <w:color w:val="000000"/>
          <w:szCs w:val="22"/>
        </w:rPr>
        <w:lastRenderedPageBreak/>
        <w:t xml:space="preserve">DA </w:t>
      </w:r>
      <w:r w:rsidR="00C713FA">
        <w:rPr>
          <w:b/>
          <w:bCs/>
          <w:color w:val="000000"/>
          <w:szCs w:val="22"/>
        </w:rPr>
        <w:t>16-1190</w:t>
      </w:r>
    </w:p>
    <w:p w14:paraId="3F71855B" w14:textId="5F4FCA14" w:rsidR="00E21B6E" w:rsidRPr="005C72D8" w:rsidRDefault="00E21B6E" w:rsidP="00E21B6E">
      <w:pPr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Released </w:t>
      </w:r>
      <w:r w:rsidRPr="00F43D2D">
        <w:rPr>
          <w:b/>
          <w:bCs/>
          <w:color w:val="000000"/>
          <w:szCs w:val="22"/>
        </w:rPr>
        <w:t>On</w:t>
      </w:r>
      <w:r>
        <w:rPr>
          <w:b/>
          <w:bCs/>
          <w:color w:val="000000"/>
          <w:szCs w:val="22"/>
        </w:rPr>
        <w:t>:</w:t>
      </w:r>
      <w:r w:rsidR="0013068F">
        <w:rPr>
          <w:b/>
          <w:bCs/>
          <w:color w:val="000000"/>
          <w:szCs w:val="22"/>
        </w:rPr>
        <w:t xml:space="preserve">  </w:t>
      </w:r>
      <w:r w:rsidR="0013068F" w:rsidRPr="0013068F">
        <w:rPr>
          <w:b/>
          <w:bCs/>
          <w:color w:val="000000"/>
          <w:szCs w:val="22"/>
        </w:rPr>
        <w:t>October 17</w:t>
      </w:r>
      <w:r w:rsidRPr="0013068F">
        <w:rPr>
          <w:b/>
          <w:bCs/>
          <w:color w:val="000000"/>
          <w:szCs w:val="22"/>
        </w:rPr>
        <w:t>,</w:t>
      </w:r>
      <w:r>
        <w:rPr>
          <w:b/>
          <w:bCs/>
          <w:color w:val="000000"/>
          <w:szCs w:val="22"/>
        </w:rPr>
        <w:t xml:space="preserve"> 2016</w:t>
      </w:r>
    </w:p>
    <w:p w14:paraId="0115BE04" w14:textId="77777777" w:rsidR="00E21B6E" w:rsidRPr="005C72D8" w:rsidRDefault="00E21B6E" w:rsidP="00E21B6E">
      <w:pPr>
        <w:rPr>
          <w:b/>
          <w:color w:val="000000"/>
          <w:szCs w:val="22"/>
        </w:rPr>
        <w:sectPr w:rsidR="00E21B6E" w:rsidRPr="005C72D8" w:rsidSect="00E21B6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</w:p>
    <w:p w14:paraId="3A275DA5" w14:textId="77777777" w:rsidR="00E21B6E" w:rsidRPr="005C72D8" w:rsidRDefault="00E21B6E" w:rsidP="00E21B6E">
      <w:pPr>
        <w:rPr>
          <w:szCs w:val="22"/>
        </w:rPr>
      </w:pPr>
    </w:p>
    <w:p w14:paraId="25D59192" w14:textId="77777777" w:rsidR="00E21B6E" w:rsidRPr="001D576E" w:rsidRDefault="00E21B6E" w:rsidP="00E21B6E">
      <w:pPr>
        <w:jc w:val="center"/>
        <w:rPr>
          <w:b/>
          <w:bCs/>
          <w:color w:val="000000"/>
          <w:szCs w:val="22"/>
        </w:rPr>
      </w:pPr>
      <w:r w:rsidRPr="001D576E">
        <w:rPr>
          <w:b/>
          <w:bCs/>
          <w:color w:val="000000"/>
          <w:szCs w:val="22"/>
        </w:rPr>
        <w:t xml:space="preserve">FCC TO </w:t>
      </w:r>
      <w:r>
        <w:rPr>
          <w:b/>
          <w:bCs/>
          <w:color w:val="000000"/>
          <w:szCs w:val="22"/>
        </w:rPr>
        <w:t>HOST</w:t>
      </w:r>
      <w:r w:rsidRPr="001D576E">
        <w:rPr>
          <w:b/>
          <w:bCs/>
          <w:color w:val="000000"/>
          <w:szCs w:val="22"/>
        </w:rPr>
        <w:t xml:space="preserve"> BROADBAND HEALTH MAPPING </w:t>
      </w:r>
      <w:r>
        <w:rPr>
          <w:b/>
          <w:bCs/>
          <w:color w:val="000000"/>
          <w:szCs w:val="22"/>
        </w:rPr>
        <w:t>WEBINAR</w:t>
      </w:r>
    </w:p>
    <w:p w14:paraId="0D3E6376" w14:textId="77777777" w:rsidR="00E21B6E" w:rsidRPr="005C72D8" w:rsidRDefault="00E21B6E" w:rsidP="00E21B6E">
      <w:pPr>
        <w:jc w:val="center"/>
        <w:rPr>
          <w:b/>
          <w:bCs/>
          <w:color w:val="000000"/>
          <w:szCs w:val="22"/>
        </w:rPr>
      </w:pPr>
    </w:p>
    <w:p w14:paraId="2D7A5C0B" w14:textId="3AE15D6B" w:rsidR="00E21B6E" w:rsidRDefault="00E21B6E" w:rsidP="00E21B6E">
      <w:pPr>
        <w:pStyle w:val="Header"/>
        <w:tabs>
          <w:tab w:val="right" w:pos="9346"/>
        </w:tabs>
      </w:pPr>
      <w:r w:rsidRPr="005C72D8">
        <w:rPr>
          <w:color w:val="000000"/>
          <w:szCs w:val="22"/>
        </w:rPr>
        <w:t xml:space="preserve">Washington, D.C. – </w:t>
      </w:r>
      <w:r>
        <w:t xml:space="preserve">The Federal Communications Commission’s Connect2Health Task Force and </w:t>
      </w:r>
      <w:r w:rsidR="00C42E15">
        <w:t xml:space="preserve">the </w:t>
      </w:r>
      <w:r>
        <w:t>Consumer and Governmental Affairs Bureau’s Office of Intergovernmental Affairs today announced</w:t>
      </w:r>
      <w:r w:rsidR="00E32F72">
        <w:t xml:space="preserve"> a </w:t>
      </w:r>
      <w:r w:rsidR="007C3B3F">
        <w:t xml:space="preserve">jointly-hosted </w:t>
      </w:r>
      <w:r>
        <w:t xml:space="preserve">webinar </w:t>
      </w:r>
      <w:r w:rsidRPr="00A603C0">
        <w:rPr>
          <w:color w:val="000000"/>
          <w:szCs w:val="22"/>
        </w:rPr>
        <w:t xml:space="preserve">to </w:t>
      </w:r>
      <w:r w:rsidR="00E32F72">
        <w:rPr>
          <w:color w:val="000000"/>
          <w:szCs w:val="22"/>
        </w:rPr>
        <w:t>further</w:t>
      </w:r>
      <w:r w:rsidRPr="00A603C0">
        <w:rPr>
          <w:color w:val="000000"/>
          <w:szCs w:val="22"/>
        </w:rPr>
        <w:t xml:space="preserve"> explore the</w:t>
      </w:r>
      <w:r w:rsidR="001519EB">
        <w:rPr>
          <w:color w:val="000000"/>
          <w:szCs w:val="22"/>
        </w:rPr>
        <w:t xml:space="preserve"> potential of the</w:t>
      </w:r>
      <w:r>
        <w:rPr>
          <w:rFonts w:ascii="Calibri" w:hAnsi="Calibri" w:cs="Calibri"/>
          <w:color w:val="000000"/>
          <w:szCs w:val="22"/>
        </w:rPr>
        <w:t xml:space="preserve"> </w:t>
      </w:r>
      <w:r>
        <w:rPr>
          <w:color w:val="000000"/>
          <w:szCs w:val="22"/>
        </w:rPr>
        <w:t>recentl</w:t>
      </w:r>
      <w:r w:rsidRPr="00A603C0">
        <w:rPr>
          <w:color w:val="000000"/>
          <w:szCs w:val="22"/>
        </w:rPr>
        <w:t>y launched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B665B9">
        <w:rPr>
          <w:i/>
        </w:rPr>
        <w:t xml:space="preserve">Mapping Broadband Health in America </w:t>
      </w:r>
      <w:r w:rsidRPr="00A603C0">
        <w:rPr>
          <w:color w:val="000000"/>
          <w:szCs w:val="22"/>
        </w:rPr>
        <w:t>platform</w:t>
      </w:r>
      <w:r w:rsidR="001519EB">
        <w:rPr>
          <w:color w:val="000000"/>
          <w:szCs w:val="22"/>
        </w:rPr>
        <w:t xml:space="preserve"> for the public sector</w:t>
      </w:r>
      <w:r w:rsidRPr="00A603C0">
        <w:rPr>
          <w:color w:val="000000"/>
          <w:szCs w:val="22"/>
        </w:rPr>
        <w:t>.</w:t>
      </w:r>
      <w:r w:rsidR="007C4E8B">
        <w:rPr>
          <w:color w:val="000000"/>
          <w:szCs w:val="22"/>
        </w:rPr>
        <w:t xml:space="preserve">  </w:t>
      </w:r>
      <w:r>
        <w:t xml:space="preserve">This free, </w:t>
      </w:r>
      <w:r w:rsidR="0013068F">
        <w:t xml:space="preserve">one-hour </w:t>
      </w:r>
      <w:r w:rsidR="00A9667D">
        <w:t xml:space="preserve">“deeper-dive” </w:t>
      </w:r>
      <w:r>
        <w:t>webinar is</w:t>
      </w:r>
      <w:r w:rsidR="00973131">
        <w:t xml:space="preserve"> particularly</w:t>
      </w:r>
      <w:r>
        <w:t xml:space="preserve"> tailored to </w:t>
      </w:r>
      <w:r w:rsidR="00A9667D">
        <w:t xml:space="preserve">the needs and interests of </w:t>
      </w:r>
      <w:r>
        <w:t>state and local government offices and agencies</w:t>
      </w:r>
      <w:r w:rsidR="002E7CF3">
        <w:t>,</w:t>
      </w:r>
      <w:r w:rsidR="002E7CF3" w:rsidDel="002E7CF3">
        <w:t xml:space="preserve"> </w:t>
      </w:r>
      <w:r>
        <w:t>and will be held on Thursday, November 10, 2016.</w:t>
      </w:r>
    </w:p>
    <w:p w14:paraId="4A29D1FC" w14:textId="77777777" w:rsidR="00E21B6E" w:rsidRDefault="00E21B6E" w:rsidP="00E21B6E">
      <w:pPr>
        <w:pStyle w:val="Header"/>
        <w:tabs>
          <w:tab w:val="right" w:pos="9346"/>
        </w:tabs>
        <w:rPr>
          <w:i/>
          <w:szCs w:val="22"/>
        </w:rPr>
      </w:pPr>
    </w:p>
    <w:p w14:paraId="41698F08" w14:textId="74BB8A0B" w:rsidR="00E21B6E" w:rsidRDefault="00E21B6E" w:rsidP="00E21B6E">
      <w:pPr>
        <w:pStyle w:val="Header"/>
        <w:tabs>
          <w:tab w:val="right" w:pos="9346"/>
        </w:tabs>
        <w:rPr>
          <w:szCs w:val="22"/>
        </w:rPr>
      </w:pPr>
      <w:r w:rsidRPr="002E7CF3">
        <w:rPr>
          <w:i/>
          <w:szCs w:val="22"/>
        </w:rPr>
        <w:t>Mapping Broadband Health in America</w:t>
      </w:r>
      <w:r w:rsidRPr="002E7CF3">
        <w:rPr>
          <w:szCs w:val="22"/>
        </w:rPr>
        <w:t xml:space="preserve"> (available at </w:t>
      </w:r>
      <w:hyperlink r:id="rId19" w:history="1">
        <w:r w:rsidRPr="002E7CF3">
          <w:rPr>
            <w:rStyle w:val="Hyperlink"/>
            <w:szCs w:val="22"/>
          </w:rPr>
          <w:t>www.fcc.gov/health/maps</w:t>
        </w:r>
      </w:hyperlink>
      <w:r w:rsidRPr="002E7CF3">
        <w:rPr>
          <w:szCs w:val="22"/>
        </w:rPr>
        <w:t>), is a web-based mapping platform created by the Connect2Health</w:t>
      </w:r>
      <w:r w:rsidRPr="002E7CF3">
        <w:rPr>
          <w:szCs w:val="22"/>
          <w:vertAlign w:val="superscript"/>
        </w:rPr>
        <w:t>FCC</w:t>
      </w:r>
      <w:r w:rsidRPr="002E7CF3">
        <w:rPr>
          <w:szCs w:val="22"/>
        </w:rPr>
        <w:t xml:space="preserve"> Task Force to drive more efficient, data-driven decision making at the intersection of broadband and health.  Users can generate customized</w:t>
      </w:r>
      <w:r w:rsidR="004A5CD4" w:rsidRPr="0013068F">
        <w:rPr>
          <w:szCs w:val="22"/>
        </w:rPr>
        <w:t xml:space="preserve">, county-level </w:t>
      </w:r>
      <w:r w:rsidRPr="002E7CF3">
        <w:rPr>
          <w:szCs w:val="22"/>
        </w:rPr>
        <w:t xml:space="preserve">maps that </w:t>
      </w:r>
      <w:r w:rsidR="004A5CD4" w:rsidRPr="0013068F">
        <w:rPr>
          <w:szCs w:val="22"/>
        </w:rPr>
        <w:t xml:space="preserve">drive action ― </w:t>
      </w:r>
      <w:r w:rsidRPr="002E7CF3">
        <w:rPr>
          <w:szCs w:val="22"/>
        </w:rPr>
        <w:t>display</w:t>
      </w:r>
      <w:r w:rsidR="004A5CD4" w:rsidRPr="0013068F">
        <w:rPr>
          <w:szCs w:val="22"/>
        </w:rPr>
        <w:t>ing</w:t>
      </w:r>
      <w:r w:rsidRPr="002E7CF3">
        <w:rPr>
          <w:szCs w:val="22"/>
        </w:rPr>
        <w:t xml:space="preserve"> broadband access, adoption and speed data alongside various health outcomes, access and quality measures (e.g., obesity, diabetes, and physician access) </w:t>
      </w:r>
      <w:r w:rsidR="007C4E8B">
        <w:rPr>
          <w:szCs w:val="22"/>
        </w:rPr>
        <w:t>in urban and rural areas.  The</w:t>
      </w:r>
      <w:r w:rsidRPr="002E7CF3">
        <w:rPr>
          <w:szCs w:val="22"/>
        </w:rPr>
        <w:t xml:space="preserve"> map</w:t>
      </w:r>
      <w:r w:rsidR="00973131" w:rsidRPr="002E7CF3">
        <w:rPr>
          <w:szCs w:val="22"/>
        </w:rPr>
        <w:t>ping platform</w:t>
      </w:r>
      <w:r w:rsidRPr="002E7CF3">
        <w:rPr>
          <w:szCs w:val="22"/>
        </w:rPr>
        <w:t xml:space="preserve"> can be used by both public and private sectors and local communities to identify gaps and opportunities in connected health.</w:t>
      </w:r>
    </w:p>
    <w:p w14:paraId="00C7F0D4" w14:textId="77777777" w:rsidR="00E21B6E" w:rsidRDefault="00E21B6E" w:rsidP="00E21B6E">
      <w:pPr>
        <w:pStyle w:val="Header"/>
        <w:tabs>
          <w:tab w:val="right" w:pos="9346"/>
        </w:tabs>
      </w:pPr>
    </w:p>
    <w:p w14:paraId="116EB41C" w14:textId="77777777" w:rsidR="00E21B6E" w:rsidRDefault="00E21B6E" w:rsidP="00E21B6E">
      <w:pPr>
        <w:pStyle w:val="Header"/>
        <w:tabs>
          <w:tab w:val="right" w:pos="9346"/>
        </w:tabs>
        <w:rPr>
          <w:b/>
        </w:rPr>
      </w:pPr>
      <w:r>
        <w:rPr>
          <w:b/>
        </w:rPr>
        <w:t xml:space="preserve">Mapping </w:t>
      </w:r>
      <w:r>
        <w:rPr>
          <w:b/>
          <w:szCs w:val="22"/>
        </w:rPr>
        <w:t>Connected Health County by County</w:t>
      </w:r>
    </w:p>
    <w:p w14:paraId="5F004766" w14:textId="56FAC103" w:rsidR="00E21B6E" w:rsidRPr="0084483C" w:rsidRDefault="0013068F" w:rsidP="00E21B6E">
      <w:pPr>
        <w:pStyle w:val="Header"/>
        <w:tabs>
          <w:tab w:val="right" w:pos="9346"/>
        </w:tabs>
        <w:rPr>
          <w:i/>
        </w:rPr>
      </w:pPr>
      <w:r>
        <w:rPr>
          <w:i/>
        </w:rPr>
        <w:t>November 10, 2-3</w:t>
      </w:r>
      <w:r w:rsidR="00E21B6E" w:rsidRPr="0084483C">
        <w:rPr>
          <w:i/>
        </w:rPr>
        <w:t xml:space="preserve"> p.m. EDT</w:t>
      </w:r>
    </w:p>
    <w:p w14:paraId="28C0065C" w14:textId="77777777" w:rsidR="00E21B6E" w:rsidRPr="001D576E" w:rsidRDefault="00E21B6E" w:rsidP="00E21B6E">
      <w:pPr>
        <w:pStyle w:val="Header"/>
        <w:tabs>
          <w:tab w:val="right" w:pos="9346"/>
        </w:tabs>
        <w:rPr>
          <w:b/>
          <w:szCs w:val="22"/>
        </w:rPr>
      </w:pPr>
    </w:p>
    <w:p w14:paraId="69C0C199" w14:textId="4AEC2B45" w:rsidR="00E21B6E" w:rsidRDefault="00E21B6E" w:rsidP="00E21B6E">
      <w:r>
        <w:t xml:space="preserve">This webinar will focus on how state and local government offices, agencies and other </w:t>
      </w:r>
      <w:r w:rsidR="002E7CF3">
        <w:t xml:space="preserve">local community </w:t>
      </w:r>
      <w:r>
        <w:t>stakeholders can effectively use the</w:t>
      </w:r>
      <w:r w:rsidR="00C42E15">
        <w:t xml:space="preserve"> </w:t>
      </w:r>
      <w:r w:rsidR="00C42E15">
        <w:rPr>
          <w:i/>
        </w:rPr>
        <w:t xml:space="preserve">Mapping Broadband Health in America </w:t>
      </w:r>
      <w:r>
        <w:t xml:space="preserve">platform. </w:t>
      </w:r>
      <w:r w:rsidR="007C4E8B">
        <w:t xml:space="preserve"> </w:t>
      </w:r>
      <w:r w:rsidR="00C42E15">
        <w:t>K</w:t>
      </w:r>
      <w:r>
        <w:t xml:space="preserve">ey audiences for </w:t>
      </w:r>
      <w:r w:rsidR="00C42E15">
        <w:t xml:space="preserve">the </w:t>
      </w:r>
      <w:r>
        <w:t xml:space="preserve">webinar </w:t>
      </w:r>
      <w:r w:rsidR="00C42E15">
        <w:t xml:space="preserve">include </w:t>
      </w:r>
      <w:r>
        <w:t xml:space="preserve">federal, state and local agencies and offices that address health, connectivity, technology and/or rural development. </w:t>
      </w:r>
    </w:p>
    <w:p w14:paraId="22D0040B" w14:textId="77777777" w:rsidR="00E21B6E" w:rsidRDefault="00E21B6E" w:rsidP="00E21B6E">
      <w:pPr>
        <w:pStyle w:val="Header"/>
        <w:tabs>
          <w:tab w:val="right" w:pos="9346"/>
        </w:tabs>
      </w:pPr>
    </w:p>
    <w:p w14:paraId="2137DE55" w14:textId="29CA6D8B" w:rsidR="00E21B6E" w:rsidRDefault="00E21B6E" w:rsidP="00E21B6E">
      <w:pPr>
        <w:pStyle w:val="Header"/>
        <w:tabs>
          <w:tab w:val="right" w:pos="9346"/>
        </w:tabs>
      </w:pPr>
      <w:r>
        <w:t>Th</w:t>
      </w:r>
      <w:r w:rsidR="00C42E15">
        <w:t>e</w:t>
      </w:r>
      <w:r>
        <w:t xml:space="preserve"> webinar will </w:t>
      </w:r>
      <w:r w:rsidR="00C42E15">
        <w:t>feature</w:t>
      </w:r>
      <w:r>
        <w:t>:</w:t>
      </w:r>
    </w:p>
    <w:p w14:paraId="77592F87" w14:textId="55D9325B" w:rsidR="00E21B6E" w:rsidRPr="001D576E" w:rsidRDefault="00E21B6E" w:rsidP="00E21B6E">
      <w:pPr>
        <w:pStyle w:val="Header"/>
        <w:numPr>
          <w:ilvl w:val="0"/>
          <w:numId w:val="43"/>
        </w:numPr>
        <w:tabs>
          <w:tab w:val="right" w:pos="9346"/>
        </w:tabs>
        <w:rPr>
          <w:szCs w:val="22"/>
        </w:rPr>
      </w:pPr>
      <w:r>
        <w:t>An overview of the</w:t>
      </w:r>
      <w:r w:rsidR="00C609BD">
        <w:t xml:space="preserve"> power of the</w:t>
      </w:r>
      <w:r>
        <w:t xml:space="preserve"> </w:t>
      </w:r>
      <w:r w:rsidR="001519EB">
        <w:t>platform</w:t>
      </w:r>
      <w:r>
        <w:t xml:space="preserve">, showcasing the broadband, health and rural </w:t>
      </w:r>
      <w:r w:rsidR="001519EB">
        <w:t>“</w:t>
      </w:r>
      <w:r>
        <w:t>filters</w:t>
      </w:r>
      <w:r w:rsidR="001519EB">
        <w:t>”</w:t>
      </w:r>
      <w:r w:rsidR="002E7CF3">
        <w:t xml:space="preserve"> that drive the functionality</w:t>
      </w:r>
      <w:r>
        <w:t>;</w:t>
      </w:r>
    </w:p>
    <w:p w14:paraId="33814747" w14:textId="77777777" w:rsidR="00E21B6E" w:rsidRPr="00ED3AD0" w:rsidRDefault="00E21B6E" w:rsidP="00E21B6E">
      <w:pPr>
        <w:pStyle w:val="Header"/>
        <w:numPr>
          <w:ilvl w:val="0"/>
          <w:numId w:val="43"/>
        </w:numPr>
        <w:tabs>
          <w:tab w:val="right" w:pos="9346"/>
        </w:tabs>
        <w:rPr>
          <w:szCs w:val="22"/>
        </w:rPr>
      </w:pPr>
      <w:r>
        <w:t>Step-by-step instructions and user scenarios tailored to how agencies can use the platform to drive broadband health efforts in their respective areas and communities;</w:t>
      </w:r>
    </w:p>
    <w:p w14:paraId="019844BD" w14:textId="086DA421" w:rsidR="00E21B6E" w:rsidRPr="001D576E" w:rsidRDefault="001519EB" w:rsidP="00E21B6E">
      <w:pPr>
        <w:pStyle w:val="Header"/>
        <w:numPr>
          <w:ilvl w:val="0"/>
          <w:numId w:val="43"/>
        </w:numPr>
        <w:tabs>
          <w:tab w:val="right" w:pos="9346"/>
        </w:tabs>
        <w:rPr>
          <w:szCs w:val="22"/>
        </w:rPr>
      </w:pPr>
      <w:r>
        <w:rPr>
          <w:szCs w:val="22"/>
        </w:rPr>
        <w:t>Information on</w:t>
      </w:r>
      <w:r w:rsidR="00E21B6E">
        <w:rPr>
          <w:szCs w:val="22"/>
        </w:rPr>
        <w:t xml:space="preserve"> how agency web developers and data experts can incorporate their own proprietary or public datasets of interest into the mapping platform – our so-called, “open integration” model; and</w:t>
      </w:r>
    </w:p>
    <w:p w14:paraId="4991C740" w14:textId="7B911780" w:rsidR="00E21B6E" w:rsidRPr="003C2F26" w:rsidRDefault="00591601" w:rsidP="00E21B6E">
      <w:pPr>
        <w:pStyle w:val="Header"/>
        <w:numPr>
          <w:ilvl w:val="0"/>
          <w:numId w:val="43"/>
        </w:numPr>
        <w:tabs>
          <w:tab w:val="right" w:pos="9346"/>
        </w:tabs>
        <w:rPr>
          <w:szCs w:val="22"/>
        </w:rPr>
      </w:pPr>
      <w:r>
        <w:t>A</w:t>
      </w:r>
      <w:r w:rsidR="00083A33">
        <w:t xml:space="preserve">n opportunity to </w:t>
      </w:r>
      <w:r w:rsidR="007C3B3F">
        <w:t>pose</w:t>
      </w:r>
      <w:r w:rsidR="00083A33">
        <w:t xml:space="preserve"> questions about the broadband health mapping platform</w:t>
      </w:r>
      <w:r w:rsidR="000024ED">
        <w:t xml:space="preserve"> to Connect2Health</w:t>
      </w:r>
      <w:r w:rsidR="000024ED" w:rsidRPr="0013068F">
        <w:rPr>
          <w:vertAlign w:val="superscript"/>
        </w:rPr>
        <w:t>FCC</w:t>
      </w:r>
      <w:r w:rsidR="000024ED">
        <w:t xml:space="preserve"> experts</w:t>
      </w:r>
      <w:r w:rsidR="00E21B6E">
        <w:t xml:space="preserve">.  </w:t>
      </w:r>
    </w:p>
    <w:p w14:paraId="7895ABC1" w14:textId="77777777" w:rsidR="00E21B6E" w:rsidRDefault="00E21B6E" w:rsidP="00E21B6E"/>
    <w:p w14:paraId="20EAF7B0" w14:textId="77777777" w:rsidR="00E21B6E" w:rsidRDefault="00E21B6E" w:rsidP="00E21B6E">
      <w:r>
        <w:t>Webinar Presenters:</w:t>
      </w:r>
    </w:p>
    <w:p w14:paraId="712CD60E" w14:textId="77777777" w:rsidR="00E21B6E" w:rsidRDefault="00E21B6E" w:rsidP="00E21B6E">
      <w:pPr>
        <w:pStyle w:val="ListParagraph"/>
        <w:numPr>
          <w:ilvl w:val="0"/>
          <w:numId w:val="44"/>
        </w:numPr>
        <w:contextualSpacing w:val="0"/>
      </w:pPr>
      <w:r>
        <w:t>Dr. Yahya Shaikh, Chief Data Officer at Greystone Health IT Solutions and Senior Consultant to the Connect2Health</w:t>
      </w:r>
      <w:r w:rsidRPr="003C2F26">
        <w:rPr>
          <w:vertAlign w:val="superscript"/>
        </w:rPr>
        <w:t>FCC</w:t>
      </w:r>
      <w:r>
        <w:t xml:space="preserve"> Task Force;</w:t>
      </w:r>
    </w:p>
    <w:p w14:paraId="601CBCFD" w14:textId="77777777" w:rsidR="00E21B6E" w:rsidRDefault="00E21B6E" w:rsidP="00E21B6E">
      <w:pPr>
        <w:pStyle w:val="ListParagraph"/>
        <w:numPr>
          <w:ilvl w:val="0"/>
          <w:numId w:val="44"/>
        </w:numPr>
        <w:contextualSpacing w:val="0"/>
      </w:pPr>
      <w:r>
        <w:lastRenderedPageBreak/>
        <w:t>Karen Onyeije, Chief of Staff, Connect2Health</w:t>
      </w:r>
      <w:r>
        <w:rPr>
          <w:vertAlign w:val="superscript"/>
        </w:rPr>
        <w:t xml:space="preserve">FCC  </w:t>
      </w:r>
      <w:r>
        <w:t xml:space="preserve">Task Force; and  </w:t>
      </w:r>
    </w:p>
    <w:p w14:paraId="24F8B497" w14:textId="506A18E3" w:rsidR="00C54E02" w:rsidRDefault="00E21B6E" w:rsidP="0013068F">
      <w:pPr>
        <w:pStyle w:val="ListParagraph"/>
        <w:numPr>
          <w:ilvl w:val="0"/>
          <w:numId w:val="44"/>
        </w:numPr>
        <w:contextualSpacing w:val="0"/>
      </w:pPr>
      <w:r>
        <w:t>Katie Gorscak, Director of Communications, Connect2Health</w:t>
      </w:r>
      <w:r>
        <w:rPr>
          <w:vertAlign w:val="superscript"/>
        </w:rPr>
        <w:t>FCC </w:t>
      </w:r>
      <w:r>
        <w:t xml:space="preserve">Task Force. </w:t>
      </w:r>
      <w:r w:rsidR="0013068F">
        <w:br/>
      </w:r>
    </w:p>
    <w:p w14:paraId="2B10E72F" w14:textId="0C1759E8" w:rsidR="00C54E02" w:rsidRDefault="00C54E02" w:rsidP="00C54E02">
      <w:pPr>
        <w:spacing w:after="200"/>
      </w:pPr>
      <w:r>
        <w:t xml:space="preserve">The webinar will be available via WebEx. </w:t>
      </w:r>
      <w:r w:rsidR="007C4E8B">
        <w:t xml:space="preserve"> </w:t>
      </w:r>
      <w:r>
        <w:t>To register, go to</w:t>
      </w:r>
      <w:r w:rsidRPr="00D22E07">
        <w:t xml:space="preserve"> </w:t>
      </w:r>
      <w:hyperlink r:id="rId20" w:history="1">
        <w:r w:rsidRPr="000D65B8">
          <w:rPr>
            <w:rStyle w:val="Hyperlink"/>
          </w:rPr>
          <w:t>https://www.fcc.gov/news-events/events/2016/11/mapping-connected-health-county-county</w:t>
        </w:r>
      </w:hyperlink>
      <w:r>
        <w:t xml:space="preserve">. </w:t>
      </w:r>
      <w:r w:rsidR="007C4E8B">
        <w:t xml:space="preserve"> </w:t>
      </w:r>
      <w:r>
        <w:t xml:space="preserve">On the </w:t>
      </w:r>
      <w:r>
        <w:rPr>
          <w:bCs/>
        </w:rPr>
        <w:t>event i</w:t>
      </w:r>
      <w:r w:rsidRPr="00085163">
        <w:rPr>
          <w:bCs/>
        </w:rPr>
        <w:t>nformation</w:t>
      </w:r>
      <w:r w:rsidRPr="00085163">
        <w:t xml:space="preserve"> page click on </w:t>
      </w:r>
      <w:r>
        <w:t>the registration link,</w:t>
      </w:r>
      <w:r w:rsidRPr="00085163">
        <w:t xml:space="preserve"> provide the required information</w:t>
      </w:r>
      <w:r>
        <w:t>,</w:t>
      </w:r>
      <w:r w:rsidRPr="00085163">
        <w:t xml:space="preserve"> and </w:t>
      </w:r>
      <w:r>
        <w:t xml:space="preserve">then </w:t>
      </w:r>
      <w:r w:rsidRPr="00085163">
        <w:t xml:space="preserve">click on </w:t>
      </w:r>
      <w:r>
        <w:t>“</w:t>
      </w:r>
      <w:r w:rsidRPr="00085163">
        <w:rPr>
          <w:bCs/>
        </w:rPr>
        <w:t>Submit</w:t>
      </w:r>
      <w:r>
        <w:rPr>
          <w:bCs/>
        </w:rPr>
        <w:t>” to complete your registration</w:t>
      </w:r>
      <w:r w:rsidR="007C4E8B">
        <w:t xml:space="preserve">.  </w:t>
      </w:r>
      <w:r w:rsidRPr="00085163">
        <w:t>Once registered you will receive a confi</w:t>
      </w:r>
      <w:r>
        <w:t>rmation email with</w:t>
      </w:r>
      <w:r w:rsidRPr="00085163">
        <w:t xml:space="preserve"> instructions for joining the event, the password, and the link for the meeting.</w:t>
      </w:r>
    </w:p>
    <w:p w14:paraId="1A378DAC" w14:textId="3CC1CFB9" w:rsidR="00E21B6E" w:rsidRDefault="00E21B6E" w:rsidP="00E21B6E">
      <w:pPr>
        <w:pStyle w:val="Header"/>
        <w:tabs>
          <w:tab w:val="right" w:pos="9346"/>
        </w:tabs>
      </w:pPr>
      <w:r>
        <w:t xml:space="preserve">Reasonable accommodations for persons with disabilities are available upon request. </w:t>
      </w:r>
      <w:r w:rsidR="00591601">
        <w:t xml:space="preserve"> </w:t>
      </w:r>
      <w:r>
        <w:t xml:space="preserve">Please include a description of the accommodation you will need. Individuals making such requests must include their contact information should FCC staff need to contact them for more information. </w:t>
      </w:r>
      <w:r w:rsidR="007C4E8B">
        <w:t xml:space="preserve"> R</w:t>
      </w:r>
      <w:r>
        <w:t xml:space="preserve">equests should be made as early as possible. </w:t>
      </w:r>
      <w:r w:rsidR="007C4E8B">
        <w:t xml:space="preserve"> </w:t>
      </w:r>
      <w:r>
        <w:t xml:space="preserve">Please send an e-mail to fcc504@fcc.gov or call the Consumer &amp; Governmental Affairs Bureau: 202-418-0530 (voice), 202-418-0432 (TTY). </w:t>
      </w:r>
    </w:p>
    <w:p w14:paraId="6042C039" w14:textId="77777777" w:rsidR="00E21B6E" w:rsidRDefault="00E21B6E" w:rsidP="00E21B6E">
      <w:pPr>
        <w:pStyle w:val="Header"/>
        <w:tabs>
          <w:tab w:val="right" w:pos="9346"/>
        </w:tabs>
      </w:pPr>
    </w:p>
    <w:p w14:paraId="7BD52225" w14:textId="40B85A22" w:rsidR="00E21B6E" w:rsidRDefault="00E21B6E" w:rsidP="00E21B6E">
      <w:pPr>
        <w:pStyle w:val="Header"/>
        <w:tabs>
          <w:tab w:val="right" w:pos="9346"/>
        </w:tabs>
      </w:pPr>
      <w:r>
        <w:t xml:space="preserve">For additional information about the webinar, please contact Barbara Britt at </w:t>
      </w:r>
      <w:hyperlink r:id="rId21" w:history="1">
        <w:r w:rsidRPr="00197AE3">
          <w:rPr>
            <w:rStyle w:val="Hyperlink"/>
          </w:rPr>
          <w:t>Barbara.Britt@fcc.gov</w:t>
        </w:r>
      </w:hyperlink>
      <w:r>
        <w:t xml:space="preserve"> or (202) 418-0323 or Katie Gorscak at </w:t>
      </w:r>
      <w:hyperlink r:id="rId22" w:history="1">
        <w:r w:rsidRPr="00592E6A">
          <w:rPr>
            <w:rStyle w:val="Hyperlink"/>
          </w:rPr>
          <w:t>Katie.</w:t>
        </w:r>
        <w:r w:rsidRPr="00DA6D97">
          <w:rPr>
            <w:rStyle w:val="Hyperlink"/>
          </w:rPr>
          <w:t>Gorscak@fcc.gov</w:t>
        </w:r>
      </w:hyperlink>
      <w:r>
        <w:t xml:space="preserve"> or (202) 418-2156. </w:t>
      </w:r>
    </w:p>
    <w:p w14:paraId="3A8BE4AC" w14:textId="77777777" w:rsidR="00E21B6E" w:rsidRDefault="00E21B6E" w:rsidP="00E21B6E">
      <w:pPr>
        <w:pStyle w:val="Header"/>
        <w:tabs>
          <w:tab w:val="right" w:pos="9346"/>
        </w:tabs>
      </w:pPr>
    </w:p>
    <w:p w14:paraId="23D05E72" w14:textId="77777777" w:rsidR="00E21B6E" w:rsidRDefault="00E21B6E" w:rsidP="00E21B6E">
      <w:pPr>
        <w:pStyle w:val="Header"/>
        <w:tabs>
          <w:tab w:val="right" w:pos="9346"/>
        </w:tabs>
      </w:pPr>
    </w:p>
    <w:p w14:paraId="0BC40B97" w14:textId="77777777" w:rsidR="00E21B6E" w:rsidRPr="005C72D8" w:rsidRDefault="00E21B6E" w:rsidP="00E21B6E">
      <w:pPr>
        <w:autoSpaceDE w:val="0"/>
        <w:autoSpaceDN w:val="0"/>
        <w:adjustRightInd w:val="0"/>
        <w:rPr>
          <w:szCs w:val="22"/>
          <w:shd w:val="clear" w:color="auto" w:fill="FFFFFF"/>
        </w:rPr>
      </w:pPr>
    </w:p>
    <w:p w14:paraId="7AFD60F7" w14:textId="77777777" w:rsidR="00E21B6E" w:rsidRPr="008E74ED" w:rsidRDefault="00E21B6E" w:rsidP="00E21B6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14:paraId="657DDE03" w14:textId="77777777" w:rsidR="00E21B6E" w:rsidRPr="008E74ED" w:rsidRDefault="00E21B6E" w:rsidP="00E21B6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</w:p>
    <w:p w14:paraId="6F67C923" w14:textId="69D627F1" w:rsidR="008E74ED" w:rsidRPr="008E74ED" w:rsidRDefault="008E74ED" w:rsidP="008E74ED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</w:p>
    <w:sectPr w:rsidR="008E74ED" w:rsidRPr="008E74ED"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741CE" w14:textId="77777777" w:rsidR="000279F7" w:rsidRDefault="000279F7">
      <w:r>
        <w:separator/>
      </w:r>
    </w:p>
  </w:endnote>
  <w:endnote w:type="continuationSeparator" w:id="0">
    <w:p w14:paraId="0C568168" w14:textId="77777777" w:rsidR="000279F7" w:rsidRDefault="000279F7">
      <w:r>
        <w:continuationSeparator/>
      </w:r>
    </w:p>
  </w:endnote>
  <w:endnote w:type="continuationNotice" w:id="1">
    <w:p w14:paraId="741EFADA" w14:textId="77777777" w:rsidR="000279F7" w:rsidRDefault="0002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583B" w14:textId="77777777" w:rsidR="001433A2" w:rsidRDefault="00143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95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728CA" w14:textId="77777777" w:rsidR="009370DF" w:rsidRDefault="0093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4D0CF" w14:textId="77777777" w:rsidR="009370DF" w:rsidRDefault="009370DF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C7F2" w14:textId="77777777" w:rsidR="001433A2" w:rsidRDefault="001433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7635" w14:textId="77777777" w:rsidR="00E21B6E" w:rsidRDefault="00E21B6E">
    <w:pPr>
      <w:pStyle w:val="Footer"/>
    </w:pPr>
  </w:p>
  <w:p w14:paraId="02909D55" w14:textId="77777777" w:rsidR="00E21B6E" w:rsidRDefault="00E21B6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4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917E3" w14:textId="77777777" w:rsidR="00E21B6E" w:rsidRDefault="00E21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6303B" w14:textId="77777777" w:rsidR="00E21B6E" w:rsidRDefault="00E21B6E" w:rsidP="001B2E0A">
    <w:pPr>
      <w:pStyle w:val="Footer"/>
      <w:jc w:val="center"/>
    </w:pPr>
  </w:p>
  <w:p w14:paraId="4E452D26" w14:textId="77777777" w:rsidR="00E21B6E" w:rsidRDefault="00E21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699D" w14:textId="77777777" w:rsidR="000279F7" w:rsidRDefault="000279F7">
      <w:r>
        <w:separator/>
      </w:r>
    </w:p>
  </w:footnote>
  <w:footnote w:type="continuationSeparator" w:id="0">
    <w:p w14:paraId="44161375" w14:textId="77777777" w:rsidR="000279F7" w:rsidRDefault="000279F7">
      <w:r>
        <w:continuationSeparator/>
      </w:r>
    </w:p>
  </w:footnote>
  <w:footnote w:type="continuationNotice" w:id="1">
    <w:p w14:paraId="6592CC12" w14:textId="77777777" w:rsidR="000279F7" w:rsidRDefault="000279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61C9" w14:textId="77777777" w:rsidR="001433A2" w:rsidRDefault="00143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7DAB" w14:textId="77777777" w:rsidR="001433A2" w:rsidRDefault="00143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4D6E" w14:textId="65F92E58" w:rsidR="00C01135" w:rsidRPr="00197ADD" w:rsidRDefault="00C01135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6704" behindDoc="0" locked="0" layoutInCell="0" allowOverlap="1" wp14:anchorId="361A75BE" wp14:editId="3023CF85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8DCDE75" wp14:editId="7C4F10BB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51BA5" w14:textId="77777777"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73263C2" w14:textId="77777777"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329C2A7" w14:textId="77777777" w:rsidR="00C01135" w:rsidRDefault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DCDE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14:paraId="35F51BA5" w14:textId="77777777"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73263C2" w14:textId="77777777"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0329C2A7" w14:textId="77777777" w:rsidR="00C01135" w:rsidRDefault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14:paraId="767B5C95" w14:textId="77777777" w:rsidR="00C01135" w:rsidRDefault="00C0113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041DB29" wp14:editId="798165DE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913B84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2DFBC5" wp14:editId="2320A20A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D7C26" w14:textId="77777777" w:rsidR="00C01135" w:rsidRDefault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96072C8" w14:textId="77777777"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7420263D" w14:textId="77777777"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1067EC39" w14:textId="77777777" w:rsidR="00C01135" w:rsidRDefault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2DFBC5" id="Text Box 5" o:spid="_x0000_s1027" type="#_x0000_t202" style="position:absolute;left:0;text-align:left;margin-left:336.7pt;margin-top:10.25pt;width:207.9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14:paraId="1D0D7C26" w14:textId="77777777" w:rsidR="00C01135" w:rsidRDefault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296072C8" w14:textId="77777777"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7420263D" w14:textId="77777777"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1067EC39" w14:textId="77777777" w:rsidR="00C01135" w:rsidRDefault="00C011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59BC858" w14:textId="77777777" w:rsidR="00C01135" w:rsidRDefault="00C01135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440DA" w14:textId="77777777" w:rsidR="00E21B6E" w:rsidRDefault="00E21B6E">
    <w:pPr>
      <w:pStyle w:val="Header"/>
    </w:pPr>
  </w:p>
  <w:p w14:paraId="3DC8E794" w14:textId="77777777" w:rsidR="00E21B6E" w:rsidRDefault="00E21B6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9589" w14:textId="77777777" w:rsidR="00E21B6E" w:rsidRDefault="00E21B6E">
    <w:pPr>
      <w:pStyle w:val="Header"/>
    </w:pPr>
  </w:p>
  <w:p w14:paraId="27DF8A41" w14:textId="77777777" w:rsidR="00E21B6E" w:rsidRDefault="00E21B6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7A92" w14:textId="704077DB" w:rsidR="00E21B6E" w:rsidRPr="00013C96" w:rsidRDefault="00E21B6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color w:val="FF0000"/>
        <w:kern w:val="28"/>
        <w:szCs w:val="22"/>
      </w:rPr>
    </w:pPr>
    <w:r w:rsidRPr="00013C96">
      <w:rPr>
        <w:rFonts w:ascii="Arial" w:hAnsi="Arial" w:cs="Arial"/>
        <w:b/>
        <w:color w:val="FF0000"/>
        <w:kern w:val="28"/>
        <w:szCs w:val="22"/>
      </w:rPr>
      <w:t>Working Draft, Not for Public Distribution</w:t>
    </w:r>
  </w:p>
  <w:p w14:paraId="27D4052A" w14:textId="77777777" w:rsidR="00E21B6E" w:rsidRPr="00197ADD" w:rsidRDefault="00E21B6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0800" behindDoc="0" locked="0" layoutInCell="0" allowOverlap="1" wp14:anchorId="6F8AB261" wp14:editId="36EA31F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8ACA62" wp14:editId="5482F7A7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E17AA" w14:textId="77777777" w:rsidR="00E21B6E" w:rsidRDefault="00E21B6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0A2ED7A9" w14:textId="77777777" w:rsidR="00E21B6E" w:rsidRDefault="00E21B6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2142E75" w14:textId="77777777" w:rsidR="00E21B6E" w:rsidRDefault="00E21B6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8ACA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7.6pt;margin-top:57.6pt;width:244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E2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MIf&#10;8Ta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14:paraId="748E17AA" w14:textId="77777777" w:rsidR="00E21B6E" w:rsidRDefault="00E21B6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0A2ED7A9" w14:textId="77777777" w:rsidR="00E21B6E" w:rsidRDefault="00E21B6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42142E75" w14:textId="77777777" w:rsidR="00E21B6E" w:rsidRDefault="00E21B6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14:paraId="0BD6D2BC" w14:textId="77777777" w:rsidR="00E21B6E" w:rsidRDefault="00E21B6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63AAA5" wp14:editId="6D9641C6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D6CA0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aH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I+oVoc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8662DDC" wp14:editId="42FA1E2C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B4599" w14:textId="77777777" w:rsidR="00E21B6E" w:rsidRDefault="00E21B6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3E9BF05" w14:textId="77777777" w:rsidR="00E21B6E" w:rsidRDefault="00E21B6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14:paraId="195204C0" w14:textId="77777777" w:rsidR="00E21B6E" w:rsidRDefault="00E21B6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7A8CFCBC" w14:textId="77777777" w:rsidR="00E21B6E" w:rsidRDefault="00E21B6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662DDC" id="_x0000_s1029" type="#_x0000_t202" style="position:absolute;left:0;text-align:left;margin-left:336.7pt;margin-top:10.25pt;width:207.9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sjgQIAAA4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1AC7&#10;I4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14:paraId="133B4599" w14:textId="77777777" w:rsidR="00E21B6E" w:rsidRDefault="00E21B6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3E9BF05" w14:textId="77777777" w:rsidR="00E21B6E" w:rsidRDefault="00E21B6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14:paraId="195204C0" w14:textId="77777777" w:rsidR="00E21B6E" w:rsidRDefault="00E21B6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7A8CFCBC" w14:textId="77777777" w:rsidR="00E21B6E" w:rsidRDefault="00E21B6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B5F2BCC" w14:textId="77777777" w:rsidR="00E21B6E" w:rsidRDefault="00E21B6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C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 w:tplc="1BD6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 w:tplc="C2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776D"/>
    <w:multiLevelType w:val="hybridMultilevel"/>
    <w:tmpl w:val="E08871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310C470A"/>
    <w:multiLevelType w:val="hybridMultilevel"/>
    <w:tmpl w:val="E0C441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1D2CFE"/>
    <w:multiLevelType w:val="hybridMultilevel"/>
    <w:tmpl w:val="7CB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E297A3E"/>
    <w:multiLevelType w:val="hybridMultilevel"/>
    <w:tmpl w:val="FA3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F2DDA"/>
    <w:multiLevelType w:val="hybridMultilevel"/>
    <w:tmpl w:val="164818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A7363BD"/>
    <w:multiLevelType w:val="hybridMultilevel"/>
    <w:tmpl w:val="2F2AD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054FB0"/>
    <w:multiLevelType w:val="hybridMultilevel"/>
    <w:tmpl w:val="D24C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69328F"/>
    <w:multiLevelType w:val="hybridMultilevel"/>
    <w:tmpl w:val="CE844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F2EC3"/>
    <w:multiLevelType w:val="hybridMultilevel"/>
    <w:tmpl w:val="AFFCE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DFE45F1"/>
    <w:multiLevelType w:val="hybridMultilevel"/>
    <w:tmpl w:val="DF543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F3525"/>
    <w:multiLevelType w:val="hybridMultilevel"/>
    <w:tmpl w:val="393E6D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6">
    <w:nsid w:val="549A617E"/>
    <w:multiLevelType w:val="hybridMultilevel"/>
    <w:tmpl w:val="7DAE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8">
    <w:nsid w:val="59EF6ACC"/>
    <w:multiLevelType w:val="hybridMultilevel"/>
    <w:tmpl w:val="B3FA2190"/>
    <w:lvl w:ilvl="0" w:tplc="04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9">
    <w:nsid w:val="5B6B4F0B"/>
    <w:multiLevelType w:val="hybridMultilevel"/>
    <w:tmpl w:val="5E0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1">
    <w:nsid w:val="5FB576B3"/>
    <w:multiLevelType w:val="hybridMultilevel"/>
    <w:tmpl w:val="189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2403A"/>
    <w:multiLevelType w:val="hybridMultilevel"/>
    <w:tmpl w:val="B68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026891"/>
    <w:multiLevelType w:val="hybridMultilevel"/>
    <w:tmpl w:val="9B546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B72BBC"/>
    <w:multiLevelType w:val="hybridMultilevel"/>
    <w:tmpl w:val="EEA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424C3"/>
    <w:multiLevelType w:val="hybridMultilevel"/>
    <w:tmpl w:val="397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C0918"/>
    <w:multiLevelType w:val="hybridMultilevel"/>
    <w:tmpl w:val="06E866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A002499"/>
    <w:multiLevelType w:val="hybridMultilevel"/>
    <w:tmpl w:val="5BAE9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12"/>
  </w:num>
  <w:num w:numId="5">
    <w:abstractNumId w:val="30"/>
  </w:num>
  <w:num w:numId="6">
    <w:abstractNumId w:val="30"/>
  </w:num>
  <w:num w:numId="7">
    <w:abstractNumId w:val="30"/>
  </w:num>
  <w:num w:numId="8">
    <w:abstractNumId w:val="30"/>
  </w:num>
  <w:num w:numId="9">
    <w:abstractNumId w:val="30"/>
  </w:num>
  <w:num w:numId="10">
    <w:abstractNumId w:val="30"/>
  </w:num>
  <w:num w:numId="11">
    <w:abstractNumId w:val="24"/>
  </w:num>
  <w:num w:numId="12">
    <w:abstractNumId w:val="15"/>
  </w:num>
  <w:num w:numId="13">
    <w:abstractNumId w:val="34"/>
  </w:num>
  <w:num w:numId="14">
    <w:abstractNumId w:val="2"/>
  </w:num>
  <w:num w:numId="15">
    <w:abstractNumId w:val="17"/>
  </w:num>
  <w:num w:numId="16">
    <w:abstractNumId w:val="4"/>
  </w:num>
  <w:num w:numId="17">
    <w:abstractNumId w:val="28"/>
  </w:num>
  <w:num w:numId="18">
    <w:abstractNumId w:val="11"/>
  </w:num>
  <w:num w:numId="19">
    <w:abstractNumId w:val="23"/>
  </w:num>
  <w:num w:numId="20">
    <w:abstractNumId w:val="7"/>
  </w:num>
  <w:num w:numId="21">
    <w:abstractNumId w:val="36"/>
  </w:num>
  <w:num w:numId="22">
    <w:abstractNumId w:val="6"/>
  </w:num>
  <w:num w:numId="23">
    <w:abstractNumId w:val="22"/>
  </w:num>
  <w:num w:numId="24">
    <w:abstractNumId w:val="18"/>
  </w:num>
  <w:num w:numId="25">
    <w:abstractNumId w:val="35"/>
  </w:num>
  <w:num w:numId="26">
    <w:abstractNumId w:val="31"/>
  </w:num>
  <w:num w:numId="27">
    <w:abstractNumId w:val="20"/>
  </w:num>
  <w:num w:numId="28">
    <w:abstractNumId w:val="33"/>
  </w:num>
  <w:num w:numId="29">
    <w:abstractNumId w:val="5"/>
  </w:num>
  <w:num w:numId="30">
    <w:abstractNumId w:val="14"/>
  </w:num>
  <w:num w:numId="31">
    <w:abstractNumId w:val="32"/>
  </w:num>
  <w:num w:numId="32">
    <w:abstractNumId w:val="8"/>
  </w:num>
  <w:num w:numId="33">
    <w:abstractNumId w:val="29"/>
  </w:num>
  <w:num w:numId="34">
    <w:abstractNumId w:val="16"/>
  </w:num>
  <w:num w:numId="35">
    <w:abstractNumId w:val="0"/>
  </w:num>
  <w:num w:numId="36">
    <w:abstractNumId w:val="19"/>
  </w:num>
  <w:num w:numId="37">
    <w:abstractNumId w:val="26"/>
  </w:num>
  <w:num w:numId="38">
    <w:abstractNumId w:val="3"/>
  </w:num>
  <w:num w:numId="39">
    <w:abstractNumId w:val="9"/>
  </w:num>
  <w:num w:numId="40">
    <w:abstractNumId w:val="1"/>
  </w:num>
  <w:num w:numId="41">
    <w:abstractNumId w:val="21"/>
  </w:num>
  <w:num w:numId="42">
    <w:abstractNumId w:val="10"/>
  </w:num>
  <w:num w:numId="43">
    <w:abstractNumId w:val="3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227"/>
    <w:rsid w:val="000024ED"/>
    <w:rsid w:val="00011539"/>
    <w:rsid w:val="00015EB3"/>
    <w:rsid w:val="00017367"/>
    <w:rsid w:val="000279F7"/>
    <w:rsid w:val="00031E89"/>
    <w:rsid w:val="00041A41"/>
    <w:rsid w:val="00043887"/>
    <w:rsid w:val="000467FF"/>
    <w:rsid w:val="00054459"/>
    <w:rsid w:val="0005774B"/>
    <w:rsid w:val="00064ACA"/>
    <w:rsid w:val="0007009A"/>
    <w:rsid w:val="00071F94"/>
    <w:rsid w:val="0007279D"/>
    <w:rsid w:val="0008138A"/>
    <w:rsid w:val="000835D0"/>
    <w:rsid w:val="00083A33"/>
    <w:rsid w:val="00085BAC"/>
    <w:rsid w:val="00087BFE"/>
    <w:rsid w:val="000901E1"/>
    <w:rsid w:val="00092999"/>
    <w:rsid w:val="00093882"/>
    <w:rsid w:val="000A614C"/>
    <w:rsid w:val="000B5374"/>
    <w:rsid w:val="000B7D17"/>
    <w:rsid w:val="000C0511"/>
    <w:rsid w:val="000C17C8"/>
    <w:rsid w:val="000C3A08"/>
    <w:rsid w:val="000C6318"/>
    <w:rsid w:val="000C6E9E"/>
    <w:rsid w:val="000C7672"/>
    <w:rsid w:val="000D1CA6"/>
    <w:rsid w:val="000E4964"/>
    <w:rsid w:val="000F552D"/>
    <w:rsid w:val="00103FE5"/>
    <w:rsid w:val="001044DF"/>
    <w:rsid w:val="00106E88"/>
    <w:rsid w:val="0010735B"/>
    <w:rsid w:val="0011418B"/>
    <w:rsid w:val="00115B54"/>
    <w:rsid w:val="0013068F"/>
    <w:rsid w:val="001433A2"/>
    <w:rsid w:val="00145C04"/>
    <w:rsid w:val="001519EB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A10DE"/>
    <w:rsid w:val="001B0108"/>
    <w:rsid w:val="001B2E0A"/>
    <w:rsid w:val="001C374A"/>
    <w:rsid w:val="001C6499"/>
    <w:rsid w:val="001D00AF"/>
    <w:rsid w:val="001D52FE"/>
    <w:rsid w:val="001D7B71"/>
    <w:rsid w:val="001F0C19"/>
    <w:rsid w:val="001F2BB9"/>
    <w:rsid w:val="001F60FE"/>
    <w:rsid w:val="002047BB"/>
    <w:rsid w:val="00211FA7"/>
    <w:rsid w:val="00212398"/>
    <w:rsid w:val="00212657"/>
    <w:rsid w:val="002137EB"/>
    <w:rsid w:val="00215FDD"/>
    <w:rsid w:val="00217F3B"/>
    <w:rsid w:val="00231C6E"/>
    <w:rsid w:val="002337A3"/>
    <w:rsid w:val="00240338"/>
    <w:rsid w:val="00242F7E"/>
    <w:rsid w:val="00244E1A"/>
    <w:rsid w:val="0025025F"/>
    <w:rsid w:val="00251E70"/>
    <w:rsid w:val="00261EB4"/>
    <w:rsid w:val="00267341"/>
    <w:rsid w:val="00267DFF"/>
    <w:rsid w:val="0027246B"/>
    <w:rsid w:val="00274006"/>
    <w:rsid w:val="00276CBF"/>
    <w:rsid w:val="002817F0"/>
    <w:rsid w:val="00292572"/>
    <w:rsid w:val="002A7A96"/>
    <w:rsid w:val="002B072C"/>
    <w:rsid w:val="002B4B1B"/>
    <w:rsid w:val="002C5902"/>
    <w:rsid w:val="002C6827"/>
    <w:rsid w:val="002C7E42"/>
    <w:rsid w:val="002D62E1"/>
    <w:rsid w:val="002E3C93"/>
    <w:rsid w:val="002E7CF3"/>
    <w:rsid w:val="002F0364"/>
    <w:rsid w:val="0031471A"/>
    <w:rsid w:val="00314CC3"/>
    <w:rsid w:val="00316577"/>
    <w:rsid w:val="003221F7"/>
    <w:rsid w:val="00341C9D"/>
    <w:rsid w:val="00342377"/>
    <w:rsid w:val="0034270E"/>
    <w:rsid w:val="0034398A"/>
    <w:rsid w:val="00383DEC"/>
    <w:rsid w:val="003912DC"/>
    <w:rsid w:val="003B2C40"/>
    <w:rsid w:val="003B316F"/>
    <w:rsid w:val="003D0C9E"/>
    <w:rsid w:val="003D31A9"/>
    <w:rsid w:val="003D612F"/>
    <w:rsid w:val="003E6E53"/>
    <w:rsid w:val="003F7992"/>
    <w:rsid w:val="00407380"/>
    <w:rsid w:val="00410394"/>
    <w:rsid w:val="004104CA"/>
    <w:rsid w:val="0041201C"/>
    <w:rsid w:val="00415259"/>
    <w:rsid w:val="00427FE4"/>
    <w:rsid w:val="0043111F"/>
    <w:rsid w:val="00442885"/>
    <w:rsid w:val="00443A1F"/>
    <w:rsid w:val="004465B8"/>
    <w:rsid w:val="00460DA5"/>
    <w:rsid w:val="00460FC3"/>
    <w:rsid w:val="004613A2"/>
    <w:rsid w:val="0046617F"/>
    <w:rsid w:val="00471927"/>
    <w:rsid w:val="004804E7"/>
    <w:rsid w:val="00483012"/>
    <w:rsid w:val="00485E34"/>
    <w:rsid w:val="0048681B"/>
    <w:rsid w:val="00491E18"/>
    <w:rsid w:val="004A4D94"/>
    <w:rsid w:val="004A5CD4"/>
    <w:rsid w:val="004A77D1"/>
    <w:rsid w:val="004C07E1"/>
    <w:rsid w:val="004C0D83"/>
    <w:rsid w:val="004C22F2"/>
    <w:rsid w:val="004C6EE9"/>
    <w:rsid w:val="004D063D"/>
    <w:rsid w:val="004D1115"/>
    <w:rsid w:val="004D50BD"/>
    <w:rsid w:val="004E1EC6"/>
    <w:rsid w:val="004E263B"/>
    <w:rsid w:val="004E7D5D"/>
    <w:rsid w:val="00501CEA"/>
    <w:rsid w:val="005174C0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1601"/>
    <w:rsid w:val="00592558"/>
    <w:rsid w:val="005959F2"/>
    <w:rsid w:val="00596359"/>
    <w:rsid w:val="005A28D2"/>
    <w:rsid w:val="005A6A13"/>
    <w:rsid w:val="005B0908"/>
    <w:rsid w:val="005B7323"/>
    <w:rsid w:val="005C72D8"/>
    <w:rsid w:val="005D4F56"/>
    <w:rsid w:val="005E546B"/>
    <w:rsid w:val="005F2799"/>
    <w:rsid w:val="00601E84"/>
    <w:rsid w:val="00603709"/>
    <w:rsid w:val="00603CFF"/>
    <w:rsid w:val="00606199"/>
    <w:rsid w:val="00615379"/>
    <w:rsid w:val="0061618B"/>
    <w:rsid w:val="006246EE"/>
    <w:rsid w:val="00624DA3"/>
    <w:rsid w:val="00632027"/>
    <w:rsid w:val="006333B8"/>
    <w:rsid w:val="0064026E"/>
    <w:rsid w:val="0065363D"/>
    <w:rsid w:val="006539F0"/>
    <w:rsid w:val="006626F1"/>
    <w:rsid w:val="00664D5A"/>
    <w:rsid w:val="00671666"/>
    <w:rsid w:val="006859B6"/>
    <w:rsid w:val="00685A4A"/>
    <w:rsid w:val="00687CBF"/>
    <w:rsid w:val="00693337"/>
    <w:rsid w:val="006966BE"/>
    <w:rsid w:val="006A7CA5"/>
    <w:rsid w:val="006B230E"/>
    <w:rsid w:val="006B37D6"/>
    <w:rsid w:val="006C0A9D"/>
    <w:rsid w:val="006C4D84"/>
    <w:rsid w:val="006D1D18"/>
    <w:rsid w:val="006D7BCB"/>
    <w:rsid w:val="006E0003"/>
    <w:rsid w:val="006E7EEA"/>
    <w:rsid w:val="006F76AE"/>
    <w:rsid w:val="00715E67"/>
    <w:rsid w:val="007165C1"/>
    <w:rsid w:val="00720E82"/>
    <w:rsid w:val="00720EB1"/>
    <w:rsid w:val="00725D0A"/>
    <w:rsid w:val="00727E6E"/>
    <w:rsid w:val="007329DA"/>
    <w:rsid w:val="00736476"/>
    <w:rsid w:val="007427F3"/>
    <w:rsid w:val="00746F04"/>
    <w:rsid w:val="00747310"/>
    <w:rsid w:val="007525AF"/>
    <w:rsid w:val="00760C42"/>
    <w:rsid w:val="00763ACE"/>
    <w:rsid w:val="007676D4"/>
    <w:rsid w:val="00781779"/>
    <w:rsid w:val="00787384"/>
    <w:rsid w:val="007911D4"/>
    <w:rsid w:val="00792FCB"/>
    <w:rsid w:val="007A2620"/>
    <w:rsid w:val="007A30B0"/>
    <w:rsid w:val="007B0076"/>
    <w:rsid w:val="007C32CE"/>
    <w:rsid w:val="007C3B3F"/>
    <w:rsid w:val="007C4E8B"/>
    <w:rsid w:val="007C5E12"/>
    <w:rsid w:val="007C72B2"/>
    <w:rsid w:val="007D21BD"/>
    <w:rsid w:val="007D3163"/>
    <w:rsid w:val="007D73FD"/>
    <w:rsid w:val="007E21C1"/>
    <w:rsid w:val="00800F14"/>
    <w:rsid w:val="00810152"/>
    <w:rsid w:val="00813ADF"/>
    <w:rsid w:val="00821D5A"/>
    <w:rsid w:val="00823AA6"/>
    <w:rsid w:val="008264E3"/>
    <w:rsid w:val="008300B1"/>
    <w:rsid w:val="008627E8"/>
    <w:rsid w:val="00862BEB"/>
    <w:rsid w:val="00862F99"/>
    <w:rsid w:val="008764C0"/>
    <w:rsid w:val="00887277"/>
    <w:rsid w:val="00887CF7"/>
    <w:rsid w:val="008929E8"/>
    <w:rsid w:val="008953CA"/>
    <w:rsid w:val="008A10F1"/>
    <w:rsid w:val="008A400E"/>
    <w:rsid w:val="008B2523"/>
    <w:rsid w:val="008B75DC"/>
    <w:rsid w:val="008C4215"/>
    <w:rsid w:val="008C5981"/>
    <w:rsid w:val="008D4547"/>
    <w:rsid w:val="008D47D9"/>
    <w:rsid w:val="008E2BED"/>
    <w:rsid w:val="008E74ED"/>
    <w:rsid w:val="00913217"/>
    <w:rsid w:val="009132E5"/>
    <w:rsid w:val="0091628B"/>
    <w:rsid w:val="00922A7D"/>
    <w:rsid w:val="009306F8"/>
    <w:rsid w:val="009370DF"/>
    <w:rsid w:val="009374E5"/>
    <w:rsid w:val="009441C8"/>
    <w:rsid w:val="009516F8"/>
    <w:rsid w:val="00955AEF"/>
    <w:rsid w:val="00956510"/>
    <w:rsid w:val="00957C43"/>
    <w:rsid w:val="009678CA"/>
    <w:rsid w:val="00973131"/>
    <w:rsid w:val="00986BF3"/>
    <w:rsid w:val="00990518"/>
    <w:rsid w:val="00996C07"/>
    <w:rsid w:val="009A5B9B"/>
    <w:rsid w:val="009B053D"/>
    <w:rsid w:val="009B3069"/>
    <w:rsid w:val="009B7B97"/>
    <w:rsid w:val="009C0B43"/>
    <w:rsid w:val="009C2BB2"/>
    <w:rsid w:val="009D23EC"/>
    <w:rsid w:val="009E7D7C"/>
    <w:rsid w:val="009F3325"/>
    <w:rsid w:val="009F351A"/>
    <w:rsid w:val="009F5FBD"/>
    <w:rsid w:val="00A126F2"/>
    <w:rsid w:val="00A20BB8"/>
    <w:rsid w:val="00A32BE7"/>
    <w:rsid w:val="00A339C3"/>
    <w:rsid w:val="00A4744F"/>
    <w:rsid w:val="00A52B1E"/>
    <w:rsid w:val="00A56DC6"/>
    <w:rsid w:val="00A60215"/>
    <w:rsid w:val="00A74326"/>
    <w:rsid w:val="00A76F6A"/>
    <w:rsid w:val="00A91415"/>
    <w:rsid w:val="00A95EB6"/>
    <w:rsid w:val="00A9645B"/>
    <w:rsid w:val="00A9667D"/>
    <w:rsid w:val="00A97293"/>
    <w:rsid w:val="00AB0324"/>
    <w:rsid w:val="00AB03EB"/>
    <w:rsid w:val="00AB2D65"/>
    <w:rsid w:val="00AB4565"/>
    <w:rsid w:val="00AC4524"/>
    <w:rsid w:val="00AD2DD8"/>
    <w:rsid w:val="00AD4726"/>
    <w:rsid w:val="00AD6277"/>
    <w:rsid w:val="00AE1118"/>
    <w:rsid w:val="00AE6851"/>
    <w:rsid w:val="00B03ECE"/>
    <w:rsid w:val="00B048D3"/>
    <w:rsid w:val="00B138A9"/>
    <w:rsid w:val="00B16BCE"/>
    <w:rsid w:val="00B216CE"/>
    <w:rsid w:val="00B27DF4"/>
    <w:rsid w:val="00B3578E"/>
    <w:rsid w:val="00B41DB6"/>
    <w:rsid w:val="00B46F91"/>
    <w:rsid w:val="00B51281"/>
    <w:rsid w:val="00B51933"/>
    <w:rsid w:val="00B533B1"/>
    <w:rsid w:val="00B5397E"/>
    <w:rsid w:val="00B54D2D"/>
    <w:rsid w:val="00B60BCE"/>
    <w:rsid w:val="00B653C7"/>
    <w:rsid w:val="00B7059D"/>
    <w:rsid w:val="00B770F6"/>
    <w:rsid w:val="00B77EE9"/>
    <w:rsid w:val="00B807A6"/>
    <w:rsid w:val="00B94D14"/>
    <w:rsid w:val="00B95826"/>
    <w:rsid w:val="00B97D36"/>
    <w:rsid w:val="00BA4437"/>
    <w:rsid w:val="00BA552C"/>
    <w:rsid w:val="00BB0BD5"/>
    <w:rsid w:val="00BB72C3"/>
    <w:rsid w:val="00BC417D"/>
    <w:rsid w:val="00BD1372"/>
    <w:rsid w:val="00BD1F04"/>
    <w:rsid w:val="00BE4674"/>
    <w:rsid w:val="00BE7CB8"/>
    <w:rsid w:val="00BF1F68"/>
    <w:rsid w:val="00BF5310"/>
    <w:rsid w:val="00BF7967"/>
    <w:rsid w:val="00C01135"/>
    <w:rsid w:val="00C04BE7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42E15"/>
    <w:rsid w:val="00C47E48"/>
    <w:rsid w:val="00C501A2"/>
    <w:rsid w:val="00C54E02"/>
    <w:rsid w:val="00C550EE"/>
    <w:rsid w:val="00C609BD"/>
    <w:rsid w:val="00C709FC"/>
    <w:rsid w:val="00C713FA"/>
    <w:rsid w:val="00C779A3"/>
    <w:rsid w:val="00C81BA7"/>
    <w:rsid w:val="00C90130"/>
    <w:rsid w:val="00C940CA"/>
    <w:rsid w:val="00C95114"/>
    <w:rsid w:val="00CA0F06"/>
    <w:rsid w:val="00CA38D7"/>
    <w:rsid w:val="00CB13E6"/>
    <w:rsid w:val="00CB342C"/>
    <w:rsid w:val="00CC0964"/>
    <w:rsid w:val="00CC0E78"/>
    <w:rsid w:val="00CC21BA"/>
    <w:rsid w:val="00CD67C7"/>
    <w:rsid w:val="00D009C4"/>
    <w:rsid w:val="00D01DE3"/>
    <w:rsid w:val="00D0200A"/>
    <w:rsid w:val="00D05F06"/>
    <w:rsid w:val="00D10C98"/>
    <w:rsid w:val="00D2638D"/>
    <w:rsid w:val="00D31CDC"/>
    <w:rsid w:val="00D43067"/>
    <w:rsid w:val="00D44406"/>
    <w:rsid w:val="00D53347"/>
    <w:rsid w:val="00D53FE9"/>
    <w:rsid w:val="00D56D1B"/>
    <w:rsid w:val="00D60FAD"/>
    <w:rsid w:val="00D61617"/>
    <w:rsid w:val="00D618B2"/>
    <w:rsid w:val="00D63F09"/>
    <w:rsid w:val="00D657DC"/>
    <w:rsid w:val="00D93722"/>
    <w:rsid w:val="00DA0A87"/>
    <w:rsid w:val="00DB5862"/>
    <w:rsid w:val="00DC5202"/>
    <w:rsid w:val="00DC7C4C"/>
    <w:rsid w:val="00DD3D83"/>
    <w:rsid w:val="00DE4629"/>
    <w:rsid w:val="00DF2358"/>
    <w:rsid w:val="00DF653F"/>
    <w:rsid w:val="00E02665"/>
    <w:rsid w:val="00E02EA7"/>
    <w:rsid w:val="00E041EA"/>
    <w:rsid w:val="00E04B62"/>
    <w:rsid w:val="00E15100"/>
    <w:rsid w:val="00E21B6E"/>
    <w:rsid w:val="00E21ECA"/>
    <w:rsid w:val="00E22258"/>
    <w:rsid w:val="00E2455B"/>
    <w:rsid w:val="00E256CD"/>
    <w:rsid w:val="00E3186A"/>
    <w:rsid w:val="00E31F0C"/>
    <w:rsid w:val="00E32F72"/>
    <w:rsid w:val="00E4026B"/>
    <w:rsid w:val="00E42528"/>
    <w:rsid w:val="00E4736E"/>
    <w:rsid w:val="00E576AB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72A9"/>
    <w:rsid w:val="00EA540F"/>
    <w:rsid w:val="00EB1C81"/>
    <w:rsid w:val="00EB65AC"/>
    <w:rsid w:val="00EC20C4"/>
    <w:rsid w:val="00EC4123"/>
    <w:rsid w:val="00ED0250"/>
    <w:rsid w:val="00EE3CA4"/>
    <w:rsid w:val="00EE6B59"/>
    <w:rsid w:val="00EF127B"/>
    <w:rsid w:val="00EF366D"/>
    <w:rsid w:val="00EF5E42"/>
    <w:rsid w:val="00F04FB4"/>
    <w:rsid w:val="00F06F96"/>
    <w:rsid w:val="00F07C42"/>
    <w:rsid w:val="00F22AE7"/>
    <w:rsid w:val="00F2659C"/>
    <w:rsid w:val="00F27763"/>
    <w:rsid w:val="00F30969"/>
    <w:rsid w:val="00F336B9"/>
    <w:rsid w:val="00F37A09"/>
    <w:rsid w:val="00F37F7B"/>
    <w:rsid w:val="00F4417A"/>
    <w:rsid w:val="00F542FE"/>
    <w:rsid w:val="00F65351"/>
    <w:rsid w:val="00F70585"/>
    <w:rsid w:val="00F71053"/>
    <w:rsid w:val="00F71376"/>
    <w:rsid w:val="00F71702"/>
    <w:rsid w:val="00F90AC6"/>
    <w:rsid w:val="00F96D15"/>
    <w:rsid w:val="00FA3D69"/>
    <w:rsid w:val="00FA3E6C"/>
    <w:rsid w:val="00FA7CEE"/>
    <w:rsid w:val="00FB3B60"/>
    <w:rsid w:val="00FB5D5A"/>
    <w:rsid w:val="00FB779D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9BE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mailto:Barbara.Britt@fcc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www.fcc.gov/news-events/events/2016/11/mapping-connected-health-county-count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fcc.gov/health/map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Katie.Gorscak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2</Pages>
  <Words>513</Words>
  <Characters>3175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3695</CharactersWithSpaces>
  <SharedDoc>false</SharedDoc>
  <HyperlinkBase> </HyperlinkBase>
  <HLinks>
    <vt:vector size="48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mailto:andrea.fischer@fda.hhs.gov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15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65583</vt:i4>
      </vt:variant>
      <vt:variant>
        <vt:i4>9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http://www.fcc.gov/health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2015-06-30T18:10:00Z</cp:lastPrinted>
  <dcterms:created xsi:type="dcterms:W3CDTF">2016-10-17T19:13:00Z</dcterms:created>
  <dcterms:modified xsi:type="dcterms:W3CDTF">2016-10-17T19:13:00Z</dcterms:modified>
  <cp:category> </cp:category>
  <cp:contentStatus> </cp:contentStatus>
</cp:coreProperties>
</file>