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535AF" w14:textId="77777777" w:rsidR="005A7904" w:rsidRPr="00D81C6A" w:rsidRDefault="005A7904" w:rsidP="005A7904">
      <w:pPr>
        <w:pStyle w:val="Heading4"/>
        <w:numPr>
          <w:ilvl w:val="0"/>
          <w:numId w:val="0"/>
        </w:numPr>
        <w:tabs>
          <w:tab w:val="clear" w:pos="2880"/>
        </w:tabs>
        <w:jc w:val="center"/>
        <w:rPr>
          <w:szCs w:val="22"/>
        </w:rPr>
      </w:pPr>
      <w:bookmarkStart w:id="0" w:name="_GoBack"/>
      <w:bookmarkEnd w:id="0"/>
      <w:r w:rsidRPr="00D81C6A">
        <w:rPr>
          <w:szCs w:val="22"/>
        </w:rPr>
        <w:t>Before the</w:t>
      </w:r>
    </w:p>
    <w:p w14:paraId="2A494E58" w14:textId="77777777" w:rsidR="005A7904" w:rsidRPr="00D81C6A" w:rsidRDefault="005A7904" w:rsidP="005A7904">
      <w:pPr>
        <w:pStyle w:val="Heading4"/>
        <w:numPr>
          <w:ilvl w:val="0"/>
          <w:numId w:val="0"/>
        </w:numPr>
        <w:tabs>
          <w:tab w:val="clear" w:pos="2880"/>
        </w:tabs>
        <w:jc w:val="center"/>
        <w:rPr>
          <w:szCs w:val="22"/>
        </w:rPr>
      </w:pPr>
      <w:r w:rsidRPr="00D81C6A">
        <w:rPr>
          <w:szCs w:val="22"/>
        </w:rPr>
        <w:t>Federal Communications Commission</w:t>
      </w:r>
    </w:p>
    <w:p w14:paraId="594F62A7" w14:textId="77777777" w:rsidR="005A7904" w:rsidRPr="00D81C6A" w:rsidRDefault="005A7904" w:rsidP="005A7904">
      <w:pPr>
        <w:pStyle w:val="Heading4"/>
        <w:numPr>
          <w:ilvl w:val="0"/>
          <w:numId w:val="0"/>
        </w:numPr>
        <w:tabs>
          <w:tab w:val="clear" w:pos="2880"/>
        </w:tabs>
        <w:jc w:val="center"/>
        <w:rPr>
          <w:szCs w:val="22"/>
        </w:rPr>
      </w:pPr>
      <w:r w:rsidRPr="00D81C6A">
        <w:rPr>
          <w:szCs w:val="22"/>
        </w:rPr>
        <w:t>Washington, D.C.  20554</w:t>
      </w:r>
    </w:p>
    <w:p w14:paraId="558894F5" w14:textId="77777777" w:rsidR="005A7904" w:rsidRPr="00D81C6A" w:rsidRDefault="005A7904" w:rsidP="005A7904">
      <w:pPr>
        <w:jc w:val="center"/>
        <w:rPr>
          <w:szCs w:val="22"/>
        </w:rPr>
      </w:pPr>
    </w:p>
    <w:tbl>
      <w:tblPr>
        <w:tblW w:w="0" w:type="auto"/>
        <w:tblLayout w:type="fixed"/>
        <w:tblLook w:val="0000" w:firstRow="0" w:lastRow="0" w:firstColumn="0" w:lastColumn="0" w:noHBand="0" w:noVBand="0"/>
      </w:tblPr>
      <w:tblGrid>
        <w:gridCol w:w="4698"/>
        <w:gridCol w:w="720"/>
        <w:gridCol w:w="4158"/>
      </w:tblGrid>
      <w:tr w:rsidR="005A7904" w:rsidRPr="00D81C6A" w14:paraId="490E35C0" w14:textId="77777777" w:rsidTr="009A7852">
        <w:tc>
          <w:tcPr>
            <w:tcW w:w="4698" w:type="dxa"/>
          </w:tcPr>
          <w:p w14:paraId="73C7513E" w14:textId="77777777" w:rsidR="005A7904" w:rsidRPr="00D81C6A" w:rsidRDefault="005A7904" w:rsidP="009A7852">
            <w:pPr>
              <w:ind w:right="-18"/>
              <w:rPr>
                <w:szCs w:val="22"/>
              </w:rPr>
            </w:pPr>
            <w:r w:rsidRPr="00D81C6A">
              <w:rPr>
                <w:szCs w:val="22"/>
              </w:rPr>
              <w:t>In the Matter of</w:t>
            </w:r>
          </w:p>
          <w:p w14:paraId="4084BA59" w14:textId="77777777" w:rsidR="005A7904" w:rsidRPr="00D81C6A" w:rsidRDefault="005A7904" w:rsidP="009A7852">
            <w:pPr>
              <w:ind w:right="-18"/>
              <w:rPr>
                <w:szCs w:val="22"/>
              </w:rPr>
            </w:pPr>
          </w:p>
          <w:p w14:paraId="3EEDC7DE" w14:textId="77777777" w:rsidR="005A7904" w:rsidRPr="00D81C6A" w:rsidRDefault="005A7904" w:rsidP="009A7852">
            <w:pPr>
              <w:rPr>
                <w:szCs w:val="22"/>
              </w:rPr>
            </w:pPr>
            <w:r w:rsidRPr="00D81C6A">
              <w:rPr>
                <w:szCs w:val="22"/>
              </w:rPr>
              <w:t>Simple Network, Inc.</w:t>
            </w:r>
          </w:p>
          <w:p w14:paraId="431959D4" w14:textId="77777777" w:rsidR="005A7904" w:rsidRPr="00D81C6A" w:rsidRDefault="005A7904" w:rsidP="009A7852">
            <w:pPr>
              <w:ind w:right="-18"/>
              <w:rPr>
                <w:szCs w:val="22"/>
              </w:rPr>
            </w:pPr>
          </w:p>
          <w:p w14:paraId="3E97ED1D" w14:textId="77777777" w:rsidR="005A7904" w:rsidRPr="00D81C6A" w:rsidRDefault="005A7904" w:rsidP="009A7852">
            <w:pPr>
              <w:ind w:right="-18"/>
              <w:rPr>
                <w:szCs w:val="22"/>
              </w:rPr>
            </w:pPr>
          </w:p>
        </w:tc>
        <w:tc>
          <w:tcPr>
            <w:tcW w:w="720" w:type="dxa"/>
          </w:tcPr>
          <w:p w14:paraId="657035DE" w14:textId="77777777" w:rsidR="005A7904" w:rsidRPr="00D81C6A" w:rsidRDefault="005A7904" w:rsidP="009A7852">
            <w:pPr>
              <w:rPr>
                <w:b/>
                <w:szCs w:val="22"/>
              </w:rPr>
            </w:pPr>
            <w:r w:rsidRPr="00D81C6A">
              <w:rPr>
                <w:b/>
                <w:szCs w:val="22"/>
              </w:rPr>
              <w:t>)</w:t>
            </w:r>
          </w:p>
          <w:p w14:paraId="1CCF78AA" w14:textId="77777777" w:rsidR="005A7904" w:rsidRPr="00D81C6A" w:rsidRDefault="005A7904" w:rsidP="009A7852">
            <w:pPr>
              <w:rPr>
                <w:b/>
                <w:szCs w:val="22"/>
              </w:rPr>
            </w:pPr>
            <w:r w:rsidRPr="00D81C6A">
              <w:rPr>
                <w:b/>
                <w:szCs w:val="22"/>
              </w:rPr>
              <w:t>)</w:t>
            </w:r>
          </w:p>
          <w:p w14:paraId="5E54E4A1" w14:textId="77777777" w:rsidR="005A7904" w:rsidRPr="00D81C6A" w:rsidRDefault="005A7904" w:rsidP="009A7852">
            <w:pPr>
              <w:rPr>
                <w:b/>
                <w:szCs w:val="22"/>
              </w:rPr>
            </w:pPr>
            <w:r w:rsidRPr="00D81C6A">
              <w:rPr>
                <w:b/>
                <w:szCs w:val="22"/>
              </w:rPr>
              <w:t>)</w:t>
            </w:r>
          </w:p>
          <w:p w14:paraId="79D3CA47" w14:textId="77777777" w:rsidR="005A7904" w:rsidRPr="00D81C6A" w:rsidRDefault="005A7904" w:rsidP="009A7852">
            <w:pPr>
              <w:rPr>
                <w:b/>
                <w:szCs w:val="22"/>
              </w:rPr>
            </w:pPr>
            <w:r w:rsidRPr="00D81C6A">
              <w:rPr>
                <w:b/>
                <w:szCs w:val="22"/>
              </w:rPr>
              <w:t>)</w:t>
            </w:r>
          </w:p>
          <w:p w14:paraId="4D04052C" w14:textId="77777777" w:rsidR="005A7904" w:rsidRPr="00D81C6A" w:rsidRDefault="005A7904" w:rsidP="009A7852">
            <w:pPr>
              <w:rPr>
                <w:b/>
                <w:szCs w:val="22"/>
              </w:rPr>
            </w:pPr>
            <w:r w:rsidRPr="00D81C6A">
              <w:rPr>
                <w:b/>
                <w:szCs w:val="22"/>
              </w:rPr>
              <w:t>)</w:t>
            </w:r>
          </w:p>
          <w:p w14:paraId="2E473ABC" w14:textId="77777777" w:rsidR="005A7904" w:rsidRPr="00D81C6A" w:rsidRDefault="005A7904" w:rsidP="009A7852">
            <w:pPr>
              <w:rPr>
                <w:b/>
                <w:szCs w:val="22"/>
              </w:rPr>
            </w:pPr>
            <w:r w:rsidRPr="00D81C6A">
              <w:rPr>
                <w:b/>
                <w:szCs w:val="22"/>
              </w:rPr>
              <w:t>)</w:t>
            </w:r>
          </w:p>
          <w:p w14:paraId="7DA4F84A" w14:textId="77777777" w:rsidR="005A7904" w:rsidRPr="00D81C6A" w:rsidRDefault="005A7904" w:rsidP="009A7852">
            <w:pPr>
              <w:rPr>
                <w:b/>
                <w:szCs w:val="22"/>
              </w:rPr>
            </w:pPr>
            <w:r w:rsidRPr="00D81C6A">
              <w:rPr>
                <w:b/>
                <w:szCs w:val="22"/>
              </w:rPr>
              <w:t>)</w:t>
            </w:r>
          </w:p>
        </w:tc>
        <w:tc>
          <w:tcPr>
            <w:tcW w:w="4158" w:type="dxa"/>
          </w:tcPr>
          <w:p w14:paraId="3CD61F5A" w14:textId="77777777" w:rsidR="005A7904" w:rsidRPr="00D81C6A" w:rsidRDefault="005A7904" w:rsidP="009A7852">
            <w:pPr>
              <w:ind w:left="-108" w:firstLine="108"/>
              <w:rPr>
                <w:spacing w:val="-2"/>
                <w:szCs w:val="22"/>
              </w:rPr>
            </w:pPr>
          </w:p>
          <w:p w14:paraId="7D7D8BE5" w14:textId="77777777" w:rsidR="005A7904" w:rsidRPr="00D81C6A" w:rsidRDefault="005A7904" w:rsidP="009A7852">
            <w:pPr>
              <w:ind w:left="-108" w:firstLine="108"/>
              <w:rPr>
                <w:spacing w:val="-2"/>
                <w:szCs w:val="22"/>
              </w:rPr>
            </w:pPr>
          </w:p>
          <w:p w14:paraId="546CC5FA" w14:textId="77777777" w:rsidR="005A7904" w:rsidRPr="00D81C6A" w:rsidRDefault="005A7904" w:rsidP="009A7852">
            <w:pPr>
              <w:ind w:left="-108" w:firstLine="108"/>
              <w:rPr>
                <w:spacing w:val="-2"/>
                <w:szCs w:val="22"/>
              </w:rPr>
            </w:pPr>
            <w:r w:rsidRPr="00D81C6A">
              <w:rPr>
                <w:spacing w:val="-2"/>
                <w:szCs w:val="22"/>
              </w:rPr>
              <w:t>File No. EB-IHD-13-00011486</w:t>
            </w:r>
            <w:r w:rsidRPr="00D81C6A">
              <w:rPr>
                <w:rStyle w:val="FootnoteReference"/>
                <w:spacing w:val="-2"/>
                <w:sz w:val="22"/>
                <w:szCs w:val="22"/>
              </w:rPr>
              <w:footnoteReference w:id="2"/>
            </w:r>
          </w:p>
          <w:p w14:paraId="33EBA98A" w14:textId="77777777" w:rsidR="005A7904" w:rsidRPr="00D81C6A" w:rsidRDefault="005A7904" w:rsidP="009A7852">
            <w:pPr>
              <w:ind w:left="-108" w:firstLine="108"/>
              <w:rPr>
                <w:spacing w:val="-2"/>
                <w:szCs w:val="22"/>
              </w:rPr>
            </w:pPr>
          </w:p>
          <w:p w14:paraId="72D3E39A" w14:textId="77777777" w:rsidR="005A7904" w:rsidRPr="00D81C6A" w:rsidRDefault="005A7904" w:rsidP="009A7852">
            <w:pPr>
              <w:rPr>
                <w:spacing w:val="-2"/>
                <w:szCs w:val="22"/>
              </w:rPr>
            </w:pPr>
            <w:r w:rsidRPr="00D81C6A">
              <w:rPr>
                <w:spacing w:val="-2"/>
                <w:szCs w:val="22"/>
              </w:rPr>
              <w:t>NAL/Acct. No. 201532080014</w:t>
            </w:r>
          </w:p>
          <w:p w14:paraId="45CF8E4B" w14:textId="77777777" w:rsidR="005A7904" w:rsidRPr="00D81C6A" w:rsidRDefault="005A7904" w:rsidP="009A7852">
            <w:pPr>
              <w:rPr>
                <w:spacing w:val="-2"/>
                <w:szCs w:val="22"/>
              </w:rPr>
            </w:pPr>
          </w:p>
          <w:p w14:paraId="4692BD1F" w14:textId="77777777" w:rsidR="005A7904" w:rsidRPr="00D81C6A" w:rsidRDefault="005A7904" w:rsidP="009A7852">
            <w:pPr>
              <w:rPr>
                <w:szCs w:val="22"/>
              </w:rPr>
            </w:pPr>
            <w:r w:rsidRPr="00D81C6A">
              <w:rPr>
                <w:szCs w:val="22"/>
              </w:rPr>
              <w:t>FRN No. 0007921224</w:t>
            </w:r>
          </w:p>
          <w:p w14:paraId="066E1AFE" w14:textId="77777777" w:rsidR="005A7904" w:rsidRPr="00D81C6A" w:rsidRDefault="005A7904" w:rsidP="009A7852">
            <w:pPr>
              <w:rPr>
                <w:szCs w:val="22"/>
              </w:rPr>
            </w:pPr>
          </w:p>
        </w:tc>
      </w:tr>
    </w:tbl>
    <w:p w14:paraId="4130D86C" w14:textId="77777777" w:rsidR="005A7904" w:rsidRPr="00D81C6A" w:rsidRDefault="005A7904" w:rsidP="005A7904">
      <w:pPr>
        <w:rPr>
          <w:szCs w:val="22"/>
        </w:rPr>
      </w:pPr>
    </w:p>
    <w:p w14:paraId="09EB80A1" w14:textId="77777777" w:rsidR="005A7904" w:rsidRPr="00D81C6A" w:rsidRDefault="005A7904">
      <w:pPr>
        <w:jc w:val="center"/>
        <w:outlineLvl w:val="0"/>
        <w:rPr>
          <w:b/>
          <w:szCs w:val="22"/>
        </w:rPr>
      </w:pPr>
      <w:r w:rsidRPr="00D81C6A">
        <w:rPr>
          <w:b/>
          <w:szCs w:val="22"/>
        </w:rPr>
        <w:t xml:space="preserve">FORFEITURE ORDER </w:t>
      </w:r>
    </w:p>
    <w:p w14:paraId="2AB2485A" w14:textId="77777777" w:rsidR="005A7904" w:rsidRPr="00D81C6A" w:rsidRDefault="005A7904" w:rsidP="005A7904">
      <w:pPr>
        <w:jc w:val="center"/>
        <w:outlineLvl w:val="0"/>
        <w:rPr>
          <w:b/>
          <w:szCs w:val="22"/>
        </w:rPr>
      </w:pPr>
    </w:p>
    <w:p w14:paraId="148E7073" w14:textId="77777777" w:rsidR="005A7904" w:rsidRPr="00D81C6A" w:rsidRDefault="005A7904" w:rsidP="005A7904">
      <w:pPr>
        <w:jc w:val="center"/>
        <w:rPr>
          <w:szCs w:val="22"/>
        </w:rPr>
      </w:pPr>
    </w:p>
    <w:p w14:paraId="377CB7C1" w14:textId="5CE9EA92" w:rsidR="005A7904" w:rsidRPr="00D81C6A" w:rsidRDefault="005A7904" w:rsidP="005A7904">
      <w:pPr>
        <w:tabs>
          <w:tab w:val="left" w:pos="6480"/>
        </w:tabs>
        <w:rPr>
          <w:b/>
          <w:szCs w:val="22"/>
        </w:rPr>
      </w:pPr>
      <w:r w:rsidRPr="003C2741">
        <w:rPr>
          <w:b/>
          <w:szCs w:val="22"/>
        </w:rPr>
        <w:t xml:space="preserve">Adopted:  </w:t>
      </w:r>
      <w:r w:rsidR="005E4F25" w:rsidRPr="003C2741">
        <w:rPr>
          <w:b/>
          <w:szCs w:val="22"/>
        </w:rPr>
        <w:t xml:space="preserve">October </w:t>
      </w:r>
      <w:r w:rsidR="003C2741" w:rsidRPr="003C2741">
        <w:rPr>
          <w:b/>
          <w:szCs w:val="22"/>
        </w:rPr>
        <w:t>26</w:t>
      </w:r>
      <w:r w:rsidR="008908FB" w:rsidRPr="003C2741">
        <w:rPr>
          <w:b/>
          <w:szCs w:val="22"/>
        </w:rPr>
        <w:t>, 2016</w:t>
      </w:r>
      <w:r w:rsidR="005E4F25" w:rsidRPr="003C2741">
        <w:rPr>
          <w:b/>
          <w:szCs w:val="22"/>
        </w:rPr>
        <w:tab/>
        <w:t xml:space="preserve">   </w:t>
      </w:r>
      <w:r w:rsidRPr="003C2741">
        <w:rPr>
          <w:b/>
          <w:szCs w:val="22"/>
        </w:rPr>
        <w:t xml:space="preserve"> Released:  </w:t>
      </w:r>
      <w:r w:rsidR="005E4F25" w:rsidRPr="003C2741">
        <w:rPr>
          <w:b/>
          <w:szCs w:val="22"/>
        </w:rPr>
        <w:t xml:space="preserve">October </w:t>
      </w:r>
      <w:r w:rsidR="003C2741" w:rsidRPr="003C2741">
        <w:rPr>
          <w:b/>
          <w:szCs w:val="22"/>
        </w:rPr>
        <w:t>26</w:t>
      </w:r>
      <w:r w:rsidR="008908FB" w:rsidRPr="003C2741">
        <w:rPr>
          <w:b/>
          <w:szCs w:val="22"/>
        </w:rPr>
        <w:t>, 2016</w:t>
      </w:r>
    </w:p>
    <w:p w14:paraId="46A247FF" w14:textId="77777777" w:rsidR="005A7904" w:rsidRPr="00D81C6A" w:rsidRDefault="005A7904" w:rsidP="005A7904">
      <w:pPr>
        <w:ind w:left="2880" w:firstLine="720"/>
        <w:rPr>
          <w:szCs w:val="22"/>
        </w:rPr>
      </w:pPr>
    </w:p>
    <w:p w14:paraId="5AB0D628" w14:textId="77777777" w:rsidR="005A7904" w:rsidRPr="00D81C6A" w:rsidRDefault="005A7904" w:rsidP="005A7904">
      <w:pPr>
        <w:rPr>
          <w:szCs w:val="22"/>
        </w:rPr>
      </w:pPr>
      <w:r w:rsidRPr="00D81C6A">
        <w:rPr>
          <w:szCs w:val="22"/>
        </w:rPr>
        <w:t>By the</w:t>
      </w:r>
      <w:r w:rsidR="00776167">
        <w:rPr>
          <w:szCs w:val="22"/>
        </w:rPr>
        <w:t xml:space="preserve"> Deputy</w:t>
      </w:r>
      <w:r w:rsidRPr="00D81C6A">
        <w:rPr>
          <w:szCs w:val="22"/>
        </w:rPr>
        <w:t xml:space="preserve"> Chief, Enforcement</w:t>
      </w:r>
      <w:r w:rsidR="00855886">
        <w:rPr>
          <w:szCs w:val="22"/>
        </w:rPr>
        <w:t xml:space="preserve"> Bureau</w:t>
      </w:r>
      <w:r w:rsidRPr="00D81C6A">
        <w:rPr>
          <w:szCs w:val="22"/>
        </w:rPr>
        <w:t>:</w:t>
      </w:r>
    </w:p>
    <w:p w14:paraId="4D14922C" w14:textId="77777777" w:rsidR="005A7904" w:rsidRPr="00D81C6A" w:rsidRDefault="005A7904" w:rsidP="005A7904">
      <w:pPr>
        <w:rPr>
          <w:szCs w:val="22"/>
        </w:rPr>
      </w:pPr>
    </w:p>
    <w:p w14:paraId="2938936D" w14:textId="77777777" w:rsidR="005A7904" w:rsidRPr="00D81C6A" w:rsidRDefault="005A7904" w:rsidP="005707E5">
      <w:pPr>
        <w:pStyle w:val="Heading1"/>
      </w:pPr>
      <w:r w:rsidRPr="00D81C6A">
        <w:t>INTRODUCTION</w:t>
      </w:r>
    </w:p>
    <w:p w14:paraId="7A7C9695" w14:textId="77777777" w:rsidR="005A7904" w:rsidRPr="00DE79CB" w:rsidRDefault="005A7904" w:rsidP="005707E5">
      <w:pPr>
        <w:pStyle w:val="ParaNum"/>
      </w:pPr>
      <w:bookmarkStart w:id="1" w:name="_Ref113347066"/>
      <w:r w:rsidRPr="00DE79CB">
        <w:t xml:space="preserve">We </w:t>
      </w:r>
      <w:r w:rsidR="002757C0" w:rsidRPr="00DE79CB">
        <w:t>i</w:t>
      </w:r>
      <w:r w:rsidRPr="00DE79CB">
        <w:t xml:space="preserve">mpose a </w:t>
      </w:r>
      <w:r w:rsidR="00114FD8" w:rsidRPr="00DE79CB">
        <w:t xml:space="preserve">penalty </w:t>
      </w:r>
      <w:r w:rsidR="00114FD8">
        <w:t>of</w:t>
      </w:r>
      <w:r w:rsidR="00A72866">
        <w:t xml:space="preserve"> </w:t>
      </w:r>
      <w:r w:rsidRPr="00DE79CB">
        <w:t>$100,000 against Simple Network, Inc. (Simple Network or Company)</w:t>
      </w:r>
      <w:r w:rsidR="002757C0" w:rsidRPr="00DE79CB">
        <w:t xml:space="preserve"> for providing interstate telecommunications services without previously registering with the Commission</w:t>
      </w:r>
      <w:r w:rsidR="00D00FC0">
        <w:t xml:space="preserve"> as required by Secti</w:t>
      </w:r>
      <w:r w:rsidR="00AD2121">
        <w:t>on 64.1195 of the Commission’s r</w:t>
      </w:r>
      <w:r w:rsidR="00D00FC0">
        <w:t>ules</w:t>
      </w:r>
      <w:r w:rsidR="00AD2121">
        <w:t xml:space="preserve"> (Rules)</w:t>
      </w:r>
      <w:r w:rsidRPr="00DE79CB">
        <w:t>.</w:t>
      </w:r>
      <w:r w:rsidR="002E3735">
        <w:t xml:space="preserve">  In the </w:t>
      </w:r>
      <w:r w:rsidR="002E3735">
        <w:rPr>
          <w:i/>
        </w:rPr>
        <w:t>Simple Network NAL</w:t>
      </w:r>
      <w:r w:rsidR="002E3735">
        <w:t>, we found that</w:t>
      </w:r>
      <w:r w:rsidRPr="00DE79CB">
        <w:t xml:space="preserve"> </w:t>
      </w:r>
      <w:r w:rsidR="002757C0" w:rsidRPr="00DE79CB">
        <w:t>Simple Network’s failure to register allowed the Company to avoid making required payments to important federal programs</w:t>
      </w:r>
      <w:r w:rsidR="009E639D" w:rsidRPr="00DE79CB">
        <w:t>, which gave it an unfair economic advantage over competing companies that complied with the Rules</w:t>
      </w:r>
      <w:r w:rsidR="002757C0" w:rsidRPr="00DE79CB">
        <w:t>.</w:t>
      </w:r>
      <w:r w:rsidR="00390C47" w:rsidRPr="00DE79CB">
        <w:t xml:space="preserve"> </w:t>
      </w:r>
      <w:r w:rsidR="00DE79CB" w:rsidRPr="00DE79CB">
        <w:t xml:space="preserve"> </w:t>
      </w:r>
      <w:r w:rsidR="00390C47" w:rsidRPr="00DE79CB">
        <w:t>In</w:t>
      </w:r>
      <w:r w:rsidR="00DE79CB" w:rsidRPr="00DE79CB">
        <w:t xml:space="preserve"> </w:t>
      </w:r>
      <w:r w:rsidR="002E3735">
        <w:t xml:space="preserve">its </w:t>
      </w:r>
      <w:r w:rsidR="00DE79CB" w:rsidRPr="00DE79CB">
        <w:t>response</w:t>
      </w:r>
      <w:r w:rsidR="002E3735">
        <w:t xml:space="preserve"> to the </w:t>
      </w:r>
      <w:r w:rsidR="002E3735">
        <w:rPr>
          <w:i/>
        </w:rPr>
        <w:t>NAL</w:t>
      </w:r>
      <w:r w:rsidR="00DE79CB" w:rsidRPr="00DE79CB">
        <w:t>,</w:t>
      </w:r>
      <w:r w:rsidR="00390C47" w:rsidRPr="00DE79CB">
        <w:t xml:space="preserve"> Simple Network argues that the Enforcement Bureau (Bureau) did not adequately justify and explain the nature of the violation or the proposed penalty</w:t>
      </w:r>
      <w:r w:rsidR="00290F37" w:rsidRPr="00DE79CB">
        <w:t xml:space="preserve"> against the Company.</w:t>
      </w:r>
      <w:r w:rsidR="00A743DC" w:rsidRPr="00DE79CB">
        <w:t xml:space="preserve">  For the reasons set forth below, we disagree.  A</w:t>
      </w:r>
      <w:r w:rsidR="00435CB8" w:rsidRPr="00DE79CB">
        <w:t xml:space="preserve">fter reviewing Simple Network’s response to the </w:t>
      </w:r>
      <w:r w:rsidR="00435CB8" w:rsidRPr="002E3735">
        <w:rPr>
          <w:i/>
        </w:rPr>
        <w:t>NAL</w:t>
      </w:r>
      <w:r w:rsidR="00435CB8" w:rsidRPr="00DE79CB">
        <w:t xml:space="preserve">, we find no reason to cancel, withdraw, or reduce the proposed penalty, and we therefore assess the $100,000 forfeiture the </w:t>
      </w:r>
      <w:r w:rsidR="002408E5" w:rsidRPr="00DE79CB">
        <w:t xml:space="preserve">Bureau previously </w:t>
      </w:r>
      <w:r w:rsidR="00245C63">
        <w:t>pro</w:t>
      </w:r>
      <w:r w:rsidR="00245C63" w:rsidRPr="00DE79CB">
        <w:t>posed</w:t>
      </w:r>
      <w:r w:rsidR="002408E5" w:rsidRPr="00DE79CB">
        <w:t>.</w:t>
      </w:r>
      <w:r w:rsidRPr="00DE79CB">
        <w:t xml:space="preserve"> </w:t>
      </w:r>
      <w:bookmarkEnd w:id="1"/>
    </w:p>
    <w:p w14:paraId="18A9D81A" w14:textId="77777777" w:rsidR="005A7904" w:rsidRPr="00D81C6A" w:rsidRDefault="005A7904" w:rsidP="005707E5">
      <w:pPr>
        <w:pStyle w:val="Heading1"/>
      </w:pPr>
      <w:r w:rsidRPr="00D81C6A">
        <w:t>BACKGROUND</w:t>
      </w:r>
    </w:p>
    <w:p w14:paraId="46D42E98" w14:textId="77777777" w:rsidR="00D72E63" w:rsidRDefault="00DE79CB" w:rsidP="005707E5">
      <w:pPr>
        <w:pStyle w:val="ParaNum"/>
      </w:pPr>
      <w:r>
        <w:t>T</w:t>
      </w:r>
      <w:r w:rsidR="005A7904" w:rsidRPr="00D81C6A">
        <w:t xml:space="preserve">he </w:t>
      </w:r>
      <w:r w:rsidR="002C2F1A">
        <w:t xml:space="preserve">underlying </w:t>
      </w:r>
      <w:r w:rsidR="005A7904" w:rsidRPr="00D81C6A">
        <w:t xml:space="preserve">facts and circumstances </w:t>
      </w:r>
      <w:r w:rsidR="002C2F1A">
        <w:t xml:space="preserve">for </w:t>
      </w:r>
      <w:r>
        <w:t xml:space="preserve">this Forfeiture Order </w:t>
      </w:r>
      <w:r w:rsidR="005A7904" w:rsidRPr="00D81C6A">
        <w:t xml:space="preserve">are set forth in the </w:t>
      </w:r>
      <w:r w:rsidR="00D00FC0">
        <w:rPr>
          <w:i/>
        </w:rPr>
        <w:t xml:space="preserve">Simple Network </w:t>
      </w:r>
      <w:r w:rsidR="005A7904" w:rsidRPr="00D81C6A">
        <w:rPr>
          <w:i/>
        </w:rPr>
        <w:t>NAL</w:t>
      </w:r>
      <w:r w:rsidR="005A7904" w:rsidRPr="00D81C6A">
        <w:t>, and need not be reiterated here at length.</w:t>
      </w:r>
      <w:r w:rsidR="00D00FC0" w:rsidRPr="00D81C6A">
        <w:rPr>
          <w:rStyle w:val="FootnoteReference"/>
          <w:sz w:val="22"/>
          <w:szCs w:val="22"/>
        </w:rPr>
        <w:footnoteReference w:id="3"/>
      </w:r>
      <w:r w:rsidR="005A7904" w:rsidRPr="00D81C6A">
        <w:t xml:space="preserve">  Simple Network is a New Jersey </w:t>
      </w:r>
      <w:r w:rsidR="002D267F" w:rsidRPr="00D81C6A">
        <w:t>c</w:t>
      </w:r>
      <w:r w:rsidR="005A7904" w:rsidRPr="00D81C6A">
        <w:t>orporation</w:t>
      </w:r>
      <w:r w:rsidR="002D267F" w:rsidRPr="00D81C6A">
        <w:t xml:space="preserve"> that p</w:t>
      </w:r>
      <w:r w:rsidR="005A7904" w:rsidRPr="00D81C6A">
        <w:t>rovides prepaid calling card services.  The Company claims to have “been in the international</w:t>
      </w:r>
      <w:r w:rsidR="00837D08">
        <w:t xml:space="preserve"> . . . </w:t>
      </w:r>
      <w:r w:rsidR="005A7904" w:rsidRPr="00D81C6A">
        <w:t>calling card and telecom services business for 15 years</w:t>
      </w:r>
      <w:r w:rsidR="00A31068" w:rsidRPr="00D81C6A">
        <w:t>.</w:t>
      </w:r>
      <w:r w:rsidR="005A7904" w:rsidRPr="00D81C6A">
        <w:t>”</w:t>
      </w:r>
      <w:r w:rsidR="00F17926" w:rsidRPr="00D81C6A">
        <w:rPr>
          <w:rStyle w:val="FootnoteReference"/>
          <w:sz w:val="22"/>
          <w:szCs w:val="22"/>
        </w:rPr>
        <w:footnoteReference w:id="4"/>
      </w:r>
      <w:r w:rsidR="008908FB">
        <w:t xml:space="preserve"> </w:t>
      </w:r>
      <w:r w:rsidR="007B09B6" w:rsidRPr="00D81C6A">
        <w:t xml:space="preserve"> </w:t>
      </w:r>
      <w:r w:rsidR="00A31068" w:rsidRPr="00D81C6A">
        <w:t xml:space="preserve">Notably, the </w:t>
      </w:r>
      <w:r w:rsidR="003356AB" w:rsidRPr="00D81C6A">
        <w:t xml:space="preserve">Commission recently fined the Company $5 million </w:t>
      </w:r>
      <w:r w:rsidR="007F7D95" w:rsidRPr="00D81C6A">
        <w:t>“</w:t>
      </w:r>
      <w:r w:rsidR="003356AB" w:rsidRPr="00D81C6A">
        <w:t xml:space="preserve">for deceptively marketing </w:t>
      </w:r>
      <w:r w:rsidR="007F7D95" w:rsidRPr="00D81C6A">
        <w:t xml:space="preserve">its </w:t>
      </w:r>
      <w:r w:rsidR="003356AB" w:rsidRPr="00D81C6A">
        <w:t xml:space="preserve">prepaid </w:t>
      </w:r>
      <w:r w:rsidR="007F7D95" w:rsidRPr="00D81C6A">
        <w:t xml:space="preserve">telephone </w:t>
      </w:r>
      <w:r w:rsidR="003356AB" w:rsidRPr="00D81C6A">
        <w:t>calling cards.</w:t>
      </w:r>
      <w:r w:rsidR="007F7D95" w:rsidRPr="00D81C6A">
        <w:t>”</w:t>
      </w:r>
      <w:r w:rsidR="007F7D95" w:rsidRPr="00D81C6A">
        <w:rPr>
          <w:vertAlign w:val="superscript"/>
        </w:rPr>
        <w:footnoteReference w:id="5"/>
      </w:r>
    </w:p>
    <w:p w14:paraId="3A92397E" w14:textId="77777777" w:rsidR="00D667B0" w:rsidRPr="00507A46" w:rsidRDefault="0081428E" w:rsidP="005707E5">
      <w:pPr>
        <w:pStyle w:val="ParaNum"/>
      </w:pPr>
      <w:r w:rsidRPr="008F1F0A">
        <w:lastRenderedPageBreak/>
        <w:t xml:space="preserve">On May 4, 2015, we released the </w:t>
      </w:r>
      <w:r w:rsidRPr="008F1F0A">
        <w:rPr>
          <w:i/>
        </w:rPr>
        <w:t>Simple Network NAL</w:t>
      </w:r>
      <w:r w:rsidR="003662D2">
        <w:rPr>
          <w:i/>
        </w:rPr>
        <w:t xml:space="preserve">, </w:t>
      </w:r>
      <w:r w:rsidR="003662D2" w:rsidRPr="00672E17">
        <w:t>which</w:t>
      </w:r>
      <w:r w:rsidR="003662D2" w:rsidRPr="00694655">
        <w:rPr>
          <w:i/>
        </w:rPr>
        <w:t xml:space="preserve"> </w:t>
      </w:r>
      <w:r w:rsidRPr="008F1F0A">
        <w:t>proposed a forfeiture of $100,0</w:t>
      </w:r>
      <w:r w:rsidR="004E6486">
        <w:t>0</w:t>
      </w:r>
      <w:r w:rsidRPr="008F1F0A">
        <w:t>0 against Simple Net</w:t>
      </w:r>
      <w:r w:rsidR="004E6486">
        <w:t>work for its apparent violation</w:t>
      </w:r>
      <w:r w:rsidRPr="008F1F0A">
        <w:t xml:space="preserve"> of </w:t>
      </w:r>
      <w:r w:rsidR="003662D2">
        <w:t>S</w:t>
      </w:r>
      <w:r w:rsidRPr="008F1F0A">
        <w:t xml:space="preserve">ection 64.1195 of the </w:t>
      </w:r>
      <w:r w:rsidR="00AD2121">
        <w:t>R</w:t>
      </w:r>
      <w:r w:rsidRPr="008F1F0A">
        <w:t>ules by failing to register with the Commission</w:t>
      </w:r>
      <w:r w:rsidR="004E6486">
        <w:t>.</w:t>
      </w:r>
      <w:r w:rsidR="00DF354A" w:rsidRPr="008F1F0A">
        <w:rPr>
          <w:vertAlign w:val="superscript"/>
        </w:rPr>
        <w:footnoteReference w:id="6"/>
      </w:r>
      <w:r w:rsidR="00DF354A" w:rsidRPr="008F1F0A">
        <w:t xml:space="preserve"> </w:t>
      </w:r>
      <w:r w:rsidR="00D667B0">
        <w:t xml:space="preserve"> </w:t>
      </w:r>
      <w:r w:rsidR="0004460E">
        <w:t>Carriers’ compliance with the Commission’s registration requirement is critical to the administration of the Universal Service Fund (USF), Telecommunications Relay Service (TRS) Fund and other programs, and to fulfilling a number of Congress’</w:t>
      </w:r>
      <w:r w:rsidR="004B3624">
        <w:t>s objectives under the Act.</w:t>
      </w:r>
      <w:r w:rsidR="004B3624">
        <w:rPr>
          <w:rStyle w:val="FootnoteReference"/>
          <w:szCs w:val="22"/>
        </w:rPr>
        <w:footnoteReference w:id="7"/>
      </w:r>
      <w:r w:rsidR="004B3624">
        <w:t xml:space="preserve">  Registration</w:t>
      </w:r>
      <w:r w:rsidR="009A0E32">
        <w:t xml:space="preserve"> allows the </w:t>
      </w:r>
      <w:r w:rsidR="00A77C65">
        <w:t xml:space="preserve">Commission and the </w:t>
      </w:r>
      <w:r w:rsidR="004B3624">
        <w:t>various progra</w:t>
      </w:r>
      <w:r w:rsidR="009A0E32">
        <w:t>m administrators</w:t>
      </w:r>
      <w:r w:rsidR="004B3624">
        <w:t xml:space="preserve"> to ascertain which companies are fulfilling their regulatory obligations.</w:t>
      </w:r>
      <w:r w:rsidR="00507A46">
        <w:rPr>
          <w:rStyle w:val="FootnoteReference"/>
          <w:szCs w:val="22"/>
        </w:rPr>
        <w:footnoteReference w:id="8"/>
      </w:r>
      <w:r w:rsidR="004B3624">
        <w:t xml:space="preserve">  These obligations include filing regular Telecommunications Reporting Worksheets (</w:t>
      </w:r>
      <w:r w:rsidR="008D30AB">
        <w:t>Worksheets</w:t>
      </w:r>
      <w:r w:rsidR="0003521D">
        <w:t xml:space="preserve"> or Forms 499</w:t>
      </w:r>
      <w:r w:rsidR="004B3624">
        <w:t>) and contributing to federal programs that support, among other things</w:t>
      </w:r>
      <w:r w:rsidR="002C2F1A">
        <w:t>,</w:t>
      </w:r>
      <w:r w:rsidR="004B3624">
        <w:t xml:space="preserve"> increasing access to telecommunications for people with disabilities and certain other populations.</w:t>
      </w:r>
      <w:r w:rsidR="00507A46">
        <w:rPr>
          <w:rStyle w:val="FootnoteReference"/>
          <w:szCs w:val="22"/>
        </w:rPr>
        <w:footnoteReference w:id="9"/>
      </w:r>
      <w:r w:rsidR="004B3624">
        <w:t xml:space="preserve">  </w:t>
      </w:r>
      <w:r w:rsidR="00D068CE">
        <w:t xml:space="preserve">Entities that </w:t>
      </w:r>
      <w:r w:rsidR="00E336B4">
        <w:t xml:space="preserve">fail to </w:t>
      </w:r>
      <w:r w:rsidR="00D068CE">
        <w:t>register with the Commission and contribute to federal regulatory programs enjoy an unfair economic advantage over competitors who, as a result</w:t>
      </w:r>
      <w:r w:rsidR="00E336B4">
        <w:t xml:space="preserve"> of following the </w:t>
      </w:r>
      <w:r w:rsidR="00743464">
        <w:t>R</w:t>
      </w:r>
      <w:r w:rsidR="00E336B4">
        <w:t>ules</w:t>
      </w:r>
      <w:r w:rsidR="00D068CE">
        <w:t>, must pay more than their fair share of the costs of these programs.</w:t>
      </w:r>
      <w:r w:rsidR="00507A46">
        <w:rPr>
          <w:rStyle w:val="FootnoteReference"/>
        </w:rPr>
        <w:footnoteReference w:id="10"/>
      </w:r>
    </w:p>
    <w:p w14:paraId="0C23F418" w14:textId="77777777" w:rsidR="0081428E" w:rsidRPr="005371DB" w:rsidRDefault="004E6486" w:rsidP="005707E5">
      <w:pPr>
        <w:pStyle w:val="ParaNum"/>
        <w:widowControl/>
      </w:pPr>
      <w:r w:rsidRPr="005371DB">
        <w:t xml:space="preserve">  </w:t>
      </w:r>
      <w:r w:rsidR="0078377E">
        <w:t xml:space="preserve">On June 3, 2015, </w:t>
      </w:r>
      <w:r w:rsidR="009F667F" w:rsidRPr="005371DB">
        <w:t>Simple Network’s</w:t>
      </w:r>
      <w:r w:rsidR="0081428E" w:rsidRPr="008F1F0A">
        <w:t xml:space="preserve"> counsel submitted a response to the </w:t>
      </w:r>
      <w:r w:rsidR="0081428E" w:rsidRPr="005371DB">
        <w:rPr>
          <w:i/>
        </w:rPr>
        <w:t>NAL</w:t>
      </w:r>
      <w:r w:rsidR="0081428E" w:rsidRPr="008F1F0A">
        <w:t xml:space="preserve">, along with a Declaration by </w:t>
      </w:r>
      <w:r w:rsidR="00B838E3">
        <w:t xml:space="preserve">Herman R. Patel, </w:t>
      </w:r>
      <w:r w:rsidR="00DD6B8A">
        <w:t xml:space="preserve">President and CEO of Simple Network, </w:t>
      </w:r>
      <w:r w:rsidR="00B838E3">
        <w:t>and the Company’s Federal</w:t>
      </w:r>
      <w:r w:rsidR="0081428E" w:rsidRPr="008F1F0A">
        <w:t xml:space="preserve"> </w:t>
      </w:r>
      <w:r w:rsidR="00726234">
        <w:t>i</w:t>
      </w:r>
      <w:r w:rsidR="00726234" w:rsidRPr="008F1F0A">
        <w:t xml:space="preserve">ncome </w:t>
      </w:r>
      <w:r w:rsidR="00726234">
        <w:t>t</w:t>
      </w:r>
      <w:r w:rsidR="00726234" w:rsidRPr="008F1F0A">
        <w:t xml:space="preserve">ax </w:t>
      </w:r>
      <w:r w:rsidR="00726234">
        <w:t>r</w:t>
      </w:r>
      <w:r w:rsidR="00726234" w:rsidRPr="008F1F0A">
        <w:t xml:space="preserve">eturns </w:t>
      </w:r>
      <w:r w:rsidR="0081428E" w:rsidRPr="008F1F0A">
        <w:t>for 2014, 2013, and 2012.</w:t>
      </w:r>
      <w:r w:rsidR="00D4309D" w:rsidRPr="008F1F0A">
        <w:rPr>
          <w:vertAlign w:val="superscript"/>
        </w:rPr>
        <w:footnoteReference w:id="11"/>
      </w:r>
      <w:r w:rsidR="00655915" w:rsidRPr="005371DB">
        <w:t xml:space="preserve">  In its </w:t>
      </w:r>
      <w:r w:rsidR="00655915" w:rsidRPr="005371DB">
        <w:rPr>
          <w:i/>
        </w:rPr>
        <w:t>NAL</w:t>
      </w:r>
      <w:r w:rsidR="00655915" w:rsidRPr="005371DB">
        <w:t xml:space="preserve"> Response, Simple Network ma</w:t>
      </w:r>
      <w:r w:rsidR="005371DB">
        <w:t>kes a number of</w:t>
      </w:r>
      <w:r w:rsidR="00655915" w:rsidRPr="005371DB">
        <w:t xml:space="preserve"> arguments as to why the </w:t>
      </w:r>
      <w:r w:rsidR="00655915" w:rsidRPr="005371DB">
        <w:rPr>
          <w:i/>
        </w:rPr>
        <w:t>NAL</w:t>
      </w:r>
      <w:r w:rsidR="00655915" w:rsidRPr="005371DB">
        <w:t xml:space="preserve"> should be canceled or reduced, including that the Company provides “international services and thus it is not required to pay into the Universal Service Fund,”</w:t>
      </w:r>
      <w:r w:rsidR="00655915" w:rsidRPr="00D81C6A">
        <w:rPr>
          <w:rStyle w:val="FootnoteReference"/>
          <w:sz w:val="22"/>
          <w:szCs w:val="22"/>
        </w:rPr>
        <w:footnoteReference w:id="12"/>
      </w:r>
      <w:r w:rsidR="00655915" w:rsidRPr="005371DB">
        <w:t xml:space="preserve"> and that the Company </w:t>
      </w:r>
      <w:r w:rsidR="00FF1E7A">
        <w:t>is unable to pay the forfeiture.</w:t>
      </w:r>
      <w:r w:rsidR="00655915" w:rsidRPr="00D81C6A">
        <w:rPr>
          <w:rStyle w:val="FootnoteReference"/>
          <w:sz w:val="22"/>
          <w:szCs w:val="22"/>
        </w:rPr>
        <w:footnoteReference w:id="13"/>
      </w:r>
      <w:r w:rsidR="00655915" w:rsidRPr="005371DB">
        <w:t xml:space="preserve">  Further, Simple Network requested that the proposed forfeiture be dismissed in its entirety, or, in the alternative, that the Company </w:t>
      </w:r>
      <w:r w:rsidR="003662D2">
        <w:t>pay</w:t>
      </w:r>
      <w:r w:rsidR="00655915" w:rsidRPr="005371DB">
        <w:t xml:space="preserve"> </w:t>
      </w:r>
      <w:r w:rsidR="003662D2">
        <w:t xml:space="preserve">a total of </w:t>
      </w:r>
      <w:r w:rsidR="00655915" w:rsidRPr="005371DB">
        <w:t xml:space="preserve">$10,000 over </w:t>
      </w:r>
      <w:r w:rsidR="00655915" w:rsidRPr="005371DB">
        <w:lastRenderedPageBreak/>
        <w:t>twelve months</w:t>
      </w:r>
      <w:r w:rsidR="003662D2">
        <w:t>,</w:t>
      </w:r>
      <w:r w:rsidR="00655915" w:rsidRPr="005371DB">
        <w:t xml:space="preserve"> register and begin to file the Worksheets “as deemed necessary under its present business operations.”</w:t>
      </w:r>
      <w:r w:rsidR="00655915" w:rsidRPr="00D81C6A">
        <w:rPr>
          <w:rStyle w:val="FootnoteReference"/>
          <w:sz w:val="22"/>
          <w:szCs w:val="22"/>
        </w:rPr>
        <w:footnoteReference w:id="14"/>
      </w:r>
      <w:r w:rsidR="00655915" w:rsidRPr="005371DB">
        <w:t xml:space="preserve">  We find all of these responses unacceptable.  </w:t>
      </w:r>
    </w:p>
    <w:p w14:paraId="11B40343" w14:textId="77777777" w:rsidR="005A7904" w:rsidRPr="00D81C6A" w:rsidRDefault="005A7904" w:rsidP="005707E5">
      <w:pPr>
        <w:pStyle w:val="Heading1"/>
      </w:pPr>
      <w:r w:rsidRPr="00D81C6A">
        <w:t>DISCUSSION</w:t>
      </w:r>
    </w:p>
    <w:p w14:paraId="41EDDB56" w14:textId="77777777" w:rsidR="005F42CB" w:rsidRPr="00A00366" w:rsidRDefault="00056FF1" w:rsidP="005707E5">
      <w:pPr>
        <w:pStyle w:val="ParaNum"/>
        <w:rPr>
          <w:szCs w:val="22"/>
        </w:rPr>
      </w:pPr>
      <w:r>
        <w:t>The Bureau proposed a forfeiture in this case in accordance with Section 503(b) of the Communications Act of 1934, as amended (Act),</w:t>
      </w:r>
      <w:r>
        <w:rPr>
          <w:rStyle w:val="FootnoteReference"/>
          <w:szCs w:val="22"/>
        </w:rPr>
        <w:footnoteReference w:id="15"/>
      </w:r>
      <w:r>
        <w:t xml:space="preserve"> Section 1.80 of the Rules,</w:t>
      </w:r>
      <w:r>
        <w:rPr>
          <w:rStyle w:val="FootnoteReference"/>
          <w:szCs w:val="22"/>
        </w:rPr>
        <w:footnoteReference w:id="16"/>
      </w:r>
      <w:r>
        <w:t xml:space="preserve"> and the Commission’s </w:t>
      </w:r>
      <w:r w:rsidRPr="005371DB">
        <w:rPr>
          <w:i/>
        </w:rPr>
        <w:t>Forfeiture Policy Statement</w:t>
      </w:r>
      <w:r>
        <w:t>.</w:t>
      </w:r>
      <w:r>
        <w:rPr>
          <w:rStyle w:val="FootnoteReference"/>
          <w:szCs w:val="22"/>
        </w:rPr>
        <w:footnoteReference w:id="17"/>
      </w:r>
      <w:r w:rsidR="00674E95">
        <w:t xml:space="preserve">  When we assess forfeitures, Section 503(b)(2)(E) requires that we take into account the “nature, circumstances, extent, and gravity of the violation and, with respect to the violator, the degree of </w:t>
      </w:r>
      <w:r w:rsidR="00E12F3A">
        <w:t xml:space="preserve">culpability, </w:t>
      </w:r>
      <w:r w:rsidR="005E69AB">
        <w:t>any history of prior offenses, ability to pay, and such other matters as justice may require.”</w:t>
      </w:r>
      <w:r w:rsidR="005E69AB">
        <w:rPr>
          <w:rStyle w:val="FootnoteReference"/>
          <w:szCs w:val="22"/>
        </w:rPr>
        <w:footnoteReference w:id="18"/>
      </w:r>
      <w:r w:rsidR="005E69AB">
        <w:t xml:space="preserve">  </w:t>
      </w:r>
      <w:r w:rsidR="005371DB" w:rsidRPr="005371DB">
        <w:t xml:space="preserve">As discussed below, we have fully </w:t>
      </w:r>
      <w:r w:rsidR="005371DB">
        <w:t>considered Simple Network’s</w:t>
      </w:r>
      <w:r w:rsidR="005371DB" w:rsidRPr="005371DB">
        <w:t xml:space="preserve"> </w:t>
      </w:r>
      <w:r w:rsidR="005371DB">
        <w:t xml:space="preserve">legal and factual arguments in </w:t>
      </w:r>
      <w:r w:rsidR="005371DB" w:rsidRPr="005371DB">
        <w:t xml:space="preserve">response to the </w:t>
      </w:r>
      <w:r w:rsidR="005371DB" w:rsidRPr="005371DB">
        <w:rPr>
          <w:i/>
        </w:rPr>
        <w:t>NAL</w:t>
      </w:r>
      <w:r w:rsidR="005371DB" w:rsidRPr="005371DB">
        <w:t xml:space="preserve">, </w:t>
      </w:r>
      <w:r w:rsidR="00E00B8B">
        <w:t>and</w:t>
      </w:r>
      <w:r w:rsidR="00E00B8B" w:rsidRPr="005371DB">
        <w:t xml:space="preserve"> </w:t>
      </w:r>
      <w:r w:rsidR="005371DB" w:rsidRPr="005371DB">
        <w:t>we find none of them persuasive.  We therefore affirm the $</w:t>
      </w:r>
      <w:r w:rsidR="005371DB">
        <w:t>100,000</w:t>
      </w:r>
      <w:r w:rsidR="005371DB" w:rsidRPr="005371DB">
        <w:t xml:space="preserve"> forfeiture proposed in the </w:t>
      </w:r>
      <w:r w:rsidR="005371DB" w:rsidRPr="005371DB">
        <w:rPr>
          <w:i/>
        </w:rPr>
        <w:t>NAL</w:t>
      </w:r>
      <w:r w:rsidR="005371DB" w:rsidRPr="00245C63">
        <w:t>.</w:t>
      </w:r>
      <w:r w:rsidR="005F42CB" w:rsidRPr="00A00366">
        <w:rPr>
          <w:szCs w:val="22"/>
        </w:rPr>
        <w:t xml:space="preserve"> </w:t>
      </w:r>
    </w:p>
    <w:p w14:paraId="60A2335A" w14:textId="77777777" w:rsidR="005E69AB" w:rsidRDefault="00E4400D" w:rsidP="005707E5">
      <w:pPr>
        <w:pStyle w:val="Heading2"/>
      </w:pPr>
      <w:r>
        <w:t>Simple Network Failed to Comply with the Commission’s Rules</w:t>
      </w:r>
    </w:p>
    <w:p w14:paraId="4998EE2B" w14:textId="77777777" w:rsidR="008E1274" w:rsidRDefault="008E1274" w:rsidP="005707E5">
      <w:pPr>
        <w:pStyle w:val="ParaNum"/>
      </w:pPr>
      <w:r>
        <w:t xml:space="preserve">We find by a preponderance of the evidence that Simple Network willfully and repeatedly engaged in the </w:t>
      </w:r>
      <w:r w:rsidRPr="007274B5">
        <w:t>violation</w:t>
      </w:r>
      <w:r w:rsidR="0040064C">
        <w:t xml:space="preserve"> </w:t>
      </w:r>
      <w:r>
        <w:t xml:space="preserve">described in the </w:t>
      </w:r>
      <w:r>
        <w:rPr>
          <w:i/>
        </w:rPr>
        <w:t>NAL</w:t>
      </w:r>
      <w:r>
        <w:t xml:space="preserve">.  More specifically, we find that </w:t>
      </w:r>
      <w:r w:rsidR="003662D2">
        <w:t>S</w:t>
      </w:r>
      <w:r>
        <w:t>imple Network willfully and repeatedly v</w:t>
      </w:r>
      <w:r w:rsidR="00EA36CC">
        <w:t>iolated Section 64.1195 of the R</w:t>
      </w:r>
      <w:r>
        <w:t>ules by failing to register with the Commission prior to providing interstate telecommunications service.</w:t>
      </w:r>
    </w:p>
    <w:p w14:paraId="0AF5C5BC" w14:textId="77777777" w:rsidR="008E1274" w:rsidRDefault="008E1274" w:rsidP="005707E5">
      <w:pPr>
        <w:pStyle w:val="ParaNum"/>
      </w:pPr>
      <w:r>
        <w:t>All providers of interstate telecommunications services, including prepaid calling card service providers and providers of international telecommunications, such as Simple Network, are required to contribute</w:t>
      </w:r>
      <w:r w:rsidR="00AD2121">
        <w:t xml:space="preserve"> to the </w:t>
      </w:r>
      <w:r>
        <w:t>USF, TRS Fund, and numbering support mechanisms, and pay regulatory fees.</w:t>
      </w:r>
      <w:r>
        <w:rPr>
          <w:rStyle w:val="FootnoteReference"/>
        </w:rPr>
        <w:footnoteReference w:id="19"/>
      </w:r>
      <w:r>
        <w:t xml:space="preserve">  To do so, all contributors must register with the Commission by filing an Annual Telecommunications Reporting Worksheet (Form 499-A) in accordance with Section 64.1195 of the </w:t>
      </w:r>
      <w:r w:rsidR="00743464">
        <w:t>R</w:t>
      </w:r>
      <w:r>
        <w:t>ules.</w:t>
      </w:r>
      <w:r>
        <w:rPr>
          <w:rStyle w:val="FootnoteReference"/>
        </w:rPr>
        <w:footnoteReference w:id="20"/>
      </w:r>
      <w:r>
        <w:t xml:space="preserve"> </w:t>
      </w:r>
    </w:p>
    <w:p w14:paraId="445E0E76" w14:textId="77777777" w:rsidR="008E1274" w:rsidRDefault="008E1274" w:rsidP="005707E5">
      <w:pPr>
        <w:pStyle w:val="ParaNum"/>
      </w:pPr>
      <w:r w:rsidRPr="00D81C6A">
        <w:t>The Form 499-A Instructions state, “</w:t>
      </w:r>
      <w:r w:rsidR="00743464">
        <w:t>[w]</w:t>
      </w:r>
      <w:r w:rsidRPr="00D81C6A">
        <w:t>ith very limited exceptions, all intrastate, interstate, and international providers of telecommunications in the United States must file this Worksheet.”</w:t>
      </w:r>
      <w:r w:rsidRPr="00D81C6A">
        <w:rPr>
          <w:rStyle w:val="FootnoteReference"/>
          <w:szCs w:val="22"/>
        </w:rPr>
        <w:footnoteReference w:id="21"/>
      </w:r>
      <w:r>
        <w:t xml:space="preserve"> </w:t>
      </w:r>
      <w:r w:rsidR="0003521D">
        <w:t xml:space="preserve"> In 2002, </w:t>
      </w:r>
      <w:r>
        <w:t>Simple Network</w:t>
      </w:r>
      <w:r w:rsidRPr="00D81C6A">
        <w:t xml:space="preserve"> applied for and received a “Grant of Authority” from the Commission to “operate as a facilities based carrier in accordance with the provisions of Section 63.18(e)(1) of the rules, and also to provide service in accordance with the provisions of Section 63.18(e)(2) of the rules.”</w:t>
      </w:r>
      <w:r w:rsidRPr="00D81C6A">
        <w:rPr>
          <w:rStyle w:val="FootnoteReference"/>
          <w:szCs w:val="22"/>
        </w:rPr>
        <w:footnoteReference w:id="22"/>
      </w:r>
      <w:r w:rsidRPr="00D81C6A">
        <w:t xml:space="preserve">  Because the Company has a “Grant of Authority” to provide “international services,” it follows that the Company </w:t>
      </w:r>
      <w:r w:rsidR="003662D2">
        <w:t>has violated S</w:t>
      </w:r>
      <w:r w:rsidRPr="00D81C6A">
        <w:t xml:space="preserve">ection 64.1195 of the Commission’s </w:t>
      </w:r>
      <w:r w:rsidR="00743464">
        <w:t>R</w:t>
      </w:r>
      <w:r w:rsidRPr="00D81C6A">
        <w:t>ules by failing to register</w:t>
      </w:r>
      <w:r>
        <w:t xml:space="preserve"> with the Commission </w:t>
      </w:r>
      <w:r w:rsidR="003662D2">
        <w:t xml:space="preserve">through the </w:t>
      </w:r>
      <w:r>
        <w:t xml:space="preserve">filing </w:t>
      </w:r>
      <w:r w:rsidR="003662D2">
        <w:t xml:space="preserve">of </w:t>
      </w:r>
      <w:r>
        <w:t>a Form 499-A</w:t>
      </w:r>
      <w:r w:rsidRPr="00D81C6A">
        <w:t>.</w:t>
      </w:r>
      <w:r w:rsidRPr="00D81C6A">
        <w:rPr>
          <w:rStyle w:val="FootnoteReference"/>
          <w:szCs w:val="22"/>
        </w:rPr>
        <w:footnoteReference w:id="23"/>
      </w:r>
      <w:r>
        <w:t xml:space="preserve">   </w:t>
      </w:r>
    </w:p>
    <w:p w14:paraId="6E49F6B3" w14:textId="77777777" w:rsidR="008E1274" w:rsidRPr="00D667B0" w:rsidRDefault="008E1274" w:rsidP="005707E5">
      <w:pPr>
        <w:pStyle w:val="ParaNum"/>
      </w:pPr>
      <w:r>
        <w:t xml:space="preserve">Simple Network claims that the </w:t>
      </w:r>
      <w:r>
        <w:rPr>
          <w:i/>
        </w:rPr>
        <w:t>NAL</w:t>
      </w:r>
      <w:r>
        <w:t xml:space="preserve"> </w:t>
      </w:r>
      <w:r w:rsidR="005A7602">
        <w:t xml:space="preserve">failed </w:t>
      </w:r>
      <w:r>
        <w:t>to allege that the Company provides interstate telecommunications services</w:t>
      </w:r>
      <w:r w:rsidR="00D5213F">
        <w:t>,</w:t>
      </w:r>
      <w:r>
        <w:t xml:space="preserve"> or provide the dates of the violation</w:t>
      </w:r>
      <w:r w:rsidR="005A7602">
        <w:t>.  These arguments</w:t>
      </w:r>
      <w:r>
        <w:t xml:space="preserve"> are inapposite.  As discussed above,</w:t>
      </w:r>
      <w:r w:rsidR="00377354">
        <w:t xml:space="preserve"> because</w:t>
      </w:r>
      <w:r>
        <w:t xml:space="preserve"> Simple Network</w:t>
      </w:r>
      <w:r w:rsidR="00377354">
        <w:t xml:space="preserve"> is</w:t>
      </w:r>
      <w:r>
        <w:t xml:space="preserve"> a prepaid calling card service provider authorized to provide international service, </w:t>
      </w:r>
      <w:r w:rsidR="00377354">
        <w:t xml:space="preserve">it </w:t>
      </w:r>
      <w:r w:rsidR="007D7AEE">
        <w:t xml:space="preserve">must </w:t>
      </w:r>
      <w:r>
        <w:t xml:space="preserve">register with the Commission prior to providing service, and contribute to various funds on the basis of its revenues.  Accordingly, the </w:t>
      </w:r>
      <w:r w:rsidRPr="00F73B4F">
        <w:rPr>
          <w:i/>
        </w:rPr>
        <w:t>NAL</w:t>
      </w:r>
      <w:r>
        <w:t xml:space="preserve"> clearly described Simple Network’s failure to file </w:t>
      </w:r>
      <w:r w:rsidR="00B22B1D">
        <w:t xml:space="preserve">a </w:t>
      </w:r>
      <w:r>
        <w:t xml:space="preserve">Form 499-A in violation of Section 64.1195 of the Rules, as well as the </w:t>
      </w:r>
      <w:r w:rsidRPr="007274B5">
        <w:t>violation’s</w:t>
      </w:r>
      <w:r>
        <w:t xml:space="preserve"> duration, which began on the date the Company began providing service without registration</w:t>
      </w:r>
      <w:r w:rsidR="00377354">
        <w:t xml:space="preserve"> </w:t>
      </w:r>
      <w:r w:rsidR="00C4689F">
        <w:t>i</w:t>
      </w:r>
      <w:r w:rsidR="00377354">
        <w:t>n or around</w:t>
      </w:r>
      <w:r w:rsidR="00C4689F">
        <w:t xml:space="preserve"> 1997</w:t>
      </w:r>
      <w:r>
        <w:t>, and continue</w:t>
      </w:r>
      <w:r w:rsidR="007D7AEE">
        <w:t>s</w:t>
      </w:r>
      <w:r>
        <w:t xml:space="preserve"> until the Company files its initial Form 499-A.</w:t>
      </w:r>
      <w:r>
        <w:rPr>
          <w:rStyle w:val="FootnoteReference"/>
        </w:rPr>
        <w:footnoteReference w:id="24"/>
      </w:r>
      <w:r>
        <w:t xml:space="preserve"> </w:t>
      </w:r>
    </w:p>
    <w:p w14:paraId="1D7E6265" w14:textId="77777777" w:rsidR="008E1274" w:rsidRDefault="008E1274" w:rsidP="005707E5">
      <w:pPr>
        <w:pStyle w:val="ParaNum"/>
      </w:pPr>
      <w:r>
        <w:t xml:space="preserve">Simple Network’s failure to register was also both willful and repeated, despite the Company’s arguments to the contrary.  </w:t>
      </w:r>
      <w:r w:rsidRPr="00A82BB0">
        <w:t xml:space="preserve">Section 312(f)(1) of the Act defines </w:t>
      </w:r>
      <w:r w:rsidR="00CA6563">
        <w:t>“</w:t>
      </w:r>
      <w:r w:rsidRPr="00A82BB0">
        <w:t>willful</w:t>
      </w:r>
      <w:r w:rsidR="00CA6563">
        <w:t>”</w:t>
      </w:r>
      <w:r w:rsidRPr="00A82BB0">
        <w:t xml:space="preserve"> as “the conscious and deliberate commission or omission of [any] act, irrespective of any intent to violate” the law.</w:t>
      </w:r>
      <w:r w:rsidRPr="00A82BB0">
        <w:rPr>
          <w:vertAlign w:val="superscript"/>
        </w:rPr>
        <w:footnoteReference w:id="25"/>
      </w:r>
      <w:r w:rsidRPr="00A82BB0">
        <w:t xml:space="preserve"> </w:t>
      </w:r>
      <w:r w:rsidRPr="00D81C6A">
        <w:t>“Repeated” means that the act was committed or omitted more than once, or lasts more than one day.</w:t>
      </w:r>
      <w:r w:rsidRPr="00D81C6A">
        <w:rPr>
          <w:rStyle w:val="FootnoteReference"/>
          <w:szCs w:val="22"/>
        </w:rPr>
        <w:footnoteReference w:id="26"/>
      </w:r>
      <w:r w:rsidRPr="00D81C6A">
        <w:t xml:space="preserve"> </w:t>
      </w:r>
      <w:r w:rsidRPr="00A82BB0">
        <w:t xml:space="preserve"> </w:t>
      </w:r>
      <w:r w:rsidRPr="00D81C6A">
        <w:t>The legislat</w:t>
      </w:r>
      <w:r>
        <w:t xml:space="preserve">ive history to </w:t>
      </w:r>
      <w:r w:rsidR="007D7AEE">
        <w:t>S</w:t>
      </w:r>
      <w:r>
        <w:t>ection 312 of the Act clarifies that the</w:t>
      </w:r>
      <w:r w:rsidRPr="00D81C6A">
        <w:t xml:space="preserve"> definition</w:t>
      </w:r>
      <w:r>
        <w:t>s</w:t>
      </w:r>
      <w:r w:rsidRPr="00D81C6A">
        <w:t xml:space="preserve"> of willful</w:t>
      </w:r>
      <w:r>
        <w:t xml:space="preserve"> and repeated apply</w:t>
      </w:r>
      <w:r w:rsidRPr="00D81C6A">
        <w:t xml:space="preserve"> to both </w:t>
      </w:r>
      <w:r w:rsidR="007D7AEE">
        <w:t>S</w:t>
      </w:r>
      <w:r w:rsidRPr="00D81C6A">
        <w:t>ections 312 and 503(b) of the Act,</w:t>
      </w:r>
      <w:r w:rsidRPr="00D81C6A">
        <w:rPr>
          <w:rStyle w:val="FootnoteReference"/>
          <w:szCs w:val="22"/>
        </w:rPr>
        <w:footnoteReference w:id="27"/>
      </w:r>
      <w:r w:rsidRPr="00D81C6A">
        <w:t xml:space="preserve"> and the Commission has so interpreted the term</w:t>
      </w:r>
      <w:r>
        <w:t>s</w:t>
      </w:r>
      <w:r w:rsidRPr="00D81C6A">
        <w:t xml:space="preserve"> in the </w:t>
      </w:r>
      <w:r w:rsidR="007D7AEE">
        <w:t>S</w:t>
      </w:r>
      <w:r w:rsidRPr="00D81C6A">
        <w:t>ection 503(b) context.</w:t>
      </w:r>
      <w:r w:rsidRPr="00D81C6A">
        <w:rPr>
          <w:rStyle w:val="FootnoteReference"/>
          <w:szCs w:val="22"/>
        </w:rPr>
        <w:footnoteReference w:id="28"/>
      </w:r>
      <w:r w:rsidRPr="00D81C6A">
        <w:t xml:space="preserve">  </w:t>
      </w:r>
      <w:r>
        <w:t xml:space="preserve">Based on the Rules, Simple Network’s failure to register was both willful and repeated.  As discussed in the </w:t>
      </w:r>
      <w:r>
        <w:rPr>
          <w:i/>
        </w:rPr>
        <w:t>NAL</w:t>
      </w:r>
      <w:r>
        <w:t>, the Company did not file a Form 499-A despite the requirement to do so.</w:t>
      </w:r>
      <w:r>
        <w:rPr>
          <w:rStyle w:val="FootnoteReference"/>
        </w:rPr>
        <w:footnoteReference w:id="29"/>
      </w:r>
      <w:r>
        <w:t xml:space="preserve">  </w:t>
      </w:r>
      <w:r w:rsidR="00377354">
        <w:t xml:space="preserve">Accordingly, Simple Network’s failure to act has </w:t>
      </w:r>
      <w:r>
        <w:t xml:space="preserve">lasted for </w:t>
      </w:r>
      <w:r w:rsidR="007D7AEE">
        <w:t>several</w:t>
      </w:r>
      <w:r>
        <w:t xml:space="preserve"> years</w:t>
      </w:r>
      <w:r w:rsidR="00FB472E">
        <w:t xml:space="preserve"> while </w:t>
      </w:r>
      <w:r>
        <w:t>the Company</w:t>
      </w:r>
      <w:r w:rsidR="00377354">
        <w:t xml:space="preserve"> </w:t>
      </w:r>
      <w:r>
        <w:t>provid</w:t>
      </w:r>
      <w:r w:rsidR="007D7AEE">
        <w:t>ed</w:t>
      </w:r>
      <w:r>
        <w:t xml:space="preserve"> telecommunications service </w:t>
      </w:r>
      <w:r w:rsidR="00377354">
        <w:t xml:space="preserve">over the same period </w:t>
      </w:r>
      <w:r>
        <w:t>without registering</w:t>
      </w:r>
      <w:r w:rsidR="00377354">
        <w:t xml:space="preserve"> with the Commission</w:t>
      </w:r>
      <w:r>
        <w:t>.</w:t>
      </w:r>
      <w:r>
        <w:rPr>
          <w:rStyle w:val="FootnoteReference"/>
        </w:rPr>
        <w:footnoteReference w:id="30"/>
      </w:r>
      <w:r>
        <w:t xml:space="preserve">   </w:t>
      </w:r>
    </w:p>
    <w:p w14:paraId="7C873BBC" w14:textId="77777777" w:rsidR="00A73B81" w:rsidRPr="00D667B0" w:rsidRDefault="008E1274" w:rsidP="005707E5">
      <w:pPr>
        <w:pStyle w:val="ParaNum"/>
      </w:pPr>
      <w:r>
        <w:t xml:space="preserve">Therefore, contrary to Simple Network’s arguments, we conclude that the </w:t>
      </w:r>
      <w:r>
        <w:rPr>
          <w:i/>
        </w:rPr>
        <w:t>NAL</w:t>
      </w:r>
      <w:r>
        <w:t xml:space="preserve"> fully and properly explained the Company’s willful and repeated </w:t>
      </w:r>
      <w:r w:rsidRPr="007274B5">
        <w:t>violation</w:t>
      </w:r>
      <w:r>
        <w:t xml:space="preserve"> of Section 64.1195 of the Rules. </w:t>
      </w:r>
    </w:p>
    <w:p w14:paraId="6B0B8551" w14:textId="77777777" w:rsidR="00BC3D5E" w:rsidRPr="00470E7E" w:rsidRDefault="00A73B81" w:rsidP="005707E5">
      <w:pPr>
        <w:pStyle w:val="Heading2"/>
      </w:pPr>
      <w:r>
        <w:t>The Forfeiture Amount Discussed in the NAL is Appropriate.</w:t>
      </w:r>
      <w:r w:rsidR="00BC3D5E">
        <w:t xml:space="preserve"> </w:t>
      </w:r>
    </w:p>
    <w:p w14:paraId="34067587" w14:textId="77777777" w:rsidR="007C796A" w:rsidRDefault="00E05695" w:rsidP="003C2741">
      <w:pPr>
        <w:pStyle w:val="ParaNum"/>
        <w:widowControl/>
        <w:rPr>
          <w:szCs w:val="22"/>
        </w:rPr>
      </w:pPr>
      <w:r w:rsidRPr="00981F23">
        <w:t xml:space="preserve">Section 503(b)(2)(B) of the Act authorizes </w:t>
      </w:r>
      <w:r w:rsidRPr="00C77623">
        <w:t xml:space="preserve">the Commission </w:t>
      </w:r>
      <w:r w:rsidRPr="00981F23">
        <w:t xml:space="preserve">to assess a forfeiture against </w:t>
      </w:r>
      <w:r w:rsidR="00236618">
        <w:t xml:space="preserve">Simple Network </w:t>
      </w:r>
      <w:r w:rsidRPr="00564670">
        <w:t xml:space="preserve">of up to $189,361 for each violation or each day of a continuing violation, up to a statutory maximum of $1,893,610 for </w:t>
      </w:r>
      <w:r w:rsidRPr="00981F23">
        <w:t>a single act or failure to act.</w:t>
      </w:r>
      <w:r w:rsidR="00A73B81" w:rsidRPr="00D81C6A">
        <w:rPr>
          <w:rStyle w:val="FootnoteReference"/>
          <w:sz w:val="22"/>
          <w:szCs w:val="22"/>
        </w:rPr>
        <w:footnoteReference w:id="31"/>
      </w:r>
      <w:r w:rsidR="00A73B81" w:rsidRPr="00D81C6A">
        <w:rPr>
          <w:szCs w:val="22"/>
        </w:rPr>
        <w:t xml:space="preserve">  In determining the appropriate forfeiture amount, we consider the factors e</w:t>
      </w:r>
      <w:r w:rsidR="004343A7">
        <w:rPr>
          <w:szCs w:val="22"/>
        </w:rPr>
        <w:t xml:space="preserve">numerated in </w:t>
      </w:r>
      <w:r w:rsidR="00E06D9F">
        <w:rPr>
          <w:szCs w:val="22"/>
        </w:rPr>
        <w:t>S</w:t>
      </w:r>
      <w:r w:rsidR="004343A7">
        <w:rPr>
          <w:szCs w:val="22"/>
        </w:rPr>
        <w:t>ection 503(b)(2)(E</w:t>
      </w:r>
      <w:r w:rsidR="00A73B81" w:rsidRPr="00D81C6A">
        <w:rPr>
          <w:szCs w:val="22"/>
        </w:rPr>
        <w:t>) of the Act, including “the nature, circumstances, extent and gravity of the violation, and, with respect to the violator, the degree of culpability, any history of prior offenses, ability to pay, and such other matters as justice may require.”</w:t>
      </w:r>
      <w:r w:rsidR="00A73B81" w:rsidRPr="00D81C6A">
        <w:rPr>
          <w:rStyle w:val="FootnoteReference"/>
          <w:sz w:val="22"/>
          <w:szCs w:val="22"/>
        </w:rPr>
        <w:footnoteReference w:id="32"/>
      </w:r>
      <w:r w:rsidR="007C796A">
        <w:rPr>
          <w:szCs w:val="22"/>
        </w:rPr>
        <w:t xml:space="preserve"> </w:t>
      </w:r>
    </w:p>
    <w:p w14:paraId="27F87738" w14:textId="77777777" w:rsidR="00BB30D8" w:rsidRDefault="00A73B81" w:rsidP="003C2741">
      <w:pPr>
        <w:pStyle w:val="ParaNum"/>
        <w:widowControl/>
        <w:rPr>
          <w:szCs w:val="22"/>
        </w:rPr>
      </w:pPr>
      <w:r w:rsidRPr="00D81C6A">
        <w:rPr>
          <w:szCs w:val="22"/>
        </w:rPr>
        <w:t xml:space="preserve">In the </w:t>
      </w:r>
      <w:r w:rsidRPr="00D81C6A">
        <w:rPr>
          <w:i/>
          <w:szCs w:val="22"/>
        </w:rPr>
        <w:t>Simple Network NAL</w:t>
      </w:r>
      <w:r w:rsidRPr="00D81C6A">
        <w:rPr>
          <w:szCs w:val="22"/>
        </w:rPr>
        <w:t xml:space="preserve">, the </w:t>
      </w:r>
      <w:r w:rsidR="006F25C6">
        <w:rPr>
          <w:szCs w:val="22"/>
        </w:rPr>
        <w:t>Bureau</w:t>
      </w:r>
      <w:r w:rsidRPr="00D81C6A">
        <w:rPr>
          <w:szCs w:val="22"/>
        </w:rPr>
        <w:t xml:space="preserve"> imposed a base forfeiture of $100,000 for the failure to register under </w:t>
      </w:r>
      <w:r w:rsidR="007D7AEE">
        <w:rPr>
          <w:szCs w:val="22"/>
        </w:rPr>
        <w:t>Section</w:t>
      </w:r>
      <w:r w:rsidR="007D7AEE" w:rsidRPr="00D81C6A">
        <w:rPr>
          <w:szCs w:val="22"/>
        </w:rPr>
        <w:t xml:space="preserve"> </w:t>
      </w:r>
      <w:r w:rsidRPr="00D81C6A">
        <w:rPr>
          <w:szCs w:val="22"/>
        </w:rPr>
        <w:t>64.1195</w:t>
      </w:r>
      <w:r w:rsidR="007D7AEE">
        <w:rPr>
          <w:szCs w:val="22"/>
        </w:rPr>
        <w:t xml:space="preserve"> of the Commission’s rules</w:t>
      </w:r>
      <w:r w:rsidRPr="00D81C6A">
        <w:rPr>
          <w:szCs w:val="22"/>
        </w:rPr>
        <w:t>.</w:t>
      </w:r>
      <w:r w:rsidRPr="00D81C6A">
        <w:rPr>
          <w:rStyle w:val="FootnoteReference"/>
          <w:sz w:val="22"/>
          <w:szCs w:val="22"/>
        </w:rPr>
        <w:footnoteReference w:id="33"/>
      </w:r>
      <w:r w:rsidRPr="00D81C6A">
        <w:rPr>
          <w:szCs w:val="22"/>
        </w:rPr>
        <w:t xml:space="preserve"> </w:t>
      </w:r>
      <w:r w:rsidR="006F25C6">
        <w:rPr>
          <w:szCs w:val="22"/>
        </w:rPr>
        <w:t xml:space="preserve"> This amount</w:t>
      </w:r>
      <w:r w:rsidR="00DC4AFD">
        <w:rPr>
          <w:szCs w:val="22"/>
        </w:rPr>
        <w:t xml:space="preserve"> i</w:t>
      </w:r>
      <w:r w:rsidR="006F25C6">
        <w:rPr>
          <w:szCs w:val="22"/>
        </w:rPr>
        <w:t>s reasonable in light of the Commission’s precedent in failure to register cases, and the facts uncovered in this investigation.</w:t>
      </w:r>
      <w:r w:rsidR="006F25C6">
        <w:rPr>
          <w:rStyle w:val="FootnoteReference"/>
          <w:szCs w:val="22"/>
        </w:rPr>
        <w:footnoteReference w:id="34"/>
      </w:r>
      <w:r w:rsidR="006F25C6">
        <w:rPr>
          <w:szCs w:val="22"/>
        </w:rPr>
        <w:t xml:space="preserve"> </w:t>
      </w:r>
      <w:r w:rsidRPr="00D81C6A">
        <w:rPr>
          <w:szCs w:val="22"/>
        </w:rPr>
        <w:t xml:space="preserve"> We note that this is a very limited action in light of the duration of the Company’s continuing violation and the Company’s ability to pay.</w:t>
      </w:r>
      <w:r w:rsidR="00483616">
        <w:rPr>
          <w:rStyle w:val="FootnoteReference"/>
          <w:szCs w:val="22"/>
        </w:rPr>
        <w:footnoteReference w:id="35"/>
      </w:r>
      <w:r w:rsidRPr="00D81C6A">
        <w:rPr>
          <w:szCs w:val="22"/>
        </w:rPr>
        <w:t xml:space="preserve">  </w:t>
      </w:r>
      <w:r w:rsidR="007C796A">
        <w:rPr>
          <w:szCs w:val="22"/>
        </w:rPr>
        <w:t xml:space="preserve">In its response to the </w:t>
      </w:r>
      <w:r w:rsidR="007C796A" w:rsidRPr="00D81C6A">
        <w:rPr>
          <w:i/>
          <w:szCs w:val="22"/>
        </w:rPr>
        <w:t>Simple Network NAL</w:t>
      </w:r>
      <w:r w:rsidR="007C796A">
        <w:rPr>
          <w:szCs w:val="22"/>
        </w:rPr>
        <w:t xml:space="preserve">, the Company’s counsel states that </w:t>
      </w:r>
      <w:r w:rsidR="007C796A" w:rsidRPr="00694655">
        <w:t xml:space="preserve">Simple Network’s </w:t>
      </w:r>
      <w:r w:rsidR="00F7457A" w:rsidRPr="00694655">
        <w:t>financ</w:t>
      </w:r>
      <w:r w:rsidR="00DD7562" w:rsidRPr="00694655">
        <w:t xml:space="preserve">ial </w:t>
      </w:r>
      <w:r w:rsidR="00DD7562">
        <w:rPr>
          <w:szCs w:val="22"/>
        </w:rPr>
        <w:t>situation</w:t>
      </w:r>
      <w:r w:rsidR="007C796A" w:rsidRPr="006A68F8">
        <w:rPr>
          <w:szCs w:val="22"/>
        </w:rPr>
        <w:t xml:space="preserve"> </w:t>
      </w:r>
      <w:r w:rsidR="00F7457A">
        <w:rPr>
          <w:szCs w:val="22"/>
        </w:rPr>
        <w:t>“</w:t>
      </w:r>
      <w:r w:rsidR="007C796A" w:rsidRPr="00694655">
        <w:t>fully supports the elimination of the One Hundred Thousand Dollar ($100,000) forfeiture in its entirety or a reduction of the forfeiture to no more than Ten Thousand Dollars on the condition that Simple Network is given at least One (1) year to make payment.”</w:t>
      </w:r>
      <w:r w:rsidR="007C796A" w:rsidRPr="004343A7">
        <w:rPr>
          <w:rStyle w:val="FootnoteReference"/>
          <w:szCs w:val="22"/>
        </w:rPr>
        <w:footnoteReference w:id="36"/>
      </w:r>
      <w:r w:rsidR="00336B68" w:rsidRPr="00BB30D8">
        <w:rPr>
          <w:szCs w:val="22"/>
        </w:rPr>
        <w:t xml:space="preserve">  We do not accept this proposal.</w:t>
      </w:r>
    </w:p>
    <w:p w14:paraId="27246670" w14:textId="77777777" w:rsidR="00854000" w:rsidRPr="00F9300D" w:rsidRDefault="00A72866" w:rsidP="005707E5">
      <w:pPr>
        <w:pStyle w:val="ParaNum"/>
        <w:rPr>
          <w:szCs w:val="22"/>
        </w:rPr>
      </w:pPr>
      <w:r>
        <w:rPr>
          <w:szCs w:val="22"/>
        </w:rPr>
        <w:t>T</w:t>
      </w:r>
      <w:r w:rsidR="00336B68" w:rsidRPr="00BB30D8">
        <w:rPr>
          <w:szCs w:val="22"/>
        </w:rPr>
        <w:t xml:space="preserve">he Company argues that </w:t>
      </w:r>
      <w:r w:rsidR="00336B68" w:rsidRPr="00694655">
        <w:t xml:space="preserve">it is not in “an economic position” </w:t>
      </w:r>
      <w:r w:rsidRPr="00694655">
        <w:t xml:space="preserve">to pay </w:t>
      </w:r>
      <w:r w:rsidR="00336B68" w:rsidRPr="00694655">
        <w:t>the $10</w:t>
      </w:r>
      <w:r w:rsidR="002D7ECC" w:rsidRPr="00694655">
        <w:t>0,000 forfeiture</w:t>
      </w:r>
      <w:r w:rsidR="00F9300D">
        <w:rPr>
          <w:szCs w:val="22"/>
        </w:rPr>
        <w:t>, and further contends that “the forfeiture is plainly punitive in nature</w:t>
      </w:r>
      <w:r w:rsidR="00336B68" w:rsidRPr="006A5830">
        <w:rPr>
          <w:szCs w:val="22"/>
        </w:rPr>
        <w:t>.</w:t>
      </w:r>
      <w:r w:rsidR="00F9300D">
        <w:rPr>
          <w:szCs w:val="22"/>
        </w:rPr>
        <w:t>”</w:t>
      </w:r>
      <w:r w:rsidR="00F01327" w:rsidRPr="006A5830">
        <w:rPr>
          <w:rStyle w:val="FootnoteReference"/>
          <w:szCs w:val="22"/>
        </w:rPr>
        <w:footnoteReference w:id="37"/>
      </w:r>
      <w:r w:rsidR="00336B68" w:rsidRPr="00BB30D8">
        <w:rPr>
          <w:szCs w:val="22"/>
        </w:rPr>
        <w:t xml:space="preserve">  </w:t>
      </w:r>
      <w:r w:rsidR="00661CAD">
        <w:rPr>
          <w:szCs w:val="22"/>
        </w:rPr>
        <w:t xml:space="preserve">However, </w:t>
      </w:r>
      <w:r w:rsidR="000A4A2E">
        <w:rPr>
          <w:szCs w:val="22"/>
        </w:rPr>
        <w:t xml:space="preserve">the only documentation submitted in support of Simple Network’s claim of financial hardship </w:t>
      </w:r>
      <w:r w:rsidR="00726234">
        <w:rPr>
          <w:szCs w:val="22"/>
        </w:rPr>
        <w:t xml:space="preserve">were </w:t>
      </w:r>
      <w:r w:rsidR="00661CAD">
        <w:rPr>
          <w:szCs w:val="22"/>
        </w:rPr>
        <w:t>t</w:t>
      </w:r>
      <w:r w:rsidR="00661CAD" w:rsidRPr="00F9300D">
        <w:rPr>
          <w:szCs w:val="22"/>
        </w:rPr>
        <w:t xml:space="preserve">he </w:t>
      </w:r>
      <w:r w:rsidR="00336B68" w:rsidRPr="00F9300D">
        <w:rPr>
          <w:szCs w:val="22"/>
        </w:rPr>
        <w:t xml:space="preserve">U.S. </w:t>
      </w:r>
      <w:r w:rsidR="00726234">
        <w:rPr>
          <w:szCs w:val="22"/>
        </w:rPr>
        <w:t>i</w:t>
      </w:r>
      <w:r w:rsidR="00726234" w:rsidRPr="00F9300D">
        <w:rPr>
          <w:szCs w:val="22"/>
        </w:rPr>
        <w:t xml:space="preserve">ncome </w:t>
      </w:r>
      <w:r w:rsidR="00726234">
        <w:rPr>
          <w:szCs w:val="22"/>
        </w:rPr>
        <w:t>t</w:t>
      </w:r>
      <w:r w:rsidR="00336B68" w:rsidRPr="00F9300D">
        <w:rPr>
          <w:szCs w:val="22"/>
        </w:rPr>
        <w:t xml:space="preserve">ax </w:t>
      </w:r>
      <w:r w:rsidR="00726234">
        <w:rPr>
          <w:szCs w:val="22"/>
        </w:rPr>
        <w:t>r</w:t>
      </w:r>
      <w:r w:rsidR="00726234" w:rsidRPr="00F9300D">
        <w:rPr>
          <w:szCs w:val="22"/>
        </w:rPr>
        <w:t xml:space="preserve">eturns </w:t>
      </w:r>
      <w:r w:rsidR="00336B68" w:rsidRPr="00F9300D">
        <w:rPr>
          <w:szCs w:val="22"/>
        </w:rPr>
        <w:t>the Company</w:t>
      </w:r>
      <w:r w:rsidR="00D945AA" w:rsidRPr="00F9300D">
        <w:rPr>
          <w:szCs w:val="22"/>
        </w:rPr>
        <w:t xml:space="preserve"> provided with </w:t>
      </w:r>
      <w:r w:rsidR="00380735">
        <w:rPr>
          <w:szCs w:val="22"/>
        </w:rPr>
        <w:t xml:space="preserve">its </w:t>
      </w:r>
      <w:r w:rsidR="002D7ECC" w:rsidRPr="00F9300D">
        <w:rPr>
          <w:szCs w:val="22"/>
        </w:rPr>
        <w:t>NAL Response</w:t>
      </w:r>
      <w:r w:rsidR="000A4A2E">
        <w:rPr>
          <w:szCs w:val="22"/>
        </w:rPr>
        <w:t>,</w:t>
      </w:r>
      <w:r w:rsidR="00336B68" w:rsidRPr="006A5830">
        <w:rPr>
          <w:rStyle w:val="FootnoteReference"/>
          <w:szCs w:val="22"/>
        </w:rPr>
        <w:footnoteReference w:id="38"/>
      </w:r>
      <w:r w:rsidR="002D7ECC" w:rsidRPr="00F9300D">
        <w:rPr>
          <w:szCs w:val="22"/>
        </w:rPr>
        <w:t xml:space="preserve"> </w:t>
      </w:r>
      <w:r w:rsidR="000A4A2E">
        <w:rPr>
          <w:szCs w:val="22"/>
        </w:rPr>
        <w:t>which</w:t>
      </w:r>
      <w:r w:rsidR="000A4A2E" w:rsidRPr="00694655">
        <w:t xml:space="preserve"> </w:t>
      </w:r>
      <w:r w:rsidR="002D7ECC" w:rsidRPr="00694655">
        <w:t>do not support a downward adjustment or cancellation for inability to pay</w:t>
      </w:r>
      <w:r w:rsidR="00336B68" w:rsidRPr="00F9300D">
        <w:rPr>
          <w:szCs w:val="22"/>
        </w:rPr>
        <w:t>.</w:t>
      </w:r>
      <w:r w:rsidR="002D7ECC" w:rsidRPr="00F9300D">
        <w:rPr>
          <w:szCs w:val="22"/>
        </w:rPr>
        <w:t xml:space="preserve"> </w:t>
      </w:r>
      <w:r w:rsidR="00336B68" w:rsidRPr="00F9300D">
        <w:rPr>
          <w:szCs w:val="22"/>
        </w:rPr>
        <w:t xml:space="preserve"> </w:t>
      </w:r>
      <w:r w:rsidR="002D7ECC" w:rsidRPr="00F9300D">
        <w:rPr>
          <w:szCs w:val="22"/>
        </w:rPr>
        <w:t xml:space="preserve">In </w:t>
      </w:r>
      <w:r w:rsidR="00EE2EE1" w:rsidRPr="00F9300D">
        <w:rPr>
          <w:szCs w:val="22"/>
        </w:rPr>
        <w:t>analyzing financial hardship claims, the Commission’s long established standard is to consider a company’s gross revenues.</w:t>
      </w:r>
      <w:r w:rsidR="00EE2EE1" w:rsidRPr="00854000">
        <w:rPr>
          <w:rStyle w:val="FootnoteReference"/>
          <w:szCs w:val="22"/>
        </w:rPr>
        <w:footnoteReference w:id="39"/>
      </w:r>
      <w:r w:rsidR="002D7ECC" w:rsidRPr="00F9300D">
        <w:rPr>
          <w:szCs w:val="22"/>
        </w:rPr>
        <w:t xml:space="preserve"> </w:t>
      </w:r>
      <w:r w:rsidR="00880C7F" w:rsidRPr="00F9300D">
        <w:rPr>
          <w:szCs w:val="22"/>
        </w:rPr>
        <w:t xml:space="preserve"> </w:t>
      </w:r>
      <w:r w:rsidR="00EE2EE1" w:rsidRPr="00F9300D">
        <w:rPr>
          <w:szCs w:val="22"/>
        </w:rPr>
        <w:t xml:space="preserve">The Commission has found that, “[i]n general, </w:t>
      </w:r>
      <w:r w:rsidR="002D7ECC" w:rsidRPr="00F9300D">
        <w:rPr>
          <w:szCs w:val="22"/>
        </w:rPr>
        <w:t xml:space="preserve">gross revenues are the best indicator of </w:t>
      </w:r>
      <w:r w:rsidR="00EE2EE1" w:rsidRPr="00F9300D">
        <w:rPr>
          <w:szCs w:val="22"/>
        </w:rPr>
        <w:t xml:space="preserve">[a company’s] </w:t>
      </w:r>
      <w:r w:rsidR="002D7ECC" w:rsidRPr="00F9300D">
        <w:rPr>
          <w:szCs w:val="22"/>
        </w:rPr>
        <w:t>ability to pay a forfeiture.”</w:t>
      </w:r>
      <w:r w:rsidR="002D7ECC" w:rsidRPr="00854000">
        <w:rPr>
          <w:rStyle w:val="FootnoteReference"/>
          <w:szCs w:val="22"/>
        </w:rPr>
        <w:footnoteReference w:id="40"/>
      </w:r>
      <w:r w:rsidR="002D7ECC" w:rsidRPr="00F9300D">
        <w:rPr>
          <w:szCs w:val="22"/>
        </w:rPr>
        <w:t xml:space="preserve">  </w:t>
      </w:r>
      <w:r w:rsidR="007229AE" w:rsidRPr="00F9300D">
        <w:rPr>
          <w:szCs w:val="22"/>
        </w:rPr>
        <w:t>In addition, while the Commission has noted that “in some cases other financial indicators</w:t>
      </w:r>
      <w:r w:rsidR="006A3EBF" w:rsidRPr="00F9300D">
        <w:rPr>
          <w:szCs w:val="22"/>
        </w:rPr>
        <w:t>,</w:t>
      </w:r>
      <w:r w:rsidR="007229AE" w:rsidRPr="00F9300D">
        <w:rPr>
          <w:szCs w:val="22"/>
        </w:rPr>
        <w:t xml:space="preserve"> such as net losses, may also be relevant,” </w:t>
      </w:r>
      <w:r w:rsidR="00EE2EE1" w:rsidRPr="00F9300D">
        <w:rPr>
          <w:szCs w:val="22"/>
        </w:rPr>
        <w:t>if “gross revenues are sufficiently great . . . the mere fact that a business is operating at a loss does not mean that it cannot afford to pay a forfeiture.”</w:t>
      </w:r>
      <w:r w:rsidR="00EE2EE1" w:rsidRPr="00854000">
        <w:rPr>
          <w:rStyle w:val="FootnoteReference"/>
          <w:szCs w:val="22"/>
        </w:rPr>
        <w:footnoteReference w:id="41"/>
      </w:r>
      <w:r w:rsidR="00EE2EE1" w:rsidRPr="00F9300D">
        <w:rPr>
          <w:szCs w:val="22"/>
        </w:rPr>
        <w:t xml:space="preserve">  </w:t>
      </w:r>
    </w:p>
    <w:p w14:paraId="0EB87DFB" w14:textId="77777777" w:rsidR="000E5B03" w:rsidRPr="00DE5CFF" w:rsidRDefault="000E5B03" w:rsidP="005707E5">
      <w:pPr>
        <w:pStyle w:val="ParaNum"/>
        <w:rPr>
          <w:szCs w:val="22"/>
        </w:rPr>
      </w:pPr>
      <w:r w:rsidRPr="00854000">
        <w:rPr>
          <w:szCs w:val="22"/>
        </w:rPr>
        <w:t xml:space="preserve">Based on the </w:t>
      </w:r>
      <w:r w:rsidR="00DE5CFF">
        <w:rPr>
          <w:szCs w:val="22"/>
        </w:rPr>
        <w:t xml:space="preserve">tax returns </w:t>
      </w:r>
      <w:r w:rsidR="00380735">
        <w:rPr>
          <w:szCs w:val="22"/>
        </w:rPr>
        <w:t xml:space="preserve">submitted by the Company </w:t>
      </w:r>
      <w:r w:rsidR="00DE5CFF">
        <w:rPr>
          <w:szCs w:val="22"/>
        </w:rPr>
        <w:t xml:space="preserve">for the three year period </w:t>
      </w:r>
      <w:r w:rsidR="00380735">
        <w:rPr>
          <w:szCs w:val="22"/>
        </w:rPr>
        <w:t xml:space="preserve">of </w:t>
      </w:r>
      <w:r w:rsidR="00DE5CFF" w:rsidRPr="00672E17">
        <w:rPr>
          <w:szCs w:val="22"/>
        </w:rPr>
        <w:t>2012</w:t>
      </w:r>
      <w:r w:rsidR="00380735">
        <w:rPr>
          <w:szCs w:val="22"/>
        </w:rPr>
        <w:t xml:space="preserve"> through </w:t>
      </w:r>
      <w:r w:rsidR="00DE5CFF" w:rsidRPr="00672E17">
        <w:rPr>
          <w:szCs w:val="22"/>
        </w:rPr>
        <w:t>2014</w:t>
      </w:r>
      <w:r w:rsidR="00DE5CFF">
        <w:rPr>
          <w:szCs w:val="22"/>
        </w:rPr>
        <w:t>,</w:t>
      </w:r>
      <w:r w:rsidRPr="00854000">
        <w:rPr>
          <w:szCs w:val="22"/>
        </w:rPr>
        <w:t xml:space="preserve"> we find that </w:t>
      </w:r>
      <w:r w:rsidR="00DE5CFF">
        <w:rPr>
          <w:szCs w:val="22"/>
        </w:rPr>
        <w:t>Simple Network</w:t>
      </w:r>
      <w:r w:rsidRPr="00854000">
        <w:rPr>
          <w:szCs w:val="22"/>
        </w:rPr>
        <w:t xml:space="preserve"> has not demonstrated an inability to pay a $100,000 forfeiture.</w:t>
      </w:r>
      <w:r w:rsidR="00DE5CFF" w:rsidRPr="006A5830">
        <w:rPr>
          <w:rStyle w:val="FootnoteReference"/>
          <w:szCs w:val="22"/>
        </w:rPr>
        <w:footnoteReference w:id="42"/>
      </w:r>
      <w:r w:rsidRPr="00854000">
        <w:rPr>
          <w:szCs w:val="22"/>
        </w:rPr>
        <w:t xml:space="preserve">  </w:t>
      </w:r>
      <w:r w:rsidR="00D972F3" w:rsidRPr="00694655">
        <w:t>Th</w:t>
      </w:r>
      <w:r w:rsidR="00565522" w:rsidRPr="00694655">
        <w:t>e proposed forfeiture expressed as a percentage of</w:t>
      </w:r>
      <w:r w:rsidR="00565522" w:rsidRPr="00672E17">
        <w:rPr>
          <w:szCs w:val="22"/>
        </w:rPr>
        <w:t xml:space="preserve"> </w:t>
      </w:r>
      <w:r w:rsidR="00DE5CFF">
        <w:rPr>
          <w:szCs w:val="22"/>
        </w:rPr>
        <w:t>Simple Network’s</w:t>
      </w:r>
      <w:r w:rsidR="00DE5CFF" w:rsidRPr="00694655">
        <w:t xml:space="preserve"> </w:t>
      </w:r>
      <w:r w:rsidR="00565522" w:rsidRPr="00694655">
        <w:t>gross revenues is significantly less than the threshold used to determine an inability to pay reduction, and the other information the Company submitted fails to show that paying that percentage of its gross revenues would undermine its financial position</w:t>
      </w:r>
      <w:r w:rsidR="00565522" w:rsidRPr="00694655">
        <w:rPr>
          <w:color w:val="000000"/>
        </w:rPr>
        <w:t>.</w:t>
      </w:r>
      <w:r w:rsidR="00565522" w:rsidRPr="006A5830">
        <w:rPr>
          <w:rStyle w:val="FootnoteReference"/>
          <w:szCs w:val="22"/>
        </w:rPr>
        <w:footnoteReference w:id="43"/>
      </w:r>
      <w:r w:rsidRPr="00854000">
        <w:rPr>
          <w:szCs w:val="22"/>
        </w:rPr>
        <w:t xml:space="preserve"> </w:t>
      </w:r>
      <w:r w:rsidR="00681468">
        <w:rPr>
          <w:szCs w:val="22"/>
        </w:rPr>
        <w:t xml:space="preserve"> </w:t>
      </w:r>
      <w:r w:rsidR="004C61BE">
        <w:rPr>
          <w:szCs w:val="22"/>
        </w:rPr>
        <w:t>Thus, the Company’s</w:t>
      </w:r>
      <w:r w:rsidR="002571D0">
        <w:rPr>
          <w:szCs w:val="22"/>
        </w:rPr>
        <w:t xml:space="preserve"> gross revenues </w:t>
      </w:r>
      <w:r w:rsidR="004C61BE">
        <w:rPr>
          <w:szCs w:val="22"/>
        </w:rPr>
        <w:t>clearly demonstrate</w:t>
      </w:r>
      <w:r w:rsidR="002571D0">
        <w:rPr>
          <w:szCs w:val="22"/>
        </w:rPr>
        <w:t xml:space="preserve"> an ability to pay</w:t>
      </w:r>
      <w:r w:rsidR="004C61BE">
        <w:rPr>
          <w:szCs w:val="22"/>
        </w:rPr>
        <w:t xml:space="preserve"> the $100,000 forfeiture</w:t>
      </w:r>
      <w:r w:rsidR="002571D0">
        <w:rPr>
          <w:szCs w:val="22"/>
        </w:rPr>
        <w:t>.</w:t>
      </w:r>
      <w:r w:rsidR="00A111F3" w:rsidRPr="00854000">
        <w:rPr>
          <w:szCs w:val="22"/>
        </w:rPr>
        <w:t xml:space="preserve"> </w:t>
      </w:r>
      <w:r w:rsidR="00AB3C11" w:rsidRPr="00694655">
        <w:rPr>
          <w:color w:val="000000"/>
        </w:rPr>
        <w:t xml:space="preserve"> </w:t>
      </w:r>
      <w:r w:rsidRPr="00DE5CFF">
        <w:rPr>
          <w:szCs w:val="22"/>
        </w:rPr>
        <w:t>The Bureau has previously observed that if a company “could escape meaningful sanctions for violations of the Rules by seeking an inability to pay reduction that is unsupported by its gross revenues, it would be in a position to undermine the remedial purposes of Section 503 of the Act.”</w:t>
      </w:r>
      <w:r w:rsidRPr="00AB5949">
        <w:rPr>
          <w:rStyle w:val="FootnoteReference"/>
          <w:szCs w:val="22"/>
        </w:rPr>
        <w:footnoteReference w:id="44"/>
      </w:r>
      <w:r w:rsidRPr="00DE5CFF">
        <w:rPr>
          <w:szCs w:val="22"/>
        </w:rPr>
        <w:t xml:space="preserve">  In setting forfeiture amounts, the Commission is “guided by Congress’s stated goal of imposing forfeitures that are ‘sufficiently high to deter violations and constitute a meaningful sanction.’”</w:t>
      </w:r>
      <w:r w:rsidRPr="00AB5949">
        <w:rPr>
          <w:rStyle w:val="FootnoteReference"/>
          <w:szCs w:val="22"/>
        </w:rPr>
        <w:footnoteReference w:id="45"/>
      </w:r>
      <w:r w:rsidRPr="00DE5CFF">
        <w:rPr>
          <w:szCs w:val="22"/>
        </w:rPr>
        <w:t xml:space="preserve">  </w:t>
      </w:r>
      <w:r w:rsidR="00EF6A3B" w:rsidRPr="00694655">
        <w:t>B</w:t>
      </w:r>
      <w:r w:rsidRPr="00694655">
        <w:t>ased on our review of Simple Network’s financial condition,</w:t>
      </w:r>
      <w:r w:rsidRPr="00DE5CFF">
        <w:rPr>
          <w:szCs w:val="22"/>
        </w:rPr>
        <w:t xml:space="preserve"> we conclude that the Company </w:t>
      </w:r>
      <w:r w:rsidR="006708A9">
        <w:rPr>
          <w:szCs w:val="22"/>
        </w:rPr>
        <w:t>has failed to prove it is una</w:t>
      </w:r>
      <w:r w:rsidRPr="00DE5CFF">
        <w:rPr>
          <w:szCs w:val="22"/>
        </w:rPr>
        <w:t>ble to pay a forfeiture penalty of $100,000.</w:t>
      </w:r>
    </w:p>
    <w:p w14:paraId="5778376E" w14:textId="77777777" w:rsidR="002D7ECC" w:rsidRPr="00D972F3" w:rsidRDefault="00336B68" w:rsidP="005707E5">
      <w:pPr>
        <w:pStyle w:val="ParaNum"/>
        <w:rPr>
          <w:szCs w:val="22"/>
        </w:rPr>
      </w:pPr>
      <w:r w:rsidRPr="00D972F3">
        <w:rPr>
          <w:szCs w:val="22"/>
        </w:rPr>
        <w:t xml:space="preserve">Therefore, </w:t>
      </w:r>
      <w:r w:rsidR="000E5B03" w:rsidRPr="00D972F3">
        <w:rPr>
          <w:szCs w:val="22"/>
        </w:rPr>
        <w:t xml:space="preserve">having examined the financial records provided by the Company, </w:t>
      </w:r>
      <w:r w:rsidRPr="00D972F3">
        <w:rPr>
          <w:szCs w:val="22"/>
        </w:rPr>
        <w:t xml:space="preserve">consistent with precedent and after applying the </w:t>
      </w:r>
      <w:r w:rsidRPr="00D972F3">
        <w:rPr>
          <w:i/>
          <w:szCs w:val="22"/>
        </w:rPr>
        <w:t>Forfeiture Policy Statement</w:t>
      </w:r>
      <w:r w:rsidRPr="00D972F3">
        <w:rPr>
          <w:szCs w:val="22"/>
        </w:rPr>
        <w:t xml:space="preserve">, Section 1.80 of the Rules, and the statutory factors, we impose a total forfeiture of $100,000 </w:t>
      </w:r>
      <w:r w:rsidR="007971B1" w:rsidRPr="00D972F3">
        <w:rPr>
          <w:szCs w:val="22"/>
        </w:rPr>
        <w:t xml:space="preserve">against </w:t>
      </w:r>
      <w:r w:rsidRPr="00D972F3">
        <w:rPr>
          <w:szCs w:val="22"/>
        </w:rPr>
        <w:t xml:space="preserve">Simple Network.  </w:t>
      </w:r>
      <w:r w:rsidR="00246051" w:rsidRPr="00D972F3">
        <w:rPr>
          <w:szCs w:val="22"/>
        </w:rPr>
        <w:t>We</w:t>
      </w:r>
      <w:r w:rsidRPr="00D972F3">
        <w:rPr>
          <w:szCs w:val="22"/>
        </w:rPr>
        <w:t xml:space="preserve"> find no reason to cancel or reduce the forfeiture we proposed in the </w:t>
      </w:r>
      <w:r w:rsidRPr="00D972F3">
        <w:rPr>
          <w:i/>
          <w:szCs w:val="22"/>
        </w:rPr>
        <w:t>Simple Network NAL</w:t>
      </w:r>
      <w:r w:rsidRPr="00D972F3">
        <w:rPr>
          <w:szCs w:val="22"/>
        </w:rPr>
        <w:t>.</w:t>
      </w:r>
    </w:p>
    <w:p w14:paraId="39F36747" w14:textId="77777777" w:rsidR="00E4400D" w:rsidRDefault="00E4400D" w:rsidP="005707E5">
      <w:pPr>
        <w:pStyle w:val="Heading1"/>
      </w:pPr>
      <w:r>
        <w:t>conclusion</w:t>
      </w:r>
    </w:p>
    <w:p w14:paraId="49CDF359" w14:textId="77777777" w:rsidR="005A7904" w:rsidRPr="008C4872" w:rsidRDefault="00E4400D" w:rsidP="005707E5">
      <w:pPr>
        <w:pStyle w:val="ParaNum"/>
      </w:pPr>
      <w:r>
        <w:t xml:space="preserve">Based on the </w:t>
      </w:r>
      <w:r w:rsidR="008C4872">
        <w:t>record</w:t>
      </w:r>
      <w:r w:rsidR="00BB0641">
        <w:t xml:space="preserve"> before us and in light of the applicable statutory factors, we conclude that Simple Network willfully and repeatedly violated Section 64.1195 of the Rules by providing interstate telecommunications services without registering with the Commission.  We decline to cancel or reduce the $100,000 forfeiture proposed in the NAL.</w:t>
      </w:r>
    </w:p>
    <w:p w14:paraId="7CFD6E07" w14:textId="77777777" w:rsidR="005A7904" w:rsidRPr="00D81C6A" w:rsidRDefault="005A7904" w:rsidP="005707E5">
      <w:pPr>
        <w:pStyle w:val="Heading1"/>
      </w:pPr>
      <w:r w:rsidRPr="00D81C6A">
        <w:t>ORDERING CLAUSES</w:t>
      </w:r>
    </w:p>
    <w:p w14:paraId="2172F470" w14:textId="77777777" w:rsidR="005A7904" w:rsidRPr="00D81C6A" w:rsidRDefault="005A7904" w:rsidP="005707E5">
      <w:pPr>
        <w:pStyle w:val="ParaNum"/>
      </w:pPr>
      <w:r w:rsidRPr="00D81C6A">
        <w:t xml:space="preserve">Accordingly, </w:t>
      </w:r>
      <w:r w:rsidRPr="00BB0641">
        <w:rPr>
          <w:b/>
        </w:rPr>
        <w:t>IT IS ORDERED</w:t>
      </w:r>
      <w:r w:rsidRPr="00D81C6A">
        <w:t xml:space="preserve"> </w:t>
      </w:r>
      <w:r w:rsidR="00BB0641">
        <w:t>that,</w:t>
      </w:r>
      <w:r w:rsidRPr="00D81C6A">
        <w:t xml:space="preserve"> pursuant t</w:t>
      </w:r>
      <w:r w:rsidR="00BB0641">
        <w:t>o S</w:t>
      </w:r>
      <w:r w:rsidRPr="00D81C6A">
        <w:t xml:space="preserve">ection 503(b) of the </w:t>
      </w:r>
      <w:r w:rsidR="00BB0641">
        <w:t>Act</w:t>
      </w:r>
      <w:r w:rsidRPr="00D81C6A">
        <w:t>,</w:t>
      </w:r>
      <w:r w:rsidRPr="00D81C6A">
        <w:rPr>
          <w:rStyle w:val="FootnoteReference"/>
          <w:sz w:val="22"/>
          <w:szCs w:val="22"/>
        </w:rPr>
        <w:footnoteReference w:id="46"/>
      </w:r>
      <w:r w:rsidR="00BB0641">
        <w:t xml:space="preserve"> and S</w:t>
      </w:r>
      <w:r w:rsidRPr="00D81C6A">
        <w:t xml:space="preserve">ection 1.80 of the </w:t>
      </w:r>
      <w:r w:rsidR="00BB0641">
        <w:t>R</w:t>
      </w:r>
      <w:r w:rsidRPr="00D81C6A">
        <w:t>ules,</w:t>
      </w:r>
      <w:r w:rsidRPr="00D81C6A">
        <w:rPr>
          <w:rStyle w:val="FootnoteReference"/>
          <w:sz w:val="22"/>
          <w:szCs w:val="22"/>
        </w:rPr>
        <w:footnoteReference w:id="47"/>
      </w:r>
      <w:r w:rsidRPr="00D81C6A">
        <w:t xml:space="preserve"> Simple Network, Inc. </w:t>
      </w:r>
      <w:r w:rsidRPr="00BB0641">
        <w:rPr>
          <w:b/>
        </w:rPr>
        <w:t>IS LIABLE FOR A MONETARY FORFEITURE</w:t>
      </w:r>
      <w:r w:rsidRPr="00D81C6A">
        <w:t xml:space="preserve"> in the amount of </w:t>
      </w:r>
      <w:r w:rsidRPr="00D81C6A">
        <w:rPr>
          <w:bCs/>
        </w:rPr>
        <w:t>$</w:t>
      </w:r>
      <w:r w:rsidRPr="00D81C6A">
        <w:t>100,000 for willfully and repeatedly violating</w:t>
      </w:r>
      <w:r w:rsidR="00BB0641">
        <w:t xml:space="preserve"> Section 64.1195 of the Rules</w:t>
      </w:r>
      <w:r w:rsidRPr="00D81C6A">
        <w:t>.</w:t>
      </w:r>
    </w:p>
    <w:p w14:paraId="190EAA9B" w14:textId="77777777" w:rsidR="005A7904" w:rsidRPr="00D81C6A" w:rsidRDefault="005A7904" w:rsidP="005707E5">
      <w:pPr>
        <w:pStyle w:val="ParaNum"/>
      </w:pPr>
      <w:r w:rsidRPr="00D81C6A">
        <w:t>Payment of the forfeiture shall be made in the manner provided for in Section 1.80 of the Rules within thirty (30) calendar days after the release of this Forfeiture Order.   If the forfeiture is not paid within the period specified, the case may be referred to the U.S. Department of Justice for enforcement of the forfeiture pursuant to Section 504(a) of the Act.</w:t>
      </w:r>
    </w:p>
    <w:p w14:paraId="62B3B627" w14:textId="4AF991C6" w:rsidR="005A7904" w:rsidRPr="0073102E" w:rsidRDefault="005A7904" w:rsidP="005707E5">
      <w:pPr>
        <w:pStyle w:val="ParaNum"/>
      </w:pPr>
      <w:r w:rsidRPr="00D81C6A">
        <w:t xml:space="preserve">Payment of the forfeiture must be made by check or similar instrument, wire transfer, or credit card, and must include the NAL/Account Number and FRN referenced above.  Simple Network, Inc. shall send electronic notification of payment to </w:t>
      </w:r>
      <w:r w:rsidR="008908FB" w:rsidRPr="004105FB">
        <w:t>Pam Slipakoff</w:t>
      </w:r>
      <w:r w:rsidRPr="004105FB">
        <w:t xml:space="preserve"> at </w:t>
      </w:r>
      <w:hyperlink r:id="rId8" w:history="1">
        <w:r w:rsidR="00C710EC" w:rsidRPr="00412579">
          <w:rPr>
            <w:rStyle w:val="Hyperlink"/>
          </w:rPr>
          <w:t>Pam.Slipakoff@fcc.gov</w:t>
        </w:r>
      </w:hyperlink>
      <w:r w:rsidR="00C710EC">
        <w:t xml:space="preserve"> </w:t>
      </w:r>
      <w:r w:rsidRPr="004105FB">
        <w:t xml:space="preserve">and to </w:t>
      </w:r>
      <w:r w:rsidR="008908FB" w:rsidRPr="004105FB">
        <w:t>Valerie Hill</w:t>
      </w:r>
      <w:r w:rsidRPr="004105FB">
        <w:t xml:space="preserve"> at </w:t>
      </w:r>
      <w:hyperlink r:id="rId9" w:history="1">
        <w:r w:rsidR="00C710EC" w:rsidRPr="00412579">
          <w:rPr>
            <w:rStyle w:val="Hyperlink"/>
          </w:rPr>
          <w:t>Valerie.Hill@fcc.gov</w:t>
        </w:r>
      </w:hyperlink>
      <w:r w:rsidRPr="00D81C6A">
        <w:t xml:space="preserve"> on the date said payment is made.  Regardless of the form of payment, a completed FCC Form 159 (Remittance Advice) must be submitted.   When completing the Form 159, enter the Account Number in block number 23A (call sign/other ID) and enter the letters “FORF” in block number 24A (payment type code).  Below are additional instructions that should be followed based on the form of payment selected:</w:t>
      </w:r>
    </w:p>
    <w:p w14:paraId="235FEFB4" w14:textId="77777777" w:rsidR="005A7904" w:rsidRPr="00AD034A" w:rsidRDefault="005A7904" w:rsidP="00AD034A">
      <w:pPr>
        <w:pStyle w:val="par1"/>
        <w:numPr>
          <w:ilvl w:val="0"/>
          <w:numId w:val="4"/>
        </w:numPr>
        <w:spacing w:after="120"/>
        <w:rPr>
          <w:szCs w:val="22"/>
        </w:rPr>
      </w:pPr>
      <w:r w:rsidRPr="00D81C6A">
        <w:rPr>
          <w:szCs w:val="22"/>
        </w:rPr>
        <w:t>Payment by check or money order must be made payable to the order of the Federal Communications Commission.  Such payments (along with completed Form 159) must be mailed to the Federal Communications Commission, P.O. Box 979088, St. Louis, MO 63197-9000, or sent via overnight mail to U.S. Bank – Government Lockbox #979088, SL MO-C2-GL, 1005 Convention Plaza, St. Louis, MO 63101.</w:t>
      </w:r>
    </w:p>
    <w:p w14:paraId="327B97B2" w14:textId="77777777" w:rsidR="005A7904" w:rsidRPr="00D81C6A" w:rsidRDefault="005A7904" w:rsidP="00482BEC">
      <w:pPr>
        <w:pStyle w:val="par1"/>
        <w:widowControl/>
        <w:numPr>
          <w:ilvl w:val="0"/>
          <w:numId w:val="4"/>
        </w:numPr>
        <w:rPr>
          <w:szCs w:val="22"/>
        </w:rPr>
      </w:pPr>
      <w:r w:rsidRPr="00D81C6A">
        <w:rPr>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4A775032" w14:textId="77777777" w:rsidR="005A7904" w:rsidRPr="00D81C6A" w:rsidRDefault="005A7904" w:rsidP="005A7904">
      <w:pPr>
        <w:pStyle w:val="ListParagraph"/>
        <w:rPr>
          <w:szCs w:val="22"/>
        </w:rPr>
      </w:pPr>
    </w:p>
    <w:p w14:paraId="5E4C6168" w14:textId="77777777" w:rsidR="005A7904" w:rsidRPr="00D81C6A" w:rsidRDefault="005A7904" w:rsidP="00694655">
      <w:pPr>
        <w:pStyle w:val="par1"/>
        <w:widowControl/>
        <w:numPr>
          <w:ilvl w:val="0"/>
          <w:numId w:val="4"/>
        </w:numPr>
        <w:rPr>
          <w:szCs w:val="22"/>
        </w:rPr>
      </w:pPr>
      <w:r w:rsidRPr="00D81C6A">
        <w:rPr>
          <w:szCs w:val="22"/>
        </w:rPr>
        <w:t>Payment by credit card must be made by providing the required credit card information on FCC From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3341CB6B" w14:textId="77777777" w:rsidR="005A7904" w:rsidRPr="00D81C6A" w:rsidRDefault="005A7904" w:rsidP="005A7904">
      <w:pPr>
        <w:pStyle w:val="ListParagraph"/>
        <w:rPr>
          <w:szCs w:val="22"/>
        </w:rPr>
      </w:pPr>
    </w:p>
    <w:p w14:paraId="7E258C47" w14:textId="1F901737" w:rsidR="005A7904" w:rsidRPr="00D81C6A" w:rsidRDefault="005A7904" w:rsidP="005707E5">
      <w:pPr>
        <w:pStyle w:val="ParaNum"/>
      </w:pPr>
      <w:r w:rsidRPr="00D81C6A">
        <w:t xml:space="preserve">Any request for making full payment over time under an installment plan should be sent to:  Chief Financial Officer – Financial Operations, Federal Communications Commission, 445 12th Street, SW, Room 1 A625, Washington, DC 20554.   Questions regarding payment procedures should be directed to the Financial Operations Group Help Desk by telephone, 1-877-480-3201, or by e-mail, </w:t>
      </w:r>
      <w:hyperlink r:id="rId10" w:history="1">
        <w:r w:rsidR="00C710EC" w:rsidRPr="00412579">
          <w:rPr>
            <w:rStyle w:val="Hyperlink"/>
          </w:rPr>
          <w:t>ARINQUIRIES@fcc.gov</w:t>
        </w:r>
      </w:hyperlink>
      <w:r w:rsidRPr="00D81C6A">
        <w:t>.</w:t>
      </w:r>
    </w:p>
    <w:p w14:paraId="018379C8" w14:textId="77777777" w:rsidR="005A7904" w:rsidRPr="00D81C6A" w:rsidRDefault="005A7904" w:rsidP="005707E5">
      <w:pPr>
        <w:pStyle w:val="ParaNum"/>
      </w:pPr>
      <w:r w:rsidRPr="00DB36AE">
        <w:rPr>
          <w:b/>
        </w:rPr>
        <w:t>IT IS FURTHER ORDERED</w:t>
      </w:r>
      <w:r w:rsidRPr="00D81C6A">
        <w:t xml:space="preserve"> that copies of this F</w:t>
      </w:r>
      <w:r w:rsidR="00DB36AE">
        <w:t>orfeiture Order sh</w:t>
      </w:r>
      <w:r w:rsidRPr="00D81C6A">
        <w:t xml:space="preserve">all be sent by </w:t>
      </w:r>
      <w:r w:rsidR="00DB36AE">
        <w:t xml:space="preserve">first class mail and </w:t>
      </w:r>
      <w:r w:rsidRPr="00D81C6A">
        <w:t>certified mail, return receipt requested, to Herman R. Patel, Simple Network, Inc., 25 South Main Street, Suite #6, Edison, NJ 08837, and to Neil S. Ende, Esq., Counsel for Simple Network, Inc., 5335 Wisconsin Avenue, NW, Suite 440, Washington, DC 20015.</w:t>
      </w:r>
    </w:p>
    <w:p w14:paraId="2BE3960B" w14:textId="77777777" w:rsidR="005A7904" w:rsidRPr="00D81C6A" w:rsidRDefault="005A7904" w:rsidP="00381C17">
      <w:pPr>
        <w:pStyle w:val="par1"/>
        <w:keepNext/>
        <w:widowControl/>
        <w:ind w:left="86" w:firstLine="720"/>
        <w:rPr>
          <w:szCs w:val="22"/>
        </w:rPr>
      </w:pPr>
    </w:p>
    <w:p w14:paraId="54FFFA2A" w14:textId="77777777" w:rsidR="005A7904" w:rsidRPr="00D81C6A" w:rsidRDefault="005A7904" w:rsidP="00381C17">
      <w:pPr>
        <w:pStyle w:val="par1"/>
        <w:keepNext/>
        <w:widowControl/>
        <w:ind w:left="3600" w:firstLine="720"/>
        <w:rPr>
          <w:szCs w:val="22"/>
        </w:rPr>
      </w:pPr>
      <w:r w:rsidRPr="00D81C6A">
        <w:rPr>
          <w:szCs w:val="22"/>
        </w:rPr>
        <w:t>FEDERAL COMMUNICATIONS COMMISSION</w:t>
      </w:r>
    </w:p>
    <w:p w14:paraId="7B2CFE40" w14:textId="77777777" w:rsidR="005A7904" w:rsidRPr="00D81C6A" w:rsidRDefault="005A7904" w:rsidP="005A7904">
      <w:pPr>
        <w:pStyle w:val="par1"/>
        <w:ind w:left="3600" w:firstLine="720"/>
        <w:rPr>
          <w:szCs w:val="22"/>
        </w:rPr>
      </w:pPr>
    </w:p>
    <w:p w14:paraId="0822CF72" w14:textId="77777777" w:rsidR="005A7904" w:rsidRPr="00D81C6A" w:rsidRDefault="005A7904" w:rsidP="005A7904">
      <w:pPr>
        <w:pStyle w:val="par1"/>
        <w:ind w:left="3600" w:firstLine="720"/>
        <w:rPr>
          <w:szCs w:val="22"/>
        </w:rPr>
      </w:pPr>
    </w:p>
    <w:p w14:paraId="3A7CF4FF" w14:textId="77777777" w:rsidR="005A7904" w:rsidRPr="00D81C6A" w:rsidRDefault="005A7904" w:rsidP="005A7904">
      <w:pPr>
        <w:pStyle w:val="par1"/>
        <w:ind w:left="3600" w:firstLine="720"/>
        <w:rPr>
          <w:szCs w:val="22"/>
        </w:rPr>
      </w:pPr>
    </w:p>
    <w:p w14:paraId="66CFB765" w14:textId="77777777" w:rsidR="005A7904" w:rsidRPr="00D81C6A" w:rsidRDefault="005A7904" w:rsidP="005A7904">
      <w:pPr>
        <w:pStyle w:val="par1"/>
        <w:ind w:left="3600" w:firstLine="720"/>
        <w:rPr>
          <w:szCs w:val="22"/>
        </w:rPr>
      </w:pPr>
    </w:p>
    <w:p w14:paraId="49BB98F3" w14:textId="77777777" w:rsidR="005A7904" w:rsidRPr="00D81C6A" w:rsidRDefault="004105FB" w:rsidP="005A7904">
      <w:pPr>
        <w:pStyle w:val="par1"/>
        <w:ind w:left="3600" w:firstLine="720"/>
        <w:rPr>
          <w:szCs w:val="22"/>
        </w:rPr>
      </w:pPr>
      <w:r>
        <w:rPr>
          <w:szCs w:val="22"/>
        </w:rPr>
        <w:t>William Davenport</w:t>
      </w:r>
    </w:p>
    <w:p w14:paraId="3CE77466" w14:textId="77777777" w:rsidR="005A7904" w:rsidRPr="00D81C6A" w:rsidRDefault="004105FB" w:rsidP="005A7904">
      <w:pPr>
        <w:pStyle w:val="par1"/>
        <w:ind w:left="3600" w:firstLine="720"/>
        <w:rPr>
          <w:szCs w:val="22"/>
        </w:rPr>
      </w:pPr>
      <w:r>
        <w:rPr>
          <w:szCs w:val="22"/>
        </w:rPr>
        <w:t xml:space="preserve">Deputy </w:t>
      </w:r>
      <w:r w:rsidR="005A7904" w:rsidRPr="00D81C6A">
        <w:rPr>
          <w:szCs w:val="22"/>
        </w:rPr>
        <w:t>Chief</w:t>
      </w:r>
    </w:p>
    <w:p w14:paraId="166949E5" w14:textId="77777777" w:rsidR="00F72607" w:rsidRPr="00D81C6A" w:rsidRDefault="005A7904" w:rsidP="001C4D55">
      <w:pPr>
        <w:pStyle w:val="par1"/>
        <w:ind w:left="3600" w:firstLine="720"/>
        <w:rPr>
          <w:szCs w:val="22"/>
        </w:rPr>
      </w:pPr>
      <w:r w:rsidRPr="00D81C6A">
        <w:rPr>
          <w:szCs w:val="22"/>
        </w:rPr>
        <w:t>Enforcement Bureau</w:t>
      </w:r>
    </w:p>
    <w:sectPr w:rsidR="00F72607" w:rsidRPr="00D81C6A" w:rsidSect="00E71505">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6D63D" w14:textId="77777777" w:rsidR="00E53E8E" w:rsidRDefault="00E53E8E" w:rsidP="005A7904">
      <w:r>
        <w:separator/>
      </w:r>
    </w:p>
  </w:endnote>
  <w:endnote w:type="continuationSeparator" w:id="0">
    <w:p w14:paraId="3555A05A" w14:textId="77777777" w:rsidR="00E53E8E" w:rsidRDefault="00E53E8E" w:rsidP="005A7904">
      <w:r>
        <w:continuationSeparator/>
      </w:r>
    </w:p>
  </w:endnote>
  <w:endnote w:type="continuationNotice" w:id="1">
    <w:p w14:paraId="0EBA4CC8" w14:textId="77777777" w:rsidR="00E53E8E" w:rsidRDefault="00E53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6ED80" w14:textId="77777777" w:rsidR="00860FC2" w:rsidRDefault="005A7904" w:rsidP="00E71505">
    <w:pP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5</w:t>
    </w:r>
    <w:r>
      <w:rPr>
        <w:rStyle w:val="PageNumber"/>
        <w:sz w:val="19"/>
      </w:rPr>
      <w:fldChar w:fldCharType="end"/>
    </w:r>
  </w:p>
  <w:p w14:paraId="05123952" w14:textId="77777777" w:rsidR="00860FC2" w:rsidRDefault="005877A5">
    <w:pPr>
      <w:rPr>
        <w:sz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B5232" w14:textId="77777777" w:rsidR="00860FC2" w:rsidRDefault="005A7904" w:rsidP="00E71505">
    <w:pPr>
      <w:framePr w:wrap="around" w:vAnchor="text" w:hAnchor="margin" w:xAlign="center" w:y="1"/>
      <w:rPr>
        <w:rStyle w:val="PageNumber"/>
        <w:szCs w:val="22"/>
      </w:rPr>
    </w:pPr>
    <w:r>
      <w:rPr>
        <w:rStyle w:val="PageNumber"/>
        <w:szCs w:val="22"/>
      </w:rPr>
      <w:fldChar w:fldCharType="begin"/>
    </w:r>
    <w:r>
      <w:rPr>
        <w:rStyle w:val="PageNumber"/>
        <w:szCs w:val="22"/>
      </w:rPr>
      <w:instrText xml:space="preserve">PAGE  </w:instrText>
    </w:r>
    <w:r>
      <w:rPr>
        <w:rStyle w:val="PageNumber"/>
        <w:szCs w:val="22"/>
      </w:rPr>
      <w:fldChar w:fldCharType="separate"/>
    </w:r>
    <w:r w:rsidR="005877A5">
      <w:rPr>
        <w:rStyle w:val="PageNumber"/>
        <w:noProof/>
        <w:szCs w:val="22"/>
      </w:rPr>
      <w:t>2</w:t>
    </w:r>
    <w:r>
      <w:rPr>
        <w:rStyle w:val="PageNumber"/>
        <w:szCs w:val="22"/>
      </w:rPr>
      <w:fldChar w:fldCharType="end"/>
    </w:r>
  </w:p>
  <w:p w14:paraId="47AD1B2F" w14:textId="77777777" w:rsidR="00860FC2" w:rsidRPr="005C7B84" w:rsidRDefault="005877A5" w:rsidP="002E0BC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D4D32" w14:textId="77777777" w:rsidR="00035A03" w:rsidRDefault="00035A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D2D19" w14:textId="77777777" w:rsidR="00E53E8E" w:rsidRDefault="00E53E8E" w:rsidP="005A7904">
      <w:r>
        <w:separator/>
      </w:r>
    </w:p>
  </w:footnote>
  <w:footnote w:type="continuationSeparator" w:id="0">
    <w:p w14:paraId="7817C75C" w14:textId="77777777" w:rsidR="00E53E8E" w:rsidRDefault="00E53E8E" w:rsidP="005A7904">
      <w:r>
        <w:continuationSeparator/>
      </w:r>
    </w:p>
  </w:footnote>
  <w:footnote w:type="continuationNotice" w:id="1">
    <w:p w14:paraId="07DD21C9" w14:textId="77777777" w:rsidR="00E53E8E" w:rsidRDefault="00E53E8E"/>
  </w:footnote>
  <w:footnote w:id="2">
    <w:p w14:paraId="4965BE90" w14:textId="77777777" w:rsidR="005A7904" w:rsidRPr="00733DE7" w:rsidRDefault="005A7904" w:rsidP="00694655">
      <w:pPr>
        <w:pStyle w:val="FootnoteText"/>
        <w:tabs>
          <w:tab w:val="left" w:pos="2070"/>
        </w:tabs>
      </w:pPr>
      <w:r w:rsidRPr="00733DE7">
        <w:rPr>
          <w:rStyle w:val="FootnoteReference"/>
        </w:rPr>
        <w:footnoteRef/>
      </w:r>
      <w:r w:rsidRPr="00733DE7">
        <w:t xml:space="preserve"> The investigation began under File No. EB-12-IH-0179 and was subsequently assigned </w:t>
      </w:r>
      <w:r w:rsidR="00234166" w:rsidRPr="00733DE7">
        <w:t xml:space="preserve">a new case number, </w:t>
      </w:r>
      <w:r w:rsidRPr="00733DE7">
        <w:rPr>
          <w:spacing w:val="-2"/>
        </w:rPr>
        <w:t>File No. EB-IHD-13-00011486</w:t>
      </w:r>
      <w:r w:rsidRPr="00733DE7">
        <w:t>.  Any future correspondence with the Commission regarding this matter should reflect the new case number.</w:t>
      </w:r>
    </w:p>
  </w:footnote>
  <w:footnote w:id="3">
    <w:p w14:paraId="5F4C6A09" w14:textId="77777777" w:rsidR="00D00FC0" w:rsidRPr="00733DE7" w:rsidRDefault="00D00FC0" w:rsidP="00D00FC0">
      <w:pPr>
        <w:pStyle w:val="FootnoteText"/>
      </w:pPr>
      <w:r w:rsidRPr="00733DE7">
        <w:rPr>
          <w:rStyle w:val="FootnoteReference"/>
        </w:rPr>
        <w:footnoteRef/>
      </w:r>
      <w:r w:rsidRPr="00733DE7">
        <w:t xml:space="preserve"> </w:t>
      </w:r>
      <w:r>
        <w:rPr>
          <w:i/>
        </w:rPr>
        <w:t>See</w:t>
      </w:r>
      <w:r>
        <w:t xml:space="preserve"> </w:t>
      </w:r>
      <w:r w:rsidRPr="00733DE7">
        <w:rPr>
          <w:i/>
        </w:rPr>
        <w:t>Simple Network, Inc</w:t>
      </w:r>
      <w:r w:rsidRPr="00733DE7">
        <w:t xml:space="preserve">., Notice of Apparent Liability for Forfeiture and </w:t>
      </w:r>
      <w:r w:rsidR="00966379">
        <w:t>Order, 30 FCC Rcd 4525 (</w:t>
      </w:r>
      <w:r w:rsidR="00F57480">
        <w:t xml:space="preserve">EB </w:t>
      </w:r>
      <w:r w:rsidR="00966379">
        <w:t>2015)</w:t>
      </w:r>
      <w:r w:rsidR="00F57480">
        <w:t>.</w:t>
      </w:r>
      <w:r w:rsidR="00966379">
        <w:t xml:space="preserve"> (</w:t>
      </w:r>
      <w:r w:rsidRPr="00733DE7">
        <w:rPr>
          <w:i/>
        </w:rPr>
        <w:t>Simple Network NAL</w:t>
      </w:r>
      <w:r w:rsidR="00966379">
        <w:t xml:space="preserve"> or </w:t>
      </w:r>
      <w:r w:rsidRPr="00733DE7">
        <w:rPr>
          <w:i/>
        </w:rPr>
        <w:t>NAL</w:t>
      </w:r>
      <w:r w:rsidRPr="00733DE7">
        <w:t>).</w:t>
      </w:r>
    </w:p>
  </w:footnote>
  <w:footnote w:id="4">
    <w:p w14:paraId="118CBF4D" w14:textId="65F93BC1" w:rsidR="00F17926" w:rsidRPr="00733DE7" w:rsidRDefault="00F17926">
      <w:pPr>
        <w:pStyle w:val="FootnoteText"/>
      </w:pPr>
      <w:r w:rsidRPr="00733DE7">
        <w:rPr>
          <w:rStyle w:val="FootnoteReference"/>
        </w:rPr>
        <w:footnoteRef/>
      </w:r>
      <w:r w:rsidRPr="00733DE7">
        <w:t xml:space="preserve"> </w:t>
      </w:r>
      <w:r w:rsidRPr="00733DE7">
        <w:rPr>
          <w:i/>
        </w:rPr>
        <w:t>See</w:t>
      </w:r>
      <w:r w:rsidRPr="00733DE7">
        <w:t xml:space="preserve"> </w:t>
      </w:r>
      <w:r w:rsidR="00703217">
        <w:t xml:space="preserve">Mother India Online, </w:t>
      </w:r>
      <w:r w:rsidR="00703217">
        <w:rPr>
          <w:i/>
        </w:rPr>
        <w:t>About Us</w:t>
      </w:r>
      <w:r w:rsidR="00703217">
        <w:t>,</w:t>
      </w:r>
      <w:r w:rsidR="00703217">
        <w:rPr>
          <w:i/>
        </w:rPr>
        <w:t xml:space="preserve"> </w:t>
      </w:r>
      <w:hyperlink r:id="rId1" w:history="1">
        <w:r w:rsidR="00C710EC" w:rsidRPr="00412579">
          <w:rPr>
            <w:rStyle w:val="Hyperlink"/>
          </w:rPr>
          <w:t>https://www.motherindiacard.com/aboutus.asp</w:t>
        </w:r>
      </w:hyperlink>
      <w:r w:rsidR="00C710EC">
        <w:t xml:space="preserve"> </w:t>
      </w:r>
      <w:r w:rsidRPr="00733DE7">
        <w:t>(</w:t>
      </w:r>
      <w:r w:rsidR="00703217">
        <w:t>last visited June 27, 2016</w:t>
      </w:r>
      <w:r w:rsidRPr="00733DE7">
        <w:t>)</w:t>
      </w:r>
      <w:r w:rsidR="00837D08">
        <w:t>.</w:t>
      </w:r>
    </w:p>
  </w:footnote>
  <w:footnote w:id="5">
    <w:p w14:paraId="5F93B341" w14:textId="77777777" w:rsidR="007F7D95" w:rsidRPr="00733DE7" w:rsidRDefault="007F7D95">
      <w:pPr>
        <w:pStyle w:val="FootnoteText"/>
      </w:pPr>
      <w:r w:rsidRPr="00733DE7">
        <w:rPr>
          <w:rStyle w:val="FootnoteReference"/>
        </w:rPr>
        <w:footnoteRef/>
      </w:r>
      <w:r w:rsidRPr="00733DE7">
        <w:t xml:space="preserve"> </w:t>
      </w:r>
      <w:r w:rsidRPr="00733DE7">
        <w:rPr>
          <w:i/>
        </w:rPr>
        <w:t>Simple Network, Inc</w:t>
      </w:r>
      <w:r w:rsidRPr="00733DE7">
        <w:t>., Forfeiture Order, 30 FCC Rcd 11765 (2015)</w:t>
      </w:r>
      <w:r w:rsidR="00D00FC0">
        <w:t>.</w:t>
      </w:r>
    </w:p>
  </w:footnote>
  <w:footnote w:id="6">
    <w:p w14:paraId="4050ACFD" w14:textId="77777777" w:rsidR="00DF354A" w:rsidRPr="00733DE7" w:rsidRDefault="00DF354A" w:rsidP="00DF354A">
      <w:pPr>
        <w:pStyle w:val="FootnoteText"/>
      </w:pPr>
      <w:r w:rsidRPr="00733DE7">
        <w:rPr>
          <w:rStyle w:val="FootnoteReference"/>
        </w:rPr>
        <w:footnoteRef/>
      </w:r>
      <w:r w:rsidRPr="00733DE7">
        <w:t xml:space="preserve"> </w:t>
      </w:r>
      <w:r w:rsidRPr="00733DE7">
        <w:rPr>
          <w:i/>
        </w:rPr>
        <w:t>See</w:t>
      </w:r>
      <w:r w:rsidR="00703217">
        <w:rPr>
          <w:i/>
        </w:rPr>
        <w:t xml:space="preserve"> </w:t>
      </w:r>
      <w:r w:rsidR="003662D2" w:rsidRPr="00733DE7">
        <w:rPr>
          <w:i/>
        </w:rPr>
        <w:t>Simple Network NAL</w:t>
      </w:r>
      <w:r w:rsidR="003662D2" w:rsidRPr="00733DE7">
        <w:t xml:space="preserve">, </w:t>
      </w:r>
      <w:r w:rsidR="003662D2">
        <w:t>30 FCC Rcd 4525</w:t>
      </w:r>
      <w:r w:rsidR="00703217">
        <w:t>; 47 C</w:t>
      </w:r>
      <w:r w:rsidRPr="00733DE7">
        <w:t>FR § 64.1195.</w:t>
      </w:r>
    </w:p>
  </w:footnote>
  <w:footnote w:id="7">
    <w:p w14:paraId="720940B8" w14:textId="77777777" w:rsidR="004B3624" w:rsidRPr="00DF354A" w:rsidRDefault="004B3624">
      <w:pPr>
        <w:pStyle w:val="FootnoteText"/>
      </w:pPr>
      <w:r>
        <w:rPr>
          <w:rStyle w:val="FootnoteReference"/>
        </w:rPr>
        <w:footnoteRef/>
      </w:r>
      <w:r>
        <w:t xml:space="preserve"> </w:t>
      </w:r>
      <w:r w:rsidR="00DF354A">
        <w:rPr>
          <w:i/>
        </w:rPr>
        <w:t>See RB Communications, Inc., d/b/a Starfone</w:t>
      </w:r>
      <w:r w:rsidR="00DF354A">
        <w:t>,</w:t>
      </w:r>
      <w:r w:rsidR="00663AD8">
        <w:t xml:space="preserve"> Notice of Apparent Liability for Forfeiture and Order,</w:t>
      </w:r>
      <w:r w:rsidR="00DF354A">
        <w:t xml:space="preserve"> 27 FCC Rcd 4393, 4398, para. 16 (2012)</w:t>
      </w:r>
      <w:r w:rsidR="00A77C65">
        <w:t xml:space="preserve"> (</w:t>
      </w:r>
      <w:r w:rsidR="00A77C65">
        <w:rPr>
          <w:i/>
        </w:rPr>
        <w:t>Starfone</w:t>
      </w:r>
      <w:r w:rsidR="00454114">
        <w:t>)</w:t>
      </w:r>
      <w:r w:rsidR="00A27CB8">
        <w:t>,</w:t>
      </w:r>
      <w:r w:rsidR="00A27CB8" w:rsidRPr="00A27CB8">
        <w:rPr>
          <w:i/>
        </w:rPr>
        <w:t xml:space="preserve"> </w:t>
      </w:r>
      <w:r w:rsidR="00A27CB8" w:rsidRPr="00733DE7">
        <w:rPr>
          <w:i/>
        </w:rPr>
        <w:t>forfeiture issued</w:t>
      </w:r>
      <w:r w:rsidR="00A27CB8" w:rsidRPr="00733DE7">
        <w:t>, Forfeiture Order, 29 FCC Rcd 5668</w:t>
      </w:r>
      <w:r w:rsidR="00A27CB8">
        <w:t xml:space="preserve"> (2014)</w:t>
      </w:r>
      <w:r w:rsidR="00DF354A">
        <w:t>.</w:t>
      </w:r>
    </w:p>
  </w:footnote>
  <w:footnote w:id="8">
    <w:p w14:paraId="6804D8BD" w14:textId="77777777" w:rsidR="00507A46" w:rsidRPr="00A77C65" w:rsidRDefault="00507A46">
      <w:pPr>
        <w:pStyle w:val="FootnoteText"/>
      </w:pPr>
      <w:r>
        <w:rPr>
          <w:rStyle w:val="FootnoteReference"/>
        </w:rPr>
        <w:footnoteRef/>
      </w:r>
      <w:r w:rsidR="00A77C65">
        <w:t xml:space="preserve"> </w:t>
      </w:r>
      <w:r w:rsidR="00A77C65">
        <w:rPr>
          <w:i/>
        </w:rPr>
        <w:t>See id.</w:t>
      </w:r>
    </w:p>
  </w:footnote>
  <w:footnote w:id="9">
    <w:p w14:paraId="1CFBBB48" w14:textId="77777777" w:rsidR="00507A46" w:rsidRPr="00A77C65" w:rsidRDefault="00507A46">
      <w:pPr>
        <w:pStyle w:val="FootnoteText"/>
      </w:pPr>
      <w:r>
        <w:rPr>
          <w:rStyle w:val="FootnoteReference"/>
        </w:rPr>
        <w:footnoteRef/>
      </w:r>
      <w:r>
        <w:t xml:space="preserve"> </w:t>
      </w:r>
      <w:r w:rsidR="00A77C65">
        <w:rPr>
          <w:i/>
        </w:rPr>
        <w:t>See id.</w:t>
      </w:r>
      <w:r w:rsidR="00A77C65">
        <w:t xml:space="preserve">; </w:t>
      </w:r>
      <w:r w:rsidR="00A77C65">
        <w:rPr>
          <w:i/>
        </w:rPr>
        <w:t>see also</w:t>
      </w:r>
      <w:r w:rsidR="00A77C65">
        <w:t xml:space="preserve"> 47 U.S.C</w:t>
      </w:r>
      <w:r w:rsidR="00630E05">
        <w:t>.</w:t>
      </w:r>
      <w:r w:rsidR="00A77C65">
        <w:t xml:space="preserve"> §§</w:t>
      </w:r>
      <w:r w:rsidR="001A1439">
        <w:t xml:space="preserve"> 225</w:t>
      </w:r>
      <w:r w:rsidR="00363B5A">
        <w:t>,</w:t>
      </w:r>
      <w:r w:rsidR="001A1439">
        <w:t xml:space="preserve"> 251</w:t>
      </w:r>
      <w:r w:rsidR="00363B5A">
        <w:t>,</w:t>
      </w:r>
      <w:r w:rsidR="001A1439">
        <w:t xml:space="preserve"> 254.</w:t>
      </w:r>
    </w:p>
  </w:footnote>
  <w:footnote w:id="10">
    <w:p w14:paraId="004C6CDC" w14:textId="6DD7E367" w:rsidR="00507A46" w:rsidRDefault="00507A46">
      <w:pPr>
        <w:pStyle w:val="FootnoteText"/>
      </w:pPr>
      <w:r>
        <w:rPr>
          <w:rStyle w:val="FootnoteReference"/>
        </w:rPr>
        <w:footnoteRef/>
      </w:r>
      <w:r>
        <w:t xml:space="preserve"> </w:t>
      </w:r>
      <w:r w:rsidR="001A1439">
        <w:t xml:space="preserve">Sixty days prior to the start of each quarter, USAC must provide the Commission with a projection of the high </w:t>
      </w:r>
      <w:r w:rsidR="001A1439" w:rsidRPr="006A7FE4">
        <w:t>cost, low income, schools and libraries, and rural health care funding requirements for the following quarter.</w:t>
      </w:r>
      <w:r w:rsidR="001A1439">
        <w:t xml:space="preserve"> </w:t>
      </w:r>
      <w:r w:rsidR="008D30AB">
        <w:t xml:space="preserve">USAC, </w:t>
      </w:r>
      <w:r w:rsidR="008D30AB">
        <w:rPr>
          <w:i/>
        </w:rPr>
        <w:t>FCC Filings</w:t>
      </w:r>
      <w:r w:rsidR="008D30AB">
        <w:t>,</w:t>
      </w:r>
      <w:r w:rsidR="001A1439" w:rsidRPr="006A7FE4">
        <w:t xml:space="preserve"> </w:t>
      </w:r>
      <w:hyperlink r:id="rId2" w:history="1">
        <w:r w:rsidR="00C710EC" w:rsidRPr="00412579">
          <w:rPr>
            <w:rStyle w:val="Hyperlink"/>
          </w:rPr>
          <w:t>http://www.usac.org/about/tools/fcc/filings/default.aspx</w:t>
        </w:r>
      </w:hyperlink>
      <w:r w:rsidR="00C710EC">
        <w:t xml:space="preserve"> </w:t>
      </w:r>
      <w:r w:rsidR="001A1439" w:rsidRPr="006A7FE4">
        <w:t>(</w:t>
      </w:r>
      <w:r w:rsidR="001A1439" w:rsidRPr="001A1439">
        <w:t xml:space="preserve">last visited </w:t>
      </w:r>
      <w:r w:rsidR="008D30AB">
        <w:t>June 2</w:t>
      </w:r>
      <w:r w:rsidR="001A1439" w:rsidRPr="001A1439">
        <w:t>7, 2016).</w:t>
      </w:r>
      <w:r w:rsidR="001A1439" w:rsidRPr="006A7FE4">
        <w:t xml:space="preserve">  Based on USAC’s projection of the needs of the USF, and revenue projections from the registered carriers subject to universal service requirements, the Commission establishes a specific percentage of interstate and international end-user revenues that each subject telecommunications provider must contribute toward the USF.</w:t>
      </w:r>
      <w:r w:rsidR="001A1439">
        <w:t xml:space="preserve"> </w:t>
      </w:r>
      <w:r w:rsidR="001A1439" w:rsidRPr="006A7FE4">
        <w:t xml:space="preserve"> This percentage is called the contribution factor. The contribution factor, and, consequently, the amount owed to the USF by each affected telecommunications company, changes each quarter, depending on the needs of the USF and carrier-provided revenue projections. </w:t>
      </w:r>
      <w:r w:rsidR="001A1439" w:rsidRPr="006A7FE4">
        <w:rPr>
          <w:i/>
        </w:rPr>
        <w:t>See</w:t>
      </w:r>
      <w:r w:rsidR="001A1439" w:rsidRPr="006A7FE4">
        <w:t xml:space="preserve"> </w:t>
      </w:r>
      <w:r w:rsidR="008D30AB">
        <w:t xml:space="preserve">FCC Managing Director, </w:t>
      </w:r>
      <w:r w:rsidR="001A1439" w:rsidRPr="008D30AB">
        <w:rPr>
          <w:i/>
        </w:rPr>
        <w:t>Contribution Factor &amp; Quarterly Filings—Universal Service Fund (USF) Management Suppo</w:t>
      </w:r>
      <w:r w:rsidR="008D30AB" w:rsidRPr="008D30AB">
        <w:rPr>
          <w:i/>
        </w:rPr>
        <w:t>rt</w:t>
      </w:r>
      <w:r w:rsidR="008D30AB">
        <w:t>,</w:t>
      </w:r>
      <w:r w:rsidR="001A1439" w:rsidRPr="006A7FE4">
        <w:t xml:space="preserve"> </w:t>
      </w:r>
      <w:hyperlink r:id="rId3" w:history="1">
        <w:r w:rsidR="00C710EC" w:rsidRPr="00412579">
          <w:rPr>
            <w:rStyle w:val="Hyperlink"/>
          </w:rPr>
          <w:t>https://www.fcc.gov/encyclopedia/contribution-factor-quarterly-filings-universal-service-fund-usf-management-support</w:t>
        </w:r>
      </w:hyperlink>
      <w:r w:rsidR="00C710EC">
        <w:t xml:space="preserve"> </w:t>
      </w:r>
      <w:r w:rsidR="001A1439" w:rsidRPr="006A7FE4">
        <w:t>(</w:t>
      </w:r>
      <w:r w:rsidR="001A1439" w:rsidRPr="001A1439">
        <w:t>last visited June 27, 2016</w:t>
      </w:r>
      <w:r w:rsidR="001A1439" w:rsidRPr="006A7FE4">
        <w:t xml:space="preserve">). </w:t>
      </w:r>
      <w:r w:rsidR="001A1439">
        <w:t xml:space="preserve"> </w:t>
      </w:r>
      <w:r w:rsidR="001A1439" w:rsidRPr="006A7FE4">
        <w:t xml:space="preserve">Thus, in cases where a carrier, such as </w:t>
      </w:r>
      <w:r w:rsidR="001A1439">
        <w:t>Simple Network</w:t>
      </w:r>
      <w:r w:rsidR="001A1439" w:rsidRPr="006A7FE4">
        <w:t>, fails to file required Worksheets reporting its revenue projections in a timely fashion, its revenues are excluded from the contribution base from which universal service assessments are derived, and the economic burden of contributing falls disproportionately on carriers that have satisfied their reporting obligations.</w:t>
      </w:r>
    </w:p>
  </w:footnote>
  <w:footnote w:id="11">
    <w:p w14:paraId="0EF8F424" w14:textId="77777777" w:rsidR="00D4309D" w:rsidRPr="00733DE7" w:rsidRDefault="00D4309D" w:rsidP="00D4309D">
      <w:pPr>
        <w:pStyle w:val="FootnoteText"/>
      </w:pPr>
      <w:r w:rsidRPr="00733DE7">
        <w:rPr>
          <w:rStyle w:val="FootnoteReference"/>
        </w:rPr>
        <w:footnoteRef/>
      </w:r>
      <w:r w:rsidRPr="00733DE7">
        <w:t xml:space="preserve"> </w:t>
      </w:r>
      <w:r w:rsidRPr="00733DE7">
        <w:rPr>
          <w:i/>
        </w:rPr>
        <w:t>See</w:t>
      </w:r>
      <w:r w:rsidRPr="00733DE7">
        <w:t xml:space="preserve"> Letter from Neil S. Ende, Technology Law Group, LLC, Counsel to Simple Network, Inc., to Marlene H. Dortch, Secretary, FCC (June 3, 2015)</w:t>
      </w:r>
      <w:r w:rsidRPr="009F667F">
        <w:t xml:space="preserve"> </w:t>
      </w:r>
      <w:r w:rsidRPr="00733DE7">
        <w:t xml:space="preserve">(on file in </w:t>
      </w:r>
      <w:r w:rsidRPr="00733DE7">
        <w:rPr>
          <w:spacing w:val="-2"/>
        </w:rPr>
        <w:t>EB-IHD-13-00011486</w:t>
      </w:r>
      <w:r w:rsidRPr="00733DE7">
        <w:t>)</w:t>
      </w:r>
      <w:r>
        <w:t xml:space="preserve"> (</w:t>
      </w:r>
      <w:r>
        <w:rPr>
          <w:i/>
        </w:rPr>
        <w:t>Simple Network NAL Response</w:t>
      </w:r>
      <w:r>
        <w:t>)</w:t>
      </w:r>
      <w:r w:rsidRPr="00733DE7">
        <w:t>.</w:t>
      </w:r>
    </w:p>
  </w:footnote>
  <w:footnote w:id="12">
    <w:p w14:paraId="7FBAAFBD" w14:textId="77777777" w:rsidR="00655915" w:rsidRPr="00733DE7" w:rsidRDefault="00655915" w:rsidP="00655915">
      <w:pPr>
        <w:pStyle w:val="FootnoteText"/>
      </w:pPr>
      <w:r w:rsidRPr="00733DE7">
        <w:rPr>
          <w:rStyle w:val="FootnoteReference"/>
        </w:rPr>
        <w:footnoteRef/>
      </w:r>
      <w:r w:rsidRPr="00733DE7">
        <w:t xml:space="preserve"> </w:t>
      </w:r>
      <w:r w:rsidRPr="00733DE7">
        <w:rPr>
          <w:i/>
        </w:rPr>
        <w:t>Simple Network</w:t>
      </w:r>
      <w:r>
        <w:rPr>
          <w:i/>
        </w:rPr>
        <w:t xml:space="preserve"> NAL</w:t>
      </w:r>
      <w:r w:rsidRPr="00733DE7">
        <w:rPr>
          <w:i/>
        </w:rPr>
        <w:t xml:space="preserve"> Response</w:t>
      </w:r>
      <w:r>
        <w:t xml:space="preserve"> at </w:t>
      </w:r>
      <w:r w:rsidRPr="00733DE7">
        <w:t>6.</w:t>
      </w:r>
    </w:p>
  </w:footnote>
  <w:footnote w:id="13">
    <w:p w14:paraId="37F4E9BE" w14:textId="77777777" w:rsidR="00655915" w:rsidRPr="00733DE7" w:rsidRDefault="00655915" w:rsidP="00655915">
      <w:pPr>
        <w:pStyle w:val="FootnoteText"/>
      </w:pPr>
      <w:r w:rsidRPr="00733DE7">
        <w:rPr>
          <w:rStyle w:val="FootnoteReference"/>
        </w:rPr>
        <w:footnoteRef/>
      </w:r>
      <w:r w:rsidRPr="00733DE7">
        <w:t xml:space="preserve"> </w:t>
      </w:r>
      <w:r w:rsidR="00FF1E7A">
        <w:rPr>
          <w:i/>
        </w:rPr>
        <w:t>See i</w:t>
      </w:r>
      <w:r w:rsidRPr="00AC74CE">
        <w:rPr>
          <w:i/>
        </w:rPr>
        <w:t xml:space="preserve">d. </w:t>
      </w:r>
      <w:r w:rsidRPr="00AC74CE">
        <w:t>at 7</w:t>
      </w:r>
      <w:r w:rsidR="00FF1E7A">
        <w:t xml:space="preserve">; E-mail from Neil S. Ende, </w:t>
      </w:r>
      <w:r w:rsidR="00735DCC">
        <w:t xml:space="preserve">Technology Law Group, LLC, </w:t>
      </w:r>
      <w:r w:rsidR="007330A7">
        <w:t>Counsel to</w:t>
      </w:r>
      <w:r w:rsidR="00FF1E7A">
        <w:t xml:space="preserve"> Simple Network, Inc., to Pam Slipakoff, Attorney Advisor, FCC Enforcement Bureau (</w:t>
      </w:r>
      <w:r w:rsidR="00735DCC">
        <w:t xml:space="preserve">Sept. 30, 2016, 15:29 EDT) (on </w:t>
      </w:r>
      <w:r w:rsidR="00735DCC" w:rsidRPr="00733DE7">
        <w:t xml:space="preserve">file in </w:t>
      </w:r>
      <w:r w:rsidR="00735DCC" w:rsidRPr="00733DE7">
        <w:rPr>
          <w:spacing w:val="-2"/>
        </w:rPr>
        <w:t>EB-IHD-13-00011486</w:t>
      </w:r>
      <w:r w:rsidR="00735DCC" w:rsidRPr="00733DE7">
        <w:t>)</w:t>
      </w:r>
      <w:r w:rsidR="00AD2429">
        <w:t xml:space="preserve"> (Simple Network September 30, 2016 E-mail)</w:t>
      </w:r>
      <w:r w:rsidRPr="00AC74CE">
        <w:t>.</w:t>
      </w:r>
    </w:p>
  </w:footnote>
  <w:footnote w:id="14">
    <w:p w14:paraId="49B7E248" w14:textId="77777777" w:rsidR="00655915" w:rsidRPr="00733DE7" w:rsidRDefault="00655915" w:rsidP="00655915">
      <w:pPr>
        <w:pStyle w:val="FootnoteText"/>
      </w:pPr>
      <w:r w:rsidRPr="00733DE7">
        <w:rPr>
          <w:rStyle w:val="FootnoteReference"/>
        </w:rPr>
        <w:footnoteRef/>
      </w:r>
      <w:r w:rsidRPr="00733DE7">
        <w:t xml:space="preserve"> </w:t>
      </w:r>
      <w:r w:rsidR="000A21E7">
        <w:rPr>
          <w:i/>
        </w:rPr>
        <w:t>Simple Network NAL Response</w:t>
      </w:r>
      <w:r w:rsidRPr="00733DE7">
        <w:t xml:space="preserve"> at </w:t>
      </w:r>
      <w:r w:rsidR="00E00B8B" w:rsidRPr="00733DE7">
        <w:t>1</w:t>
      </w:r>
      <w:r w:rsidR="009C00AB">
        <w:t>–</w:t>
      </w:r>
      <w:r w:rsidR="00E00B8B" w:rsidRPr="00733DE7">
        <w:t>2</w:t>
      </w:r>
      <w:r w:rsidR="00E00B8B">
        <w:t xml:space="preserve">, </w:t>
      </w:r>
      <w:r w:rsidRPr="00733DE7">
        <w:t>7</w:t>
      </w:r>
      <w:r w:rsidR="000A21E7">
        <w:t xml:space="preserve">; </w:t>
      </w:r>
      <w:r w:rsidR="000A21E7">
        <w:rPr>
          <w:i/>
        </w:rPr>
        <w:t>see also</w:t>
      </w:r>
      <w:r w:rsidR="000A21E7">
        <w:t xml:space="preserve"> </w:t>
      </w:r>
      <w:r w:rsidR="00AD2429">
        <w:t>Simple Network September 30, 2016 E-mail</w:t>
      </w:r>
      <w:r w:rsidRPr="00733DE7">
        <w:t>.</w:t>
      </w:r>
    </w:p>
  </w:footnote>
  <w:footnote w:id="15">
    <w:p w14:paraId="2E70D034" w14:textId="77777777" w:rsidR="00056FF1" w:rsidRDefault="00056FF1">
      <w:pPr>
        <w:pStyle w:val="FootnoteText"/>
      </w:pPr>
      <w:r>
        <w:rPr>
          <w:rStyle w:val="FootnoteReference"/>
        </w:rPr>
        <w:footnoteRef/>
      </w:r>
      <w:r>
        <w:t xml:space="preserve"> 47 U.S.C. </w:t>
      </w:r>
      <w:r w:rsidRPr="00733DE7">
        <w:t>§</w:t>
      </w:r>
      <w:r>
        <w:t xml:space="preserve"> 503(b).</w:t>
      </w:r>
    </w:p>
  </w:footnote>
  <w:footnote w:id="16">
    <w:p w14:paraId="38F031E2" w14:textId="77777777" w:rsidR="00056FF1" w:rsidRDefault="00056FF1">
      <w:pPr>
        <w:pStyle w:val="FootnoteText"/>
      </w:pPr>
      <w:r>
        <w:rPr>
          <w:rStyle w:val="FootnoteReference"/>
        </w:rPr>
        <w:footnoteRef/>
      </w:r>
      <w:r>
        <w:t xml:space="preserve"> 47 CFR </w:t>
      </w:r>
      <w:r w:rsidRPr="00733DE7">
        <w:t>§</w:t>
      </w:r>
      <w:r>
        <w:t xml:space="preserve"> 1.80.</w:t>
      </w:r>
    </w:p>
  </w:footnote>
  <w:footnote w:id="17">
    <w:p w14:paraId="71B68084" w14:textId="77777777" w:rsidR="00056FF1" w:rsidRPr="00056FF1" w:rsidRDefault="00056FF1">
      <w:pPr>
        <w:pStyle w:val="FootnoteText"/>
      </w:pPr>
      <w:r>
        <w:rPr>
          <w:rStyle w:val="FootnoteReference"/>
        </w:rPr>
        <w:footnoteRef/>
      </w:r>
      <w:r>
        <w:t xml:space="preserve"> </w:t>
      </w:r>
      <w:r>
        <w:rPr>
          <w:i/>
        </w:rPr>
        <w:t>The Commission’s Forfeiture Policy Statement and Amendment of Section 1.80 of the Rules to Incorporate the Forfeiture Guidelines</w:t>
      </w:r>
      <w:r>
        <w:t>, Report and Order, 12 FCC Rcd 17087 (1997) (</w:t>
      </w:r>
      <w:r>
        <w:rPr>
          <w:i/>
        </w:rPr>
        <w:t>Forfeiture Policy Statement</w:t>
      </w:r>
      <w:r>
        <w:t xml:space="preserve">), </w:t>
      </w:r>
      <w:r>
        <w:rPr>
          <w:i/>
        </w:rPr>
        <w:t>recons. denied</w:t>
      </w:r>
      <w:r>
        <w:t>, Memorandum Opinion and Order, 15 FCC Rcd 303 (1999).</w:t>
      </w:r>
    </w:p>
  </w:footnote>
  <w:footnote w:id="18">
    <w:p w14:paraId="016D4ADB" w14:textId="77777777" w:rsidR="005E69AB" w:rsidRDefault="005E69AB">
      <w:pPr>
        <w:pStyle w:val="FootnoteText"/>
      </w:pPr>
      <w:r>
        <w:rPr>
          <w:rStyle w:val="FootnoteReference"/>
        </w:rPr>
        <w:footnoteRef/>
      </w:r>
      <w:r>
        <w:t xml:space="preserve"> 47 U.S.C. </w:t>
      </w:r>
      <w:r w:rsidRPr="00733DE7">
        <w:t>§</w:t>
      </w:r>
      <w:r>
        <w:t xml:space="preserve"> 503(b)(2)(E).</w:t>
      </w:r>
    </w:p>
  </w:footnote>
  <w:footnote w:id="19">
    <w:p w14:paraId="58DD739F" w14:textId="77777777" w:rsidR="008E1274" w:rsidRPr="008B092D" w:rsidRDefault="008E1274" w:rsidP="008E1274">
      <w:pPr>
        <w:pStyle w:val="FootnoteText"/>
      </w:pPr>
      <w:r>
        <w:rPr>
          <w:rStyle w:val="FootnoteReference"/>
        </w:rPr>
        <w:footnoteRef/>
      </w:r>
      <w:r>
        <w:t xml:space="preserve"> </w:t>
      </w:r>
      <w:r>
        <w:rPr>
          <w:i/>
        </w:rPr>
        <w:t>See</w:t>
      </w:r>
      <w:r>
        <w:t xml:space="preserve"> 47 CFR §§ 1.1154, 52.17, 54.706(a)(19), 64.604(c)(5)(iii)(A) (explaining which entities are required to contribute to federal support mechanisms and pay regulatory fees); </w:t>
      </w:r>
      <w:r>
        <w:rPr>
          <w:i/>
        </w:rPr>
        <w:t>see also</w:t>
      </w:r>
      <w:r>
        <w:t xml:space="preserve"> 47 U.S.C. §§ 159, 225, 251, 254 (providing congressional mandates for federal support mechanisms and the collection of regulatory fees).</w:t>
      </w:r>
    </w:p>
  </w:footnote>
  <w:footnote w:id="20">
    <w:p w14:paraId="42A98037" w14:textId="3F7DEB8F" w:rsidR="008E1274" w:rsidRPr="00F71D61" w:rsidRDefault="008E1274" w:rsidP="008E1274">
      <w:pPr>
        <w:pStyle w:val="FootnoteText"/>
      </w:pPr>
      <w:r>
        <w:rPr>
          <w:rStyle w:val="FootnoteReference"/>
        </w:rPr>
        <w:footnoteRef/>
      </w:r>
      <w:r>
        <w:t xml:space="preserve">  </w:t>
      </w:r>
      <w:r>
        <w:rPr>
          <w:i/>
        </w:rPr>
        <w:t>See</w:t>
      </w:r>
      <w:r>
        <w:t xml:space="preserve"> 47 CFR §§ 64.1195; 52.17(a); 54.711(a); 64.604(c)(5)(iii)(B); 2016 Telecommunications Reporting Worksheet Instructions, FCC Form 499-A at 4 (Jan. 2016) </w:t>
      </w:r>
      <w:r>
        <w:rPr>
          <w:i/>
        </w:rPr>
        <w:t>available at</w:t>
      </w:r>
      <w:r>
        <w:t xml:space="preserve"> </w:t>
      </w:r>
      <w:hyperlink r:id="rId4" w:history="1">
        <w:r w:rsidRPr="008E6443">
          <w:rPr>
            <w:rStyle w:val="Hyperlink"/>
          </w:rPr>
          <w:t>https://apps.fcc.gov/edocs_public/attachmatch/DA-16-138A2.pdf</w:t>
        </w:r>
      </w:hyperlink>
      <w:r>
        <w:t xml:space="preserve"> (2016 FCC Form 499-A Instructions); </w:t>
      </w:r>
      <w:r>
        <w:rPr>
          <w:i/>
        </w:rPr>
        <w:t>see also</w:t>
      </w:r>
      <w:r>
        <w:t xml:space="preserve"> </w:t>
      </w:r>
      <w:r>
        <w:rPr>
          <w:i/>
        </w:rPr>
        <w:t>United States v. Unipoint</w:t>
      </w:r>
      <w:r>
        <w:t>, Civil No. 14-12020-LTS, 2016 WL 424955 at *3 (D. Mass. Feb. 3, 2016) (“Telecommunications carriers providing international telecommunications service must register with the FCC, which requires submitting an FCC Form 499-A</w:t>
      </w:r>
      <w:r w:rsidR="005A7602">
        <w:t>.</w:t>
      </w:r>
      <w:r>
        <w:t>”).</w:t>
      </w:r>
    </w:p>
  </w:footnote>
  <w:footnote w:id="21">
    <w:p w14:paraId="7BA8A108" w14:textId="77777777" w:rsidR="008E1274" w:rsidRPr="00733DE7" w:rsidRDefault="008E1274" w:rsidP="008E1274">
      <w:pPr>
        <w:pStyle w:val="FootnoteText"/>
      </w:pPr>
      <w:r w:rsidRPr="00733DE7">
        <w:rPr>
          <w:rStyle w:val="FootnoteReference"/>
        </w:rPr>
        <w:footnoteRef/>
      </w:r>
      <w:r w:rsidRPr="00733DE7">
        <w:t xml:space="preserve"> 2016</w:t>
      </w:r>
      <w:r>
        <w:t xml:space="preserve"> FCC Form 499-A Instructions at 4</w:t>
      </w:r>
      <w:r w:rsidRPr="00733DE7">
        <w:t xml:space="preserve"> (internal citations omitted).</w:t>
      </w:r>
    </w:p>
  </w:footnote>
  <w:footnote w:id="22">
    <w:p w14:paraId="0F36B50F" w14:textId="77777777" w:rsidR="008E1274" w:rsidRPr="00733DE7" w:rsidRDefault="008E1274" w:rsidP="008E1274">
      <w:pPr>
        <w:pStyle w:val="FootnoteText"/>
      </w:pPr>
      <w:r w:rsidRPr="00733DE7">
        <w:rPr>
          <w:rStyle w:val="FootnoteReference"/>
        </w:rPr>
        <w:footnoteRef/>
      </w:r>
      <w:r w:rsidRPr="00733DE7">
        <w:t xml:space="preserve"> </w:t>
      </w:r>
      <w:r w:rsidRPr="00733DE7">
        <w:rPr>
          <w:i/>
        </w:rPr>
        <w:t>International Authorizations Granted</w:t>
      </w:r>
      <w:r w:rsidRPr="00733DE7">
        <w:t>, Public Notice, Report N</w:t>
      </w:r>
      <w:r>
        <w:t>o. TEL, 00609, DA No. 02-3416,</w:t>
      </w:r>
      <w:r w:rsidRPr="00733DE7">
        <w:t xml:space="preserve"> File Number ITC-214-20021113-00549</w:t>
      </w:r>
      <w:r>
        <w:t xml:space="preserve"> at 2, 17 FCC Rcd 24831</w:t>
      </w:r>
      <w:r w:rsidRPr="00733DE7">
        <w:t xml:space="preserve"> (2002).</w:t>
      </w:r>
    </w:p>
  </w:footnote>
  <w:footnote w:id="23">
    <w:p w14:paraId="40CCAB62" w14:textId="77777777" w:rsidR="008E1274" w:rsidRPr="00733DE7" w:rsidRDefault="008E1274" w:rsidP="008E1274">
      <w:pPr>
        <w:pStyle w:val="FootnoteText"/>
      </w:pPr>
      <w:r w:rsidRPr="00733DE7">
        <w:rPr>
          <w:rStyle w:val="FootnoteReference"/>
        </w:rPr>
        <w:footnoteRef/>
      </w:r>
      <w:r>
        <w:t xml:space="preserve"> 47 C</w:t>
      </w:r>
      <w:r w:rsidRPr="00733DE7">
        <w:t>FR § 64.1195.</w:t>
      </w:r>
    </w:p>
  </w:footnote>
  <w:footnote w:id="24">
    <w:p w14:paraId="06D7AB84" w14:textId="0E81FDC4" w:rsidR="008E1274" w:rsidRPr="00F8189C" w:rsidRDefault="008E1274" w:rsidP="008E1274">
      <w:pPr>
        <w:pStyle w:val="FootnoteText"/>
      </w:pPr>
      <w:r>
        <w:rPr>
          <w:rStyle w:val="FootnoteReference"/>
        </w:rPr>
        <w:footnoteRef/>
      </w:r>
      <w:r>
        <w:t xml:space="preserve"> </w:t>
      </w:r>
      <w:r>
        <w:rPr>
          <w:i/>
        </w:rPr>
        <w:t>See Simple Network NAL</w:t>
      </w:r>
      <w:r>
        <w:t>, 30 FCC Rcd at</w:t>
      </w:r>
      <w:r w:rsidR="004E32BB">
        <w:t xml:space="preserve"> 4527,</w:t>
      </w:r>
      <w:r>
        <w:t xml:space="preserve"> para. 6</w:t>
      </w:r>
      <w:r w:rsidR="00C4689F">
        <w:t xml:space="preserve">; </w:t>
      </w:r>
      <w:r w:rsidR="006D3FC4">
        <w:rPr>
          <w:i/>
        </w:rPr>
        <w:t>see also</w:t>
      </w:r>
      <w:r w:rsidR="006D3FC4">
        <w:t xml:space="preserve"> Simple Network, </w:t>
      </w:r>
      <w:r w:rsidR="006D3FC4">
        <w:rPr>
          <w:i/>
        </w:rPr>
        <w:t>About Us</w:t>
      </w:r>
      <w:r w:rsidR="006D3FC4">
        <w:t xml:space="preserve"> (2012), </w:t>
      </w:r>
      <w:hyperlink r:id="rId5" w:history="1">
        <w:r w:rsidR="006D3FC4" w:rsidRPr="0013213E">
          <w:rPr>
            <w:rStyle w:val="Hyperlink"/>
          </w:rPr>
          <w:t>https://www.motherindiacard.com/aboutus.asp</w:t>
        </w:r>
      </w:hyperlink>
      <w:r>
        <w:t>.</w:t>
      </w:r>
    </w:p>
  </w:footnote>
  <w:footnote w:id="25">
    <w:p w14:paraId="1ADBA36C" w14:textId="77777777" w:rsidR="008E1274" w:rsidRPr="00733DE7" w:rsidRDefault="008E1274" w:rsidP="008E1274">
      <w:pPr>
        <w:pStyle w:val="FootnoteText"/>
      </w:pPr>
      <w:r w:rsidRPr="00733DE7">
        <w:rPr>
          <w:rStyle w:val="FootnoteReference"/>
        </w:rPr>
        <w:footnoteRef/>
      </w:r>
      <w:r w:rsidR="00CA6563">
        <w:t xml:space="preserve"> 47 U.S.C. § 312(f)(1).</w:t>
      </w:r>
      <w:r>
        <w:t xml:space="preserve"> Contrary to Simple Network’s argument, the Commission is not required to demonstrate scienter to prove that an act was willful</w:t>
      </w:r>
      <w:r w:rsidR="00350EBF">
        <w:t xml:space="preserve"> under the Communications Act.</w:t>
      </w:r>
    </w:p>
  </w:footnote>
  <w:footnote w:id="26">
    <w:p w14:paraId="7719301C" w14:textId="77777777" w:rsidR="008E1274" w:rsidRPr="00733DE7" w:rsidRDefault="008E1274" w:rsidP="008E1274">
      <w:pPr>
        <w:pStyle w:val="FootnoteText"/>
      </w:pPr>
      <w:r w:rsidRPr="00733DE7">
        <w:rPr>
          <w:rStyle w:val="FootnoteReference"/>
        </w:rPr>
        <w:footnoteRef/>
      </w:r>
      <w:r w:rsidRPr="00733DE7">
        <w:t xml:space="preserve"> </w:t>
      </w:r>
      <w:r>
        <w:rPr>
          <w:i/>
        </w:rPr>
        <w:t xml:space="preserve">See </w:t>
      </w:r>
      <w:r w:rsidR="00CA6563">
        <w:t>47 U.S.C. § 312(f)(2)</w:t>
      </w:r>
      <w:r>
        <w:t xml:space="preserve">; </w:t>
      </w:r>
      <w:r w:rsidRPr="00733DE7">
        <w:rPr>
          <w:i/>
        </w:rPr>
        <w:t>Callais Cablevision, Inc.</w:t>
      </w:r>
      <w:r w:rsidRPr="00CA6563">
        <w:t xml:space="preserve">, </w:t>
      </w:r>
      <w:r w:rsidR="00CA6563">
        <w:t xml:space="preserve">Notice of Apparent Liability for Monetary Forfeiture, </w:t>
      </w:r>
      <w:r w:rsidRPr="00733DE7">
        <w:t xml:space="preserve">16 FCC Rcd </w:t>
      </w:r>
      <w:r w:rsidR="00CA6563">
        <w:t>1359, 1362, para.</w:t>
      </w:r>
      <w:r w:rsidRPr="00733DE7">
        <w:t xml:space="preserve"> 9</w:t>
      </w:r>
      <w:r w:rsidR="00CA6563">
        <w:t xml:space="preserve"> (2001)</w:t>
      </w:r>
      <w:r w:rsidR="00A27CB8">
        <w:t xml:space="preserve">, </w:t>
      </w:r>
      <w:r w:rsidR="00A27CB8">
        <w:rPr>
          <w:i/>
        </w:rPr>
        <w:t>forfeiture issued</w:t>
      </w:r>
      <w:r w:rsidR="00A27CB8">
        <w:t>, 17 FCC Rcd 22626 (2002)</w:t>
      </w:r>
      <w:r w:rsidRPr="00733DE7">
        <w:t xml:space="preserve">; </w:t>
      </w:r>
      <w:r w:rsidR="00CA6563">
        <w:rPr>
          <w:i/>
        </w:rPr>
        <w:t xml:space="preserve">Application for Review of </w:t>
      </w:r>
      <w:r w:rsidRPr="00733DE7">
        <w:rPr>
          <w:i/>
        </w:rPr>
        <w:t>Southern California Broadcasting Co.</w:t>
      </w:r>
      <w:r w:rsidRPr="00CA6563">
        <w:t xml:space="preserve">, </w:t>
      </w:r>
      <w:r w:rsidR="00CA6563">
        <w:t xml:space="preserve">Memorandum Opinion and Order, </w:t>
      </w:r>
      <w:r w:rsidRPr="00733DE7">
        <w:t xml:space="preserve">6 FCC Rcd </w:t>
      </w:r>
      <w:r w:rsidR="00CA6563">
        <w:t xml:space="preserve">4387, </w:t>
      </w:r>
      <w:r w:rsidRPr="00733DE7">
        <w:t xml:space="preserve">4388, </w:t>
      </w:r>
      <w:r w:rsidR="00CA6563">
        <w:t>para.</w:t>
      </w:r>
      <w:r w:rsidRPr="00733DE7">
        <w:t xml:space="preserve"> 5</w:t>
      </w:r>
      <w:r w:rsidR="00CA6563">
        <w:t xml:space="preserve"> (1991) (</w:t>
      </w:r>
      <w:r w:rsidR="00CA6563">
        <w:rPr>
          <w:i/>
        </w:rPr>
        <w:t>Southern California Broadcasting Co.</w:t>
      </w:r>
      <w:r w:rsidR="00CA6563">
        <w:t>)</w:t>
      </w:r>
      <w:r w:rsidRPr="00733DE7">
        <w:t>.</w:t>
      </w:r>
    </w:p>
  </w:footnote>
  <w:footnote w:id="27">
    <w:p w14:paraId="1C57A620" w14:textId="77777777" w:rsidR="008E1274" w:rsidRPr="0003521D" w:rsidRDefault="008E1274" w:rsidP="008E1274">
      <w:pPr>
        <w:pStyle w:val="FootnoteText"/>
      </w:pPr>
      <w:r w:rsidRPr="00733DE7">
        <w:rPr>
          <w:rStyle w:val="FootnoteReference"/>
        </w:rPr>
        <w:footnoteRef/>
      </w:r>
      <w:r w:rsidRPr="00733DE7">
        <w:t xml:space="preserve"> H.R. Rep. No. 97-765, 97</w:t>
      </w:r>
      <w:r w:rsidRPr="00733DE7">
        <w:rPr>
          <w:vertAlign w:val="superscript"/>
        </w:rPr>
        <w:t>th</w:t>
      </w:r>
      <w:r w:rsidRPr="00733DE7">
        <w:t xml:space="preserve"> Cong. 2d Sess. 51 (1982).</w:t>
      </w:r>
      <w:r w:rsidR="00536043">
        <w:t xml:space="preserve">  Simple Network’s argument that Section 312(f) applies only to the violations in Section 312 of the Act is misplaced.</w:t>
      </w:r>
      <w:r w:rsidR="00AC10C4">
        <w:t xml:space="preserve">  The legislative history explicitly </w:t>
      </w:r>
      <w:r w:rsidR="004900B6">
        <w:t>states</w:t>
      </w:r>
      <w:r w:rsidR="00AC10C4">
        <w:t xml:space="preserve"> that the provision “defines the terms ‘willful’ and ‘repeated’ for purposes of Section 312, </w:t>
      </w:r>
      <w:r w:rsidR="00AC10C4">
        <w:rPr>
          <w:i/>
        </w:rPr>
        <w:t>and for any other relevant section of the Act (e.g., Section 503)</w:t>
      </w:r>
      <w:r w:rsidR="00AC10C4">
        <w:t xml:space="preserve">.” </w:t>
      </w:r>
      <w:r w:rsidR="00AC10C4">
        <w:rPr>
          <w:i/>
        </w:rPr>
        <w:t>Id.</w:t>
      </w:r>
      <w:r w:rsidR="0003521D">
        <w:t xml:space="preserve"> (emphasis added).</w:t>
      </w:r>
    </w:p>
  </w:footnote>
  <w:footnote w:id="28">
    <w:p w14:paraId="698CC827" w14:textId="77777777" w:rsidR="008E1274" w:rsidRPr="00733DE7" w:rsidRDefault="008E1274" w:rsidP="008E1274">
      <w:pPr>
        <w:pStyle w:val="FootnoteText"/>
      </w:pPr>
      <w:r w:rsidRPr="00733DE7">
        <w:rPr>
          <w:rStyle w:val="FootnoteReference"/>
        </w:rPr>
        <w:footnoteRef/>
      </w:r>
      <w:r w:rsidRPr="00733DE7">
        <w:t xml:space="preserve"> </w:t>
      </w:r>
      <w:r w:rsidRPr="00733DE7">
        <w:rPr>
          <w:i/>
        </w:rPr>
        <w:t>See, e.g.</w:t>
      </w:r>
      <w:r w:rsidRPr="00CA6563">
        <w:t xml:space="preserve">, </w:t>
      </w:r>
      <w:r w:rsidRPr="00733DE7">
        <w:rPr>
          <w:i/>
        </w:rPr>
        <w:t>Southern California Broadcasting Co.</w:t>
      </w:r>
      <w:r w:rsidRPr="00733DE7">
        <w:t>, 6 F</w:t>
      </w:r>
      <w:r w:rsidR="00CA6563">
        <w:t>CC Rcd at 4388, para. 5 (1991)</w:t>
      </w:r>
      <w:r w:rsidRPr="00733DE7">
        <w:t>.</w:t>
      </w:r>
    </w:p>
  </w:footnote>
  <w:footnote w:id="29">
    <w:p w14:paraId="58E778A7" w14:textId="77777777" w:rsidR="008E1274" w:rsidRPr="003E429D" w:rsidRDefault="008E1274" w:rsidP="008E1274">
      <w:pPr>
        <w:pStyle w:val="FootnoteText"/>
      </w:pPr>
      <w:r>
        <w:rPr>
          <w:rStyle w:val="FootnoteReference"/>
        </w:rPr>
        <w:footnoteRef/>
      </w:r>
      <w:r>
        <w:t xml:space="preserve"> </w:t>
      </w:r>
      <w:r>
        <w:rPr>
          <w:i/>
        </w:rPr>
        <w:t>Simple Network NAL</w:t>
      </w:r>
      <w:r>
        <w:t>, 30 FCC Rcd</w:t>
      </w:r>
      <w:r w:rsidR="00CA6563">
        <w:t xml:space="preserve"> at 4527,</w:t>
      </w:r>
      <w:r>
        <w:t xml:space="preserve"> para. 6.</w:t>
      </w:r>
    </w:p>
  </w:footnote>
  <w:footnote w:id="30">
    <w:p w14:paraId="430C7B81" w14:textId="77777777" w:rsidR="008E1274" w:rsidRPr="003E429D" w:rsidRDefault="008E1274" w:rsidP="008E1274">
      <w:pPr>
        <w:pStyle w:val="FootnoteText"/>
        <w:rPr>
          <w:i/>
        </w:rPr>
      </w:pPr>
      <w:r>
        <w:rPr>
          <w:rStyle w:val="FootnoteReference"/>
        </w:rPr>
        <w:footnoteRef/>
      </w:r>
      <w:r>
        <w:t xml:space="preserve"> </w:t>
      </w:r>
      <w:r>
        <w:rPr>
          <w:i/>
        </w:rPr>
        <w:t>See id.</w:t>
      </w:r>
    </w:p>
  </w:footnote>
  <w:footnote w:id="31">
    <w:p w14:paraId="50EADFBA" w14:textId="77777777" w:rsidR="00A73B81" w:rsidRPr="00733DE7" w:rsidRDefault="00A73B81" w:rsidP="00A73B81">
      <w:pPr>
        <w:pStyle w:val="FootnoteText"/>
      </w:pPr>
      <w:r w:rsidRPr="00733DE7">
        <w:rPr>
          <w:rStyle w:val="FootnoteReference"/>
        </w:rPr>
        <w:footnoteRef/>
      </w:r>
      <w:r w:rsidRPr="00733DE7">
        <w:t xml:space="preserve"> </w:t>
      </w:r>
      <w:r w:rsidR="00E05695" w:rsidRPr="00993E65">
        <w:rPr>
          <w:i/>
          <w:color w:val="000000" w:themeColor="text1"/>
        </w:rPr>
        <w:t>See</w:t>
      </w:r>
      <w:r w:rsidR="00E05695" w:rsidRPr="00993E65">
        <w:rPr>
          <w:color w:val="000000" w:themeColor="text1"/>
        </w:rPr>
        <w:t xml:space="preserve"> </w:t>
      </w:r>
      <w:r w:rsidR="00E05695" w:rsidRPr="00993E65">
        <w:rPr>
          <w:snapToGrid w:val="0"/>
          <w:color w:val="000000" w:themeColor="text1"/>
        </w:rPr>
        <w:t xml:space="preserve">47 U.S.C. § 503(b)(2)(B); 47 </w:t>
      </w:r>
      <w:r w:rsidR="00E05695">
        <w:rPr>
          <w:snapToGrid w:val="0"/>
          <w:color w:val="000000" w:themeColor="text1"/>
        </w:rPr>
        <w:t>CFR</w:t>
      </w:r>
      <w:r w:rsidR="00E05695" w:rsidRPr="00993E65">
        <w:rPr>
          <w:snapToGrid w:val="0"/>
          <w:color w:val="000000" w:themeColor="text1"/>
        </w:rPr>
        <w:t xml:space="preserve"> § 1.80(b)(9).  These amounts reflect inflation adjustments to the forfeitures specified in Section 503(b)(2)(B) ($100,000 per violation or per day of a continuing violation and $1,000,000 per any single act or failure to act).  The Federal Civil Penalties Inflation Adjustment Act of 1990, Pub. L. No. 101-410, 104 Stat. 890, as amended by the Debt Collection Improvement Act of 1996, Pub. L. No. 104-134, Sec. 31001, 110 Stat. 1321 (DCIA), requires the Commission to adjust its forfeiture penalties periodically for inflation.  </w:t>
      </w:r>
      <w:r w:rsidR="00E05695" w:rsidRPr="00993E65">
        <w:rPr>
          <w:i/>
          <w:iCs/>
          <w:snapToGrid w:val="0"/>
          <w:color w:val="000000" w:themeColor="text1"/>
        </w:rPr>
        <w:t>See</w:t>
      </w:r>
      <w:r w:rsidR="00E05695" w:rsidRPr="00993E65">
        <w:rPr>
          <w:snapToGrid w:val="0"/>
          <w:color w:val="000000" w:themeColor="text1"/>
        </w:rPr>
        <w:t xml:space="preserve"> 28 U.S.C. § 2461 note (4).  The Commission most recently adjusted its penalties to account for inflation </w:t>
      </w:r>
      <w:r w:rsidR="00E05695">
        <w:rPr>
          <w:snapToGrid w:val="0"/>
          <w:color w:val="000000" w:themeColor="text1"/>
        </w:rPr>
        <w:t>on June 9, 2016</w:t>
      </w:r>
      <w:r w:rsidR="00E05695" w:rsidRPr="00993E65">
        <w:rPr>
          <w:snapToGrid w:val="0"/>
          <w:color w:val="000000" w:themeColor="text1"/>
        </w:rPr>
        <w:t xml:space="preserve">.  </w:t>
      </w:r>
      <w:r w:rsidR="00E05695" w:rsidRPr="00993E65">
        <w:rPr>
          <w:i/>
          <w:iCs/>
          <w:snapToGrid w:val="0"/>
          <w:color w:val="000000" w:themeColor="text1"/>
        </w:rPr>
        <w:t>See Amendment of Section 1.80(b) of the Commission’s Rules, Adjustment of Civil Monetary Penalties to Reflect Inflation</w:t>
      </w:r>
      <w:r w:rsidR="00E05695" w:rsidRPr="00993E65">
        <w:rPr>
          <w:snapToGrid w:val="0"/>
          <w:color w:val="000000" w:themeColor="text1"/>
        </w:rPr>
        <w:t xml:space="preserve">, Order, </w:t>
      </w:r>
      <w:r w:rsidR="00E05695">
        <w:rPr>
          <w:snapToGrid w:val="0"/>
          <w:color w:val="000000" w:themeColor="text1"/>
        </w:rPr>
        <w:t>DA 16-644</w:t>
      </w:r>
      <w:r w:rsidR="00E05695" w:rsidRPr="00F67B8D">
        <w:rPr>
          <w:snapToGrid w:val="0"/>
        </w:rPr>
        <w:t xml:space="preserve">, </w:t>
      </w:r>
      <w:r w:rsidR="00E05695" w:rsidRPr="00F67B8D">
        <w:t>2016 WL 3218781</w:t>
      </w:r>
      <w:r w:rsidR="00E05695" w:rsidRPr="00F67B8D">
        <w:rPr>
          <w:snapToGrid w:val="0"/>
        </w:rPr>
        <w:t xml:space="preserve"> </w:t>
      </w:r>
      <w:r w:rsidR="00E05695" w:rsidRPr="00993E65">
        <w:rPr>
          <w:snapToGrid w:val="0"/>
          <w:color w:val="000000" w:themeColor="text1"/>
        </w:rPr>
        <w:t>(E</w:t>
      </w:r>
      <w:r w:rsidR="00236618">
        <w:rPr>
          <w:snapToGrid w:val="0"/>
          <w:color w:val="000000" w:themeColor="text1"/>
        </w:rPr>
        <w:t>B</w:t>
      </w:r>
      <w:r w:rsidR="00E05695" w:rsidRPr="00993E65">
        <w:rPr>
          <w:snapToGrid w:val="0"/>
          <w:color w:val="000000" w:themeColor="text1"/>
        </w:rPr>
        <w:t xml:space="preserve"> 201</w:t>
      </w:r>
      <w:r w:rsidR="00E05695">
        <w:rPr>
          <w:snapToGrid w:val="0"/>
          <w:color w:val="000000" w:themeColor="text1"/>
        </w:rPr>
        <w:t>6</w:t>
      </w:r>
      <w:r w:rsidR="00E05695" w:rsidRPr="00993E65">
        <w:rPr>
          <w:snapToGrid w:val="0"/>
          <w:color w:val="000000" w:themeColor="text1"/>
        </w:rPr>
        <w:t xml:space="preserve">); </w:t>
      </w:r>
      <w:r w:rsidR="00E05695" w:rsidRPr="00993E65">
        <w:rPr>
          <w:i/>
          <w:iCs/>
          <w:snapToGrid w:val="0"/>
          <w:color w:val="000000" w:themeColor="text1"/>
        </w:rPr>
        <w:t>see also</w:t>
      </w:r>
      <w:r w:rsidR="00E05695" w:rsidRPr="00993E65">
        <w:rPr>
          <w:snapToGrid w:val="0"/>
          <w:color w:val="000000" w:themeColor="text1"/>
        </w:rPr>
        <w:t xml:space="preserve"> Inflation Adjustment of Monetary Penalties, </w:t>
      </w:r>
      <w:r w:rsidR="00E05695" w:rsidRPr="00556774">
        <w:rPr>
          <w:snapToGrid w:val="0"/>
        </w:rPr>
        <w:t>81</w:t>
      </w:r>
      <w:r w:rsidR="00E05695">
        <w:rPr>
          <w:snapToGrid w:val="0"/>
        </w:rPr>
        <w:t xml:space="preserve"> </w:t>
      </w:r>
      <w:r w:rsidR="00E05695" w:rsidRPr="00556774">
        <w:rPr>
          <w:snapToGrid w:val="0"/>
        </w:rPr>
        <w:t>Fed. Reg. 42,554 (</w:t>
      </w:r>
      <w:r w:rsidR="00E05695">
        <w:rPr>
          <w:snapToGrid w:val="0"/>
          <w:color w:val="000000" w:themeColor="text1"/>
        </w:rPr>
        <w:t>Jun. 30</w:t>
      </w:r>
      <w:r w:rsidR="00E05695" w:rsidRPr="00993E65">
        <w:rPr>
          <w:snapToGrid w:val="0"/>
          <w:color w:val="000000" w:themeColor="text1"/>
        </w:rPr>
        <w:t>, 201</w:t>
      </w:r>
      <w:r w:rsidR="00E05695">
        <w:rPr>
          <w:snapToGrid w:val="0"/>
          <w:color w:val="000000" w:themeColor="text1"/>
        </w:rPr>
        <w:t>6</w:t>
      </w:r>
      <w:r w:rsidR="00E05695" w:rsidRPr="00993E65">
        <w:rPr>
          <w:snapToGrid w:val="0"/>
          <w:color w:val="000000" w:themeColor="text1"/>
        </w:rPr>
        <w:t>) (setting</w:t>
      </w:r>
      <w:r w:rsidR="00E05695">
        <w:rPr>
          <w:snapToGrid w:val="0"/>
          <w:color w:val="000000" w:themeColor="text1"/>
        </w:rPr>
        <w:t xml:space="preserve"> August 1, 2016 </w:t>
      </w:r>
      <w:r w:rsidR="00E05695" w:rsidRPr="00993E65">
        <w:rPr>
          <w:snapToGrid w:val="0"/>
          <w:color w:val="000000" w:themeColor="text1"/>
        </w:rPr>
        <w:t>as the effective date for the increases).</w:t>
      </w:r>
      <w:r w:rsidR="00236618" w:rsidRPr="00236618">
        <w:rPr>
          <w:color w:val="000000" w:themeColor="text1"/>
        </w:rPr>
        <w:t xml:space="preserve"> </w:t>
      </w:r>
      <w:r w:rsidR="00236618">
        <w:rPr>
          <w:color w:val="000000" w:themeColor="text1"/>
        </w:rPr>
        <w:t xml:space="preserve"> </w:t>
      </w:r>
      <w:r w:rsidR="00236618" w:rsidRPr="00981F23">
        <w:rPr>
          <w:snapToGrid w:val="0"/>
          <w:color w:val="000000" w:themeColor="text1"/>
        </w:rPr>
        <w:t xml:space="preserve">However, because the DCIA specifies that any inflationary adjustment “shall apply only to violations which occur after the date the increase takes effect,” </w:t>
      </w:r>
      <w:r w:rsidR="002928A0">
        <w:rPr>
          <w:snapToGrid w:val="0"/>
          <w:color w:val="000000" w:themeColor="text1"/>
        </w:rPr>
        <w:t xml:space="preserve">in the </w:t>
      </w:r>
      <w:r w:rsidR="002928A0" w:rsidRPr="00D972F3">
        <w:rPr>
          <w:i/>
          <w:snapToGrid w:val="0"/>
          <w:color w:val="000000" w:themeColor="text1"/>
        </w:rPr>
        <w:t>NAL</w:t>
      </w:r>
      <w:r w:rsidR="002928A0">
        <w:rPr>
          <w:snapToGrid w:val="0"/>
          <w:color w:val="000000" w:themeColor="text1"/>
        </w:rPr>
        <w:t xml:space="preserve"> we applied</w:t>
      </w:r>
      <w:r w:rsidR="00236618" w:rsidRPr="00981F23">
        <w:rPr>
          <w:snapToGrid w:val="0"/>
          <w:color w:val="000000" w:themeColor="text1"/>
        </w:rPr>
        <w:t xml:space="preserve"> the forfeiture penalties in effect at the time the apparent violation took place.  28 U.S.C. § 2461 note (6).  Here, because the apparent violation at issue occurred before </w:t>
      </w:r>
      <w:r w:rsidR="00236618">
        <w:rPr>
          <w:snapToGrid w:val="0"/>
          <w:color w:val="000000" w:themeColor="text1"/>
        </w:rPr>
        <w:t>August 1, 2016</w:t>
      </w:r>
      <w:r w:rsidR="00236618" w:rsidRPr="00981F23">
        <w:rPr>
          <w:snapToGrid w:val="0"/>
          <w:color w:val="000000" w:themeColor="text1"/>
        </w:rPr>
        <w:t xml:space="preserve">, the applicable maximum penalties are based on the Commission’s previous inflation adjustment that became effective on </w:t>
      </w:r>
      <w:r w:rsidR="002928A0">
        <w:rPr>
          <w:snapToGrid w:val="0"/>
          <w:color w:val="000000" w:themeColor="text1"/>
        </w:rPr>
        <w:t>September 13, 2013</w:t>
      </w:r>
      <w:r w:rsidR="00236618" w:rsidRPr="00981F23">
        <w:rPr>
          <w:snapToGrid w:val="0"/>
          <w:color w:val="000000" w:themeColor="text1"/>
        </w:rPr>
        <w:t>.</w:t>
      </w:r>
      <w:r w:rsidR="00236618" w:rsidRPr="00981F23">
        <w:rPr>
          <w:i/>
          <w:iCs/>
          <w:snapToGrid w:val="0"/>
          <w:color w:val="000000" w:themeColor="text1"/>
        </w:rPr>
        <w:t>  See</w:t>
      </w:r>
      <w:r w:rsidR="00236618" w:rsidRPr="00981F23">
        <w:rPr>
          <w:snapToGrid w:val="0"/>
          <w:color w:val="000000" w:themeColor="text1"/>
        </w:rPr>
        <w:t xml:space="preserve"> Inflation Adjustment of Maximum Forfeiture Penalties, 7</w:t>
      </w:r>
      <w:r w:rsidR="002928A0">
        <w:rPr>
          <w:snapToGrid w:val="0"/>
          <w:color w:val="000000" w:themeColor="text1"/>
        </w:rPr>
        <w:t>8</w:t>
      </w:r>
      <w:r w:rsidR="00236618" w:rsidRPr="00981F23">
        <w:rPr>
          <w:snapToGrid w:val="0"/>
          <w:color w:val="000000" w:themeColor="text1"/>
        </w:rPr>
        <w:t xml:space="preserve"> Fed. Reg. </w:t>
      </w:r>
      <w:r w:rsidR="002928A0">
        <w:rPr>
          <w:snapToGrid w:val="0"/>
          <w:color w:val="000000" w:themeColor="text1"/>
        </w:rPr>
        <w:t>49,370-01 (Aug. 14, 2013).</w:t>
      </w:r>
    </w:p>
  </w:footnote>
  <w:footnote w:id="32">
    <w:p w14:paraId="5D95B092" w14:textId="77777777" w:rsidR="00A73B81" w:rsidRPr="00900DE5" w:rsidRDefault="00A73B81" w:rsidP="00A73B81">
      <w:pPr>
        <w:pStyle w:val="FootnoteText"/>
      </w:pPr>
      <w:r w:rsidRPr="00733DE7">
        <w:rPr>
          <w:rStyle w:val="FootnoteReference"/>
        </w:rPr>
        <w:footnoteRef/>
      </w:r>
      <w:r w:rsidRPr="00733DE7">
        <w:t xml:space="preserve"> </w:t>
      </w:r>
      <w:r w:rsidR="00900DE5">
        <w:t>47 U.S.C. § 503(b)(2)(E)</w:t>
      </w:r>
      <w:r w:rsidR="0024357A">
        <w:t>; 47 CFR § 1.80(b)(8).</w:t>
      </w:r>
    </w:p>
  </w:footnote>
  <w:footnote w:id="33">
    <w:p w14:paraId="52A3AE40" w14:textId="77777777" w:rsidR="007C796A" w:rsidRPr="00DC4AFD" w:rsidRDefault="00A73B81" w:rsidP="00A73B81">
      <w:pPr>
        <w:pStyle w:val="FootnoteText"/>
      </w:pPr>
      <w:r w:rsidRPr="00733DE7">
        <w:rPr>
          <w:rStyle w:val="FootnoteReference"/>
        </w:rPr>
        <w:footnoteRef/>
      </w:r>
      <w:r w:rsidRPr="00733DE7">
        <w:t xml:space="preserve"> </w:t>
      </w:r>
      <w:r w:rsidR="00DC4AFD">
        <w:rPr>
          <w:i/>
        </w:rPr>
        <w:t>See Simple Network NAL</w:t>
      </w:r>
      <w:r w:rsidR="00DC4AFD">
        <w:t xml:space="preserve">, 30 FCC Rcd </w:t>
      </w:r>
      <w:r w:rsidR="00311B80">
        <w:t xml:space="preserve">at 4528, </w:t>
      </w:r>
      <w:r w:rsidR="00DC4AFD">
        <w:t>para. 8.</w:t>
      </w:r>
    </w:p>
  </w:footnote>
  <w:footnote w:id="34">
    <w:p w14:paraId="6C60A597" w14:textId="77777777" w:rsidR="006F25C6" w:rsidRDefault="006F25C6">
      <w:pPr>
        <w:pStyle w:val="FootnoteText"/>
      </w:pPr>
      <w:r>
        <w:rPr>
          <w:rStyle w:val="FootnoteReference"/>
        </w:rPr>
        <w:footnoteRef/>
      </w:r>
      <w:r>
        <w:t xml:space="preserve"> </w:t>
      </w:r>
      <w:r w:rsidR="003864A3" w:rsidRPr="00733DE7">
        <w:rPr>
          <w:i/>
        </w:rPr>
        <w:t>E.g.</w:t>
      </w:r>
      <w:r w:rsidR="003864A3" w:rsidRPr="00733DE7">
        <w:t>,</w:t>
      </w:r>
      <w:r w:rsidR="00663AD8">
        <w:t xml:space="preserve"> </w:t>
      </w:r>
      <w:r w:rsidR="00454114">
        <w:rPr>
          <w:i/>
        </w:rPr>
        <w:t>Starfone</w:t>
      </w:r>
      <w:r w:rsidR="003864A3">
        <w:t xml:space="preserve">, 27 FCC Rcd </w:t>
      </w:r>
      <w:r w:rsidR="00663AD8">
        <w:t>at</w:t>
      </w:r>
      <w:r w:rsidR="003864A3" w:rsidRPr="00733DE7">
        <w:t xml:space="preserve"> 4401, para. 24; </w:t>
      </w:r>
      <w:r w:rsidR="003864A3" w:rsidRPr="00733DE7">
        <w:rPr>
          <w:i/>
        </w:rPr>
        <w:t>Telecom House, Inc</w:t>
      </w:r>
      <w:r w:rsidR="003864A3" w:rsidRPr="00733DE7">
        <w:t xml:space="preserve">., Notice of Apparent Liability for Forfeiture and Order, 20 FCC Rcd 15131, 15142, para. 29 (2005), </w:t>
      </w:r>
      <w:r w:rsidR="003864A3" w:rsidRPr="00733DE7">
        <w:rPr>
          <w:i/>
        </w:rPr>
        <w:t>consent decree adopted</w:t>
      </w:r>
      <w:r w:rsidR="003864A3" w:rsidRPr="00733DE7">
        <w:t xml:space="preserve">, Order, 21 FCC Rcd 10883 (2006); </w:t>
      </w:r>
      <w:r w:rsidR="003864A3" w:rsidRPr="00733DE7">
        <w:rPr>
          <w:i/>
        </w:rPr>
        <w:t>Teletronics, Inc</w:t>
      </w:r>
      <w:r w:rsidR="003864A3" w:rsidRPr="00733DE7">
        <w:t xml:space="preserve">., Notice of Apparent Liability for Forfeiture and Order, </w:t>
      </w:r>
      <w:r w:rsidR="003864A3" w:rsidRPr="00733DE7">
        <w:rPr>
          <w:rStyle w:val="documentbody1"/>
          <w:rFonts w:ascii="Times New Roman" w:hAnsi="Times New Roman"/>
          <w:color w:val="000000"/>
          <w:sz w:val="20"/>
          <w:szCs w:val="20"/>
        </w:rPr>
        <w:t>20 FCC Rcd 13291, 13302, para. 30 (2005)</w:t>
      </w:r>
      <w:r w:rsidR="003864A3" w:rsidRPr="00733DE7">
        <w:t xml:space="preserve">, </w:t>
      </w:r>
      <w:r w:rsidR="003864A3" w:rsidRPr="00733DE7">
        <w:rPr>
          <w:i/>
        </w:rPr>
        <w:t>consent decree adopted</w:t>
      </w:r>
      <w:r w:rsidR="003864A3" w:rsidRPr="00733DE7">
        <w:t xml:space="preserve">, </w:t>
      </w:r>
      <w:r w:rsidR="00483616">
        <w:t>Order, 22 FCC Rcd 8681 (2007).</w:t>
      </w:r>
    </w:p>
  </w:footnote>
  <w:footnote w:id="35">
    <w:p w14:paraId="52BD719D" w14:textId="77777777" w:rsidR="00483616" w:rsidRPr="000B244F" w:rsidRDefault="00483616">
      <w:pPr>
        <w:pStyle w:val="FootnoteText"/>
      </w:pPr>
      <w:r>
        <w:rPr>
          <w:rStyle w:val="FootnoteReference"/>
        </w:rPr>
        <w:footnoteRef/>
      </w:r>
      <w:r>
        <w:t xml:space="preserve"> Simple Network wrongly claims that the Bureau’s reliance on </w:t>
      </w:r>
      <w:r>
        <w:rPr>
          <w:i/>
        </w:rPr>
        <w:t xml:space="preserve">Starfone </w:t>
      </w:r>
      <w:r>
        <w:t>and other relevant precedent renders the $100,000</w:t>
      </w:r>
      <w:r w:rsidR="00D344AF">
        <w:t xml:space="preserve"> forfeiture “arbitrary and capricious.” </w:t>
      </w:r>
      <w:r w:rsidR="00D344AF">
        <w:rPr>
          <w:i/>
        </w:rPr>
        <w:t>See Simple Network NAL</w:t>
      </w:r>
      <w:r w:rsidR="004343A7">
        <w:rPr>
          <w:i/>
        </w:rPr>
        <w:t xml:space="preserve"> Response</w:t>
      </w:r>
      <w:r w:rsidR="00D344AF">
        <w:t xml:space="preserve"> at 5</w:t>
      </w:r>
      <w:r w:rsidR="009C00AB">
        <w:t>–</w:t>
      </w:r>
      <w:r w:rsidR="00663C8B">
        <w:t>6</w:t>
      </w:r>
      <w:r w:rsidR="00D344AF">
        <w:t>, n.5.</w:t>
      </w:r>
      <w:r w:rsidR="00663C8B">
        <w:t xml:space="preserve"> </w:t>
      </w:r>
      <w:r w:rsidR="00514502">
        <w:t xml:space="preserve"> </w:t>
      </w:r>
      <w:r w:rsidR="000B244F">
        <w:t xml:space="preserve">We note that we have regularly stated that $100,000 is the </w:t>
      </w:r>
      <w:r w:rsidR="000B244F">
        <w:rPr>
          <w:i/>
        </w:rPr>
        <w:t>base</w:t>
      </w:r>
      <w:r w:rsidR="000B244F">
        <w:t xml:space="preserve"> forfeiture established by the Commission for violating Section 64.1195 of the Rules, based on the seriousness of the violation itself and the importance of registration. </w:t>
      </w:r>
      <w:r w:rsidR="00514502">
        <w:t xml:space="preserve"> </w:t>
      </w:r>
      <w:r w:rsidR="000B244F">
        <w:rPr>
          <w:i/>
        </w:rPr>
        <w:t>See supra</w:t>
      </w:r>
      <w:r w:rsidR="000B244F">
        <w:t xml:space="preserve"> note </w:t>
      </w:r>
      <w:r w:rsidR="000B244F" w:rsidRPr="005707E5">
        <w:t>3</w:t>
      </w:r>
      <w:r w:rsidR="0085000D" w:rsidRPr="005707E5">
        <w:t>3</w:t>
      </w:r>
      <w:r w:rsidR="000B244F">
        <w:t xml:space="preserve">.  Further, while </w:t>
      </w:r>
      <w:r w:rsidR="000B244F">
        <w:rPr>
          <w:i/>
        </w:rPr>
        <w:t>Starfone</w:t>
      </w:r>
      <w:r w:rsidR="000B244F">
        <w:t xml:space="preserve"> and other cases </w:t>
      </w:r>
      <w:r w:rsidR="000725E3">
        <w:t xml:space="preserve">may have </w:t>
      </w:r>
      <w:r w:rsidR="00663C8B">
        <w:t>involved violations in addition to failure to register, the forfeiture</w:t>
      </w:r>
      <w:r w:rsidR="000B244F">
        <w:t xml:space="preserve"> for violating Section 64.1195 was assessed separately from other violations in those cases. </w:t>
      </w:r>
      <w:r w:rsidR="00514502">
        <w:t xml:space="preserve"> </w:t>
      </w:r>
      <w:r w:rsidR="000B244F">
        <w:rPr>
          <w:i/>
        </w:rPr>
        <w:t>See, e.g.</w:t>
      </w:r>
      <w:r w:rsidR="000B244F">
        <w:t xml:space="preserve">, </w:t>
      </w:r>
      <w:r w:rsidR="00454114">
        <w:rPr>
          <w:i/>
        </w:rPr>
        <w:t>Starfone</w:t>
      </w:r>
      <w:r w:rsidR="000B244F">
        <w:t>, 27 FCC Rcd at 4400</w:t>
      </w:r>
      <w:r w:rsidR="009C00AB">
        <w:t>–</w:t>
      </w:r>
      <w:r w:rsidR="000B244F">
        <w:t>02, paras. 20</w:t>
      </w:r>
      <w:r w:rsidR="009C00AB">
        <w:t>–</w:t>
      </w:r>
      <w:r w:rsidR="000B244F">
        <w:t>27.</w:t>
      </w:r>
      <w:r w:rsidR="00693A6D">
        <w:t xml:space="preserve"> </w:t>
      </w:r>
      <w:r w:rsidR="00810795">
        <w:t xml:space="preserve"> </w:t>
      </w:r>
      <w:r w:rsidR="00693A6D">
        <w:t>Further,</w:t>
      </w:r>
      <w:r w:rsidR="006761B1">
        <w:t xml:space="preserve"> the facts in this matter demonstrate, if anything, </w:t>
      </w:r>
      <w:r w:rsidR="003C48C7">
        <w:t xml:space="preserve">a more egregious violation of </w:t>
      </w:r>
      <w:r w:rsidR="000725E3">
        <w:t xml:space="preserve">Section </w:t>
      </w:r>
      <w:r w:rsidR="003C48C7">
        <w:t xml:space="preserve">64.1195 than was present in </w:t>
      </w:r>
      <w:r w:rsidR="003C48C7" w:rsidRPr="003C48C7">
        <w:rPr>
          <w:i/>
        </w:rPr>
        <w:t>Starfone</w:t>
      </w:r>
      <w:r w:rsidR="003C48C7">
        <w:t xml:space="preserve">, because Simple Network failed to respond appropriately to the Bureau’s Letter of Inquiry and continues to be in noncompliance, whereas Starfone began to comply with the Rules during the pendency of the Bureau’s investigation. </w:t>
      </w:r>
      <w:r w:rsidR="00514502">
        <w:t xml:space="preserve"> </w:t>
      </w:r>
      <w:r w:rsidR="003C48C7">
        <w:rPr>
          <w:i/>
        </w:rPr>
        <w:t>See</w:t>
      </w:r>
      <w:r w:rsidR="003C48C7">
        <w:t xml:space="preserve"> </w:t>
      </w:r>
      <w:r w:rsidR="003C48C7">
        <w:rPr>
          <w:i/>
        </w:rPr>
        <w:t>Simple Network NAL</w:t>
      </w:r>
      <w:r w:rsidR="003C48C7">
        <w:t>, 30 FCC Rcd at 4526, para. 4</w:t>
      </w:r>
      <w:r w:rsidR="00DA016D">
        <w:t>;</w:t>
      </w:r>
      <w:r w:rsidR="00DA016D" w:rsidRPr="00DA016D">
        <w:rPr>
          <w:i/>
        </w:rPr>
        <w:t xml:space="preserve"> </w:t>
      </w:r>
      <w:r w:rsidR="00454114">
        <w:rPr>
          <w:i/>
        </w:rPr>
        <w:t>Starfone</w:t>
      </w:r>
      <w:r w:rsidR="00DA016D">
        <w:t>, 27 FCC Rcd at 4396, paras. 9</w:t>
      </w:r>
      <w:r w:rsidR="009C00AB">
        <w:t>–</w:t>
      </w:r>
      <w:r w:rsidR="00DA016D">
        <w:t>11</w:t>
      </w:r>
      <w:r w:rsidR="003C48C7">
        <w:t>.</w:t>
      </w:r>
      <w:r w:rsidR="00DA016D">
        <w:t xml:space="preserve"> </w:t>
      </w:r>
      <w:r w:rsidR="00810795">
        <w:t xml:space="preserve"> </w:t>
      </w:r>
      <w:r w:rsidR="003C48C7">
        <w:t>We also note that the</w:t>
      </w:r>
      <w:r w:rsidR="00663C8B">
        <w:t xml:space="preserve"> Bureau exercised its discretion </w:t>
      </w:r>
      <w:r w:rsidR="00DA016D">
        <w:t>when it d</w:t>
      </w:r>
      <w:r w:rsidR="00663C8B">
        <w:t xml:space="preserve">eclined to assess liability </w:t>
      </w:r>
      <w:r w:rsidR="003C48C7">
        <w:t xml:space="preserve">or forfeitures against Simple Network for failures to file regular Worksheets and </w:t>
      </w:r>
      <w:r w:rsidR="00DA016D">
        <w:t>w</w:t>
      </w:r>
      <w:r w:rsidR="003B7CD5">
        <w:t>as unable to determine whether the Company was required</w:t>
      </w:r>
      <w:r w:rsidR="00DA016D">
        <w:t xml:space="preserve"> to contribute to the USF and other funds because the Company has never filed revenue information with the Commission.</w:t>
      </w:r>
    </w:p>
  </w:footnote>
  <w:footnote w:id="36">
    <w:p w14:paraId="48BC7345" w14:textId="77777777" w:rsidR="007C796A" w:rsidRPr="00F6220D" w:rsidRDefault="007C796A">
      <w:pPr>
        <w:pStyle w:val="FootnoteText"/>
        <w:rPr>
          <w:b/>
        </w:rPr>
      </w:pPr>
      <w:r w:rsidRPr="00F6220D">
        <w:rPr>
          <w:rStyle w:val="FootnoteReference"/>
        </w:rPr>
        <w:footnoteRef/>
      </w:r>
      <w:r w:rsidRPr="00F6220D">
        <w:t xml:space="preserve"> </w:t>
      </w:r>
      <w:r w:rsidRPr="00694655">
        <w:rPr>
          <w:i/>
        </w:rPr>
        <w:t xml:space="preserve">Simple Network </w:t>
      </w:r>
      <w:r w:rsidR="00F365EA" w:rsidRPr="00694655">
        <w:rPr>
          <w:i/>
        </w:rPr>
        <w:t xml:space="preserve">NAL </w:t>
      </w:r>
      <w:r w:rsidRPr="00694655">
        <w:rPr>
          <w:i/>
        </w:rPr>
        <w:t>Response</w:t>
      </w:r>
      <w:r w:rsidRPr="00694655">
        <w:t xml:space="preserve"> at</w:t>
      </w:r>
      <w:r w:rsidR="00336B68" w:rsidRPr="00694655">
        <w:t xml:space="preserve"> </w:t>
      </w:r>
      <w:r w:rsidR="00F9300D">
        <w:t>6–</w:t>
      </w:r>
      <w:r w:rsidR="00336B68" w:rsidRPr="00694655">
        <w:t>7</w:t>
      </w:r>
      <w:r w:rsidR="00900E0F" w:rsidRPr="00694655">
        <w:t>.</w:t>
      </w:r>
    </w:p>
  </w:footnote>
  <w:footnote w:id="37">
    <w:p w14:paraId="009EF2BD" w14:textId="77777777" w:rsidR="00F01327" w:rsidRPr="00F01327" w:rsidRDefault="00F01327">
      <w:pPr>
        <w:pStyle w:val="FootnoteText"/>
        <w:rPr>
          <w:i/>
        </w:rPr>
      </w:pPr>
      <w:r w:rsidRPr="00F6220D">
        <w:rPr>
          <w:rStyle w:val="FootnoteReference"/>
        </w:rPr>
        <w:footnoteRef/>
      </w:r>
      <w:r w:rsidRPr="00F6220D">
        <w:t xml:space="preserve"> </w:t>
      </w:r>
      <w:r w:rsidRPr="00672E17">
        <w:rPr>
          <w:i/>
        </w:rPr>
        <w:t>Id.</w:t>
      </w:r>
    </w:p>
  </w:footnote>
  <w:footnote w:id="38">
    <w:p w14:paraId="6CD2F9E0" w14:textId="77777777" w:rsidR="00336B68" w:rsidRPr="00336B68" w:rsidRDefault="00336B68">
      <w:pPr>
        <w:pStyle w:val="FootnoteText"/>
        <w:rPr>
          <w:b/>
        </w:rPr>
      </w:pPr>
      <w:r>
        <w:rPr>
          <w:rStyle w:val="FootnoteReference"/>
        </w:rPr>
        <w:footnoteRef/>
      </w:r>
      <w:r>
        <w:t xml:space="preserve"> </w:t>
      </w:r>
      <w:r w:rsidRPr="00672E17">
        <w:rPr>
          <w:i/>
        </w:rPr>
        <w:t>See supra</w:t>
      </w:r>
      <w:r w:rsidRPr="00672E17">
        <w:t xml:space="preserve"> </w:t>
      </w:r>
      <w:r w:rsidR="00C41D4F" w:rsidRPr="00672E17">
        <w:t xml:space="preserve">para. 4; </w:t>
      </w:r>
      <w:r w:rsidR="00C41D4F" w:rsidRPr="00672E17">
        <w:rPr>
          <w:i/>
        </w:rPr>
        <w:t>Simple Network NAL Response</w:t>
      </w:r>
      <w:r w:rsidR="00C41D4F" w:rsidRPr="00672E17">
        <w:t xml:space="preserve">, </w:t>
      </w:r>
      <w:r w:rsidR="00707D39" w:rsidRPr="00672E17">
        <w:t>Attachments 4</w:t>
      </w:r>
      <w:r w:rsidR="009C00AB">
        <w:t>–</w:t>
      </w:r>
      <w:r w:rsidR="00707D39" w:rsidRPr="00672E17">
        <w:t>6 (Simple Network 2012</w:t>
      </w:r>
      <w:r w:rsidR="009C00AB">
        <w:t>–</w:t>
      </w:r>
      <w:r w:rsidR="00707D39" w:rsidRPr="00672E17">
        <w:t>2014 Tax Returns).</w:t>
      </w:r>
    </w:p>
  </w:footnote>
  <w:footnote w:id="39">
    <w:p w14:paraId="74C8EF93" w14:textId="77777777" w:rsidR="00EE2EE1" w:rsidRPr="00880C7F" w:rsidRDefault="00EE2EE1">
      <w:pPr>
        <w:pStyle w:val="FootnoteText"/>
        <w:rPr>
          <w:b/>
        </w:rPr>
      </w:pPr>
      <w:r>
        <w:rPr>
          <w:rStyle w:val="FootnoteReference"/>
        </w:rPr>
        <w:footnoteRef/>
      </w:r>
      <w:r>
        <w:t xml:space="preserve"> </w:t>
      </w:r>
      <w:r w:rsidR="00880C7F">
        <w:rPr>
          <w:i/>
        </w:rPr>
        <w:t>See PTT Phone Cards, Inc.</w:t>
      </w:r>
      <w:r w:rsidR="00880C7F">
        <w:t>, Forfeiture Order, 30 FCC Rcd 14701, 14706, para. 16 (2015) (</w:t>
      </w:r>
      <w:r w:rsidR="00880C7F">
        <w:rPr>
          <w:i/>
        </w:rPr>
        <w:t>PTT Phone Cards</w:t>
      </w:r>
      <w:r w:rsidR="00880C7F">
        <w:t>).</w:t>
      </w:r>
    </w:p>
  </w:footnote>
  <w:footnote w:id="40">
    <w:p w14:paraId="5B9BC0AE" w14:textId="77777777" w:rsidR="002D7ECC" w:rsidRPr="007229AE" w:rsidRDefault="002D7ECC" w:rsidP="002D7ECC">
      <w:pPr>
        <w:pStyle w:val="FootnoteText"/>
        <w:rPr>
          <w:b/>
        </w:rPr>
      </w:pPr>
      <w:r w:rsidRPr="00BF0CB5">
        <w:rPr>
          <w:rStyle w:val="FootnoteReference"/>
        </w:rPr>
        <w:footnoteRef/>
      </w:r>
      <w:r w:rsidRPr="00BF0CB5">
        <w:rPr>
          <w:i/>
        </w:rPr>
        <w:t xml:space="preserve"> </w:t>
      </w:r>
      <w:r w:rsidR="00880C7F">
        <w:rPr>
          <w:i/>
        </w:rPr>
        <w:t xml:space="preserve">See </w:t>
      </w:r>
      <w:r w:rsidR="007229AE">
        <w:rPr>
          <w:i/>
        </w:rPr>
        <w:t>PTT Phone Cards</w:t>
      </w:r>
      <w:r w:rsidR="00B43B62">
        <w:t>, 30 FCC R</w:t>
      </w:r>
      <w:r w:rsidR="007229AE">
        <w:t>cd</w:t>
      </w:r>
      <w:r w:rsidR="008F3DFA">
        <w:t xml:space="preserve"> at</w:t>
      </w:r>
      <w:r w:rsidR="007229AE">
        <w:t xml:space="preserve"> 14706, para. 16. </w:t>
      </w:r>
      <w:r w:rsidR="00BF65C4">
        <w:t xml:space="preserve"> </w:t>
      </w:r>
      <w:r w:rsidR="007229AE">
        <w:rPr>
          <w:i/>
        </w:rPr>
        <w:t xml:space="preserve">See </w:t>
      </w:r>
      <w:r w:rsidR="007229AE" w:rsidRPr="007229AE">
        <w:rPr>
          <w:i/>
        </w:rPr>
        <w:t>also</w:t>
      </w:r>
      <w:r w:rsidR="00880C7F">
        <w:t xml:space="preserve"> </w:t>
      </w:r>
      <w:r w:rsidR="001F5479">
        <w:rPr>
          <w:i/>
        </w:rPr>
        <w:t>Unipoint Techs</w:t>
      </w:r>
      <w:r w:rsidR="00F67B8D">
        <w:rPr>
          <w:i/>
        </w:rPr>
        <w:t>.</w:t>
      </w:r>
      <w:r w:rsidR="00372509">
        <w:rPr>
          <w:i/>
        </w:rPr>
        <w:t>,</w:t>
      </w:r>
      <w:r w:rsidR="00880C7F">
        <w:rPr>
          <w:i/>
        </w:rPr>
        <w:t xml:space="preserve"> Inc.</w:t>
      </w:r>
      <w:r w:rsidR="001F5479">
        <w:rPr>
          <w:i/>
        </w:rPr>
        <w:t xml:space="preserve"> d/b/a Comfi.com d/b/a Masterbell.com d/b/a Pushline.com a/k/a Communications Fidelity</w:t>
      </w:r>
      <w:r w:rsidR="00880C7F">
        <w:t xml:space="preserve">, Forfeiture Order, 29 FCC </w:t>
      </w:r>
      <w:r w:rsidR="0045162B">
        <w:t>R</w:t>
      </w:r>
      <w:r w:rsidR="00880C7F">
        <w:t>cd 1633, 1643, para. 29 (2014)</w:t>
      </w:r>
      <w:r w:rsidR="006A3EBF">
        <w:t xml:space="preserve"> (</w:t>
      </w:r>
      <w:r w:rsidR="006A3EBF">
        <w:rPr>
          <w:i/>
        </w:rPr>
        <w:t>Unipoint</w:t>
      </w:r>
      <w:r w:rsidR="006A3EBF">
        <w:t>)</w:t>
      </w:r>
      <w:r w:rsidR="002C6C4C">
        <w:t xml:space="preserve"> (citing </w:t>
      </w:r>
      <w:r w:rsidRPr="002C6C4C">
        <w:rPr>
          <w:i/>
        </w:rPr>
        <w:t>PJB</w:t>
      </w:r>
      <w:r w:rsidR="006A3EBF">
        <w:rPr>
          <w:i/>
        </w:rPr>
        <w:t xml:space="preserve"> Commc’ns of Virg</w:t>
      </w:r>
      <w:r w:rsidR="00F67B8D">
        <w:rPr>
          <w:i/>
        </w:rPr>
        <w:t>.</w:t>
      </w:r>
      <w:r w:rsidRPr="00BF0CB5">
        <w:rPr>
          <w:i/>
        </w:rPr>
        <w:t>, Inc</w:t>
      </w:r>
      <w:r w:rsidRPr="00BF0CB5">
        <w:t>., Memorandum Opinion and Order, 7 FCC Rcd 2088, 208</w:t>
      </w:r>
      <w:r w:rsidR="006A3EBF">
        <w:t>9</w:t>
      </w:r>
      <w:r w:rsidRPr="00BF0CB5">
        <w:t>, para. 8 (1992)</w:t>
      </w:r>
      <w:r w:rsidR="001D5D9C">
        <w:t xml:space="preserve"> (</w:t>
      </w:r>
      <w:r w:rsidR="001D5D9C">
        <w:rPr>
          <w:i/>
        </w:rPr>
        <w:t>PJB Communications</w:t>
      </w:r>
      <w:r w:rsidR="001D5D9C">
        <w:t>)</w:t>
      </w:r>
      <w:r w:rsidR="00880C7F">
        <w:t>)</w:t>
      </w:r>
      <w:r w:rsidR="006A3EBF">
        <w:t>;</w:t>
      </w:r>
      <w:r w:rsidR="00854000">
        <w:t xml:space="preserve"> </w:t>
      </w:r>
      <w:r w:rsidR="006A3EBF">
        <w:rPr>
          <w:i/>
        </w:rPr>
        <w:t>s</w:t>
      </w:r>
      <w:r w:rsidR="00854000">
        <w:rPr>
          <w:i/>
        </w:rPr>
        <w:t>ee also</w:t>
      </w:r>
      <w:r w:rsidR="00854000">
        <w:t xml:space="preserve"> </w:t>
      </w:r>
      <w:r w:rsidR="00854000">
        <w:rPr>
          <w:i/>
        </w:rPr>
        <w:t>Emigrant Storage LLC</w:t>
      </w:r>
      <w:r w:rsidR="00854000">
        <w:t>, Forfeiture Order,</w:t>
      </w:r>
      <w:r w:rsidR="006A3EBF">
        <w:t xml:space="preserve"> 29 FCC Rcd 3529, 3532, para. 7 (2014).</w:t>
      </w:r>
    </w:p>
  </w:footnote>
  <w:footnote w:id="41">
    <w:p w14:paraId="013BAACE" w14:textId="77777777" w:rsidR="00EE2EE1" w:rsidRPr="00854000" w:rsidRDefault="00EE2EE1">
      <w:pPr>
        <w:pStyle w:val="FootnoteText"/>
      </w:pPr>
      <w:r>
        <w:rPr>
          <w:rStyle w:val="FootnoteReference"/>
        </w:rPr>
        <w:footnoteRef/>
      </w:r>
      <w:r>
        <w:t xml:space="preserve"> </w:t>
      </w:r>
      <w:r w:rsidR="004538C1">
        <w:rPr>
          <w:i/>
        </w:rPr>
        <w:t>See</w:t>
      </w:r>
      <w:r w:rsidR="006A3EBF">
        <w:rPr>
          <w:i/>
        </w:rPr>
        <w:t xml:space="preserve"> Unipoint</w:t>
      </w:r>
      <w:r w:rsidR="006A3EBF">
        <w:t xml:space="preserve">, 29 FCC Rcd at </w:t>
      </w:r>
      <w:r w:rsidR="001D5D9C">
        <w:t xml:space="preserve">1643, para. 29 </w:t>
      </w:r>
      <w:r w:rsidR="004538C1">
        <w:t xml:space="preserve">(citing </w:t>
      </w:r>
      <w:r w:rsidR="004538C1" w:rsidRPr="002C6C4C">
        <w:rPr>
          <w:i/>
        </w:rPr>
        <w:t>PJB</w:t>
      </w:r>
      <w:r w:rsidR="001D5D9C">
        <w:rPr>
          <w:i/>
        </w:rPr>
        <w:t xml:space="preserve"> Communications</w:t>
      </w:r>
      <w:r w:rsidR="004538C1" w:rsidRPr="00BF0CB5">
        <w:t>,</w:t>
      </w:r>
      <w:r w:rsidR="004538C1">
        <w:t xml:space="preserve"> 7 FCC Rcd at 2089, para 8</w:t>
      </w:r>
      <w:r w:rsidR="001D5D9C">
        <w:t>)</w:t>
      </w:r>
      <w:r w:rsidR="004538C1">
        <w:t xml:space="preserve">; </w:t>
      </w:r>
      <w:r w:rsidR="004538C1">
        <w:rPr>
          <w:i/>
        </w:rPr>
        <w:t>see also Sunstar Travel &amp; Tours</w:t>
      </w:r>
      <w:r w:rsidR="001D5D9C">
        <w:rPr>
          <w:i/>
        </w:rPr>
        <w:t>, Inc.</w:t>
      </w:r>
      <w:r w:rsidR="004538C1">
        <w:t xml:space="preserve">, Forfeiture Order, 25 FCC Rcd </w:t>
      </w:r>
      <w:r w:rsidR="001D5D9C">
        <w:t>13804, 13808, para. 14 (2010)</w:t>
      </w:r>
      <w:r w:rsidR="004538C1">
        <w:t>.</w:t>
      </w:r>
      <w:r w:rsidR="00854000">
        <w:t xml:space="preserve">  </w:t>
      </w:r>
      <w:r w:rsidR="00854000">
        <w:rPr>
          <w:i/>
        </w:rPr>
        <w:t xml:space="preserve"> </w:t>
      </w:r>
    </w:p>
  </w:footnote>
  <w:footnote w:id="42">
    <w:p w14:paraId="69146146" w14:textId="77777777" w:rsidR="00DE5CFF" w:rsidRPr="007330A7" w:rsidRDefault="00DE5CFF" w:rsidP="00DE5CFF">
      <w:pPr>
        <w:pStyle w:val="FootnoteText"/>
        <w:rPr>
          <w:b/>
        </w:rPr>
      </w:pPr>
      <w:r w:rsidRPr="00473540">
        <w:rPr>
          <w:rStyle w:val="FootnoteReference"/>
        </w:rPr>
        <w:footnoteRef/>
      </w:r>
      <w:r w:rsidRPr="00473540">
        <w:t xml:space="preserve"> </w:t>
      </w:r>
      <w:r w:rsidRPr="00672E17">
        <w:rPr>
          <w:i/>
        </w:rPr>
        <w:t xml:space="preserve">See </w:t>
      </w:r>
      <w:r w:rsidRPr="00672E17">
        <w:t>Simple Network 2012</w:t>
      </w:r>
      <w:r w:rsidR="009C00AB">
        <w:t>–</w:t>
      </w:r>
      <w:r w:rsidRPr="00672E17">
        <w:t xml:space="preserve">2014 Tax Returns; </w:t>
      </w:r>
      <w:r w:rsidRPr="00672E17">
        <w:rPr>
          <w:i/>
        </w:rPr>
        <w:t>Unipoint</w:t>
      </w:r>
      <w:r w:rsidRPr="00672E17">
        <w:t>, 29 FCC Rcd at 1643, para. 30.</w:t>
      </w:r>
      <w:r>
        <w:t xml:space="preserve"> </w:t>
      </w:r>
      <w:r w:rsidR="00A309ED">
        <w:t xml:space="preserve"> In its response to the NAL, Simple Network asserted that a judgment entered against the Company affected its ability to pay the forfeiture penalty. </w:t>
      </w:r>
      <w:r w:rsidR="00380735">
        <w:t xml:space="preserve"> </w:t>
      </w:r>
      <w:r w:rsidR="00A309ED">
        <w:rPr>
          <w:i/>
        </w:rPr>
        <w:t>See Simple Network NAL Response</w:t>
      </w:r>
      <w:r w:rsidR="00A309ED">
        <w:t xml:space="preserve"> at 7.  </w:t>
      </w:r>
      <w:r w:rsidR="00380735">
        <w:t xml:space="preserve">When Bureau Staff requested a copy of the judgment, the Company informed Bureau Staff for the first time that the judgment had been resolved. </w:t>
      </w:r>
      <w:r w:rsidR="00D97ACE">
        <w:t xml:space="preserve"> </w:t>
      </w:r>
      <w:r w:rsidR="00803376">
        <w:rPr>
          <w:i/>
        </w:rPr>
        <w:t>See</w:t>
      </w:r>
      <w:r w:rsidR="00380735">
        <w:t xml:space="preserve"> </w:t>
      </w:r>
      <w:r w:rsidR="00803376">
        <w:t>Simple Network September 30, 2016 E-mail</w:t>
      </w:r>
      <w:r w:rsidR="00380735">
        <w:t xml:space="preserve">.  </w:t>
      </w:r>
      <w:r w:rsidR="00A309ED">
        <w:t xml:space="preserve">Bureau </w:t>
      </w:r>
      <w:r w:rsidR="00380735">
        <w:t xml:space="preserve">Staff also </w:t>
      </w:r>
      <w:r w:rsidR="00A309ED">
        <w:t xml:space="preserve">requested a copy of the Company’s 2015 tax return, which </w:t>
      </w:r>
      <w:r w:rsidR="00380735">
        <w:t xml:space="preserve">may have allowed us to consider the </w:t>
      </w:r>
      <w:r w:rsidR="00A309ED">
        <w:t xml:space="preserve">effect of the judgment </w:t>
      </w:r>
      <w:r w:rsidR="00380735">
        <w:t>on the Company’s economic position</w:t>
      </w:r>
      <w:r w:rsidR="00A770FF">
        <w:t>, and thus its ability to pay the forfeiture</w:t>
      </w:r>
      <w:r w:rsidR="00DA26C9">
        <w:t xml:space="preserve">.  </w:t>
      </w:r>
      <w:r w:rsidR="00383F7C">
        <w:rPr>
          <w:i/>
        </w:rPr>
        <w:t>See</w:t>
      </w:r>
      <w:r w:rsidR="00383F7C">
        <w:t xml:space="preserve"> E-mail from Pam Slipakoff, Attorney Advisor, FCC Enforcement Bureau, to Neil S. Ende,</w:t>
      </w:r>
      <w:r w:rsidR="00DA26C9">
        <w:t xml:space="preserve"> </w:t>
      </w:r>
      <w:r w:rsidR="00383F7C">
        <w:t xml:space="preserve">Technology Law Group, LLC, Counsel to Simple Network, Inc. (Oct. 4, 2016, 09:22 EDT) </w:t>
      </w:r>
      <w:r w:rsidR="00383F7C" w:rsidRPr="00383F7C">
        <w:t>(on file in EB-IHD-13-00011486)</w:t>
      </w:r>
      <w:r w:rsidR="00383F7C">
        <w:t>.</w:t>
      </w:r>
      <w:r w:rsidR="00DA26C9">
        <w:t xml:space="preserve"> </w:t>
      </w:r>
      <w:r w:rsidR="00383F7C">
        <w:t xml:space="preserve"> </w:t>
      </w:r>
      <w:r w:rsidR="00DA26C9">
        <w:t>Simple Network’s</w:t>
      </w:r>
      <w:r w:rsidR="00A770FF">
        <w:t xml:space="preserve"> </w:t>
      </w:r>
      <w:r w:rsidR="00A309ED">
        <w:t xml:space="preserve">counsel </w:t>
      </w:r>
      <w:r w:rsidR="0001479B">
        <w:t>declined</w:t>
      </w:r>
      <w:r w:rsidR="00A309ED">
        <w:t xml:space="preserve">, and </w:t>
      </w:r>
      <w:r w:rsidR="0001479B">
        <w:t xml:space="preserve">strictly </w:t>
      </w:r>
      <w:r w:rsidR="00A309ED">
        <w:t xml:space="preserve">offered to </w:t>
      </w:r>
      <w:r w:rsidR="00896775">
        <w:t>provide the 2015 tax return</w:t>
      </w:r>
      <w:r w:rsidR="0001479B">
        <w:t xml:space="preserve"> in the context of </w:t>
      </w:r>
      <w:r w:rsidR="00A309ED">
        <w:t xml:space="preserve">settlement </w:t>
      </w:r>
      <w:r w:rsidR="0001479B">
        <w:t>discussions</w:t>
      </w:r>
      <w:r w:rsidR="00A309ED">
        <w:t xml:space="preserve">. </w:t>
      </w:r>
      <w:r w:rsidR="00A309ED">
        <w:rPr>
          <w:i/>
        </w:rPr>
        <w:t>See</w:t>
      </w:r>
      <w:r w:rsidR="00A309ED">
        <w:t xml:space="preserve"> E-mail from Neil S. Ende, Technology Law Group, LLC, Counsel to Simple Network, Inc., to Pam Slipakoff, Attorney Advisor, FCC Enforcement Bureau (Oct. 4, 2016, 10:28 EDT) (on </w:t>
      </w:r>
      <w:r w:rsidR="00A309ED" w:rsidRPr="00733DE7">
        <w:t xml:space="preserve">file in </w:t>
      </w:r>
      <w:r w:rsidR="00A309ED" w:rsidRPr="00733DE7">
        <w:rPr>
          <w:spacing w:val="-2"/>
        </w:rPr>
        <w:t>EB-IHD-13-00011486</w:t>
      </w:r>
      <w:r w:rsidR="00A309ED" w:rsidRPr="00733DE7">
        <w:t>)</w:t>
      </w:r>
      <w:r w:rsidR="00A309ED">
        <w:t xml:space="preserve">.  </w:t>
      </w:r>
      <w:r w:rsidR="00A770FF">
        <w:t xml:space="preserve">Thus, </w:t>
      </w:r>
      <w:r w:rsidR="00A309ED">
        <w:t xml:space="preserve">Simple Network </w:t>
      </w:r>
      <w:r w:rsidR="00A770FF">
        <w:t>failed to provide documentation</w:t>
      </w:r>
      <w:r w:rsidR="00661CAD">
        <w:t xml:space="preserve"> sufficient</w:t>
      </w:r>
      <w:r w:rsidR="00A770FF">
        <w:t xml:space="preserve"> to </w:t>
      </w:r>
      <w:r w:rsidR="00A309ED">
        <w:t>support its assertion that it was unable to pay the forfeiture penalty.</w:t>
      </w:r>
    </w:p>
  </w:footnote>
  <w:footnote w:id="43">
    <w:p w14:paraId="4DE49C5D" w14:textId="77777777" w:rsidR="00565522" w:rsidRPr="00394262" w:rsidRDefault="00565522" w:rsidP="00565522">
      <w:pPr>
        <w:pStyle w:val="FootnoteText"/>
      </w:pPr>
      <w:r w:rsidRPr="006A5830">
        <w:rPr>
          <w:rStyle w:val="FootnoteReference"/>
        </w:rPr>
        <w:footnoteRef/>
      </w:r>
      <w:r w:rsidRPr="006A5830">
        <w:t xml:space="preserve"> </w:t>
      </w:r>
      <w:r w:rsidRPr="00694655">
        <w:rPr>
          <w:i/>
        </w:rPr>
        <w:t>See</w:t>
      </w:r>
      <w:r w:rsidRPr="00694655">
        <w:t xml:space="preserve"> </w:t>
      </w:r>
      <w:r w:rsidRPr="00694655">
        <w:rPr>
          <w:i/>
        </w:rPr>
        <w:t>Side By Side, Inc.</w:t>
      </w:r>
      <w:r w:rsidRPr="00694655">
        <w:t xml:space="preserve">, Forfeiture Order, 23 FCC Rcd 7393, 7395–96, para. 8 &amp; n.25 (EB-SED 2008), </w:t>
      </w:r>
      <w:r w:rsidRPr="00694655">
        <w:rPr>
          <w:i/>
        </w:rPr>
        <w:t>aff’d</w:t>
      </w:r>
      <w:r w:rsidRPr="00694655">
        <w:t>, 27 FCC Rcd 11132, 11136</w:t>
      </w:r>
      <w:r w:rsidR="009C00AB">
        <w:t>–</w:t>
      </w:r>
      <w:r w:rsidRPr="00694655">
        <w:t>37, para. 9 (EB 2012) (</w:t>
      </w:r>
      <w:r w:rsidRPr="00694655">
        <w:rPr>
          <w:i/>
        </w:rPr>
        <w:t>Side By Side</w:t>
      </w:r>
      <w:r w:rsidRPr="00694655">
        <w:t xml:space="preserve">); </w:t>
      </w:r>
      <w:r w:rsidRPr="00694655">
        <w:rPr>
          <w:i/>
        </w:rPr>
        <w:t>see also</w:t>
      </w:r>
      <w:r w:rsidRPr="00694655">
        <w:t xml:space="preserve"> </w:t>
      </w:r>
      <w:r w:rsidRPr="00694655">
        <w:rPr>
          <w:i/>
        </w:rPr>
        <w:t>Unipoint</w:t>
      </w:r>
      <w:r w:rsidRPr="00694655">
        <w:t>, 29 FCC Rcd at 1643, para. 30.</w:t>
      </w:r>
    </w:p>
  </w:footnote>
  <w:footnote w:id="44">
    <w:p w14:paraId="564F6A3C" w14:textId="77777777" w:rsidR="000E5B03" w:rsidRPr="008323C8" w:rsidRDefault="000E5B03" w:rsidP="000E5B03">
      <w:pPr>
        <w:pStyle w:val="FootnoteText"/>
      </w:pPr>
      <w:r w:rsidRPr="00330472">
        <w:rPr>
          <w:rStyle w:val="FootnoteReference"/>
        </w:rPr>
        <w:footnoteRef/>
      </w:r>
      <w:r w:rsidRPr="00330472">
        <w:t xml:space="preserve"> </w:t>
      </w:r>
      <w:r>
        <w:rPr>
          <w:i/>
        </w:rPr>
        <w:t>See, e.g.</w:t>
      </w:r>
      <w:r w:rsidRPr="00394262">
        <w:t>,</w:t>
      </w:r>
      <w:r w:rsidR="008323C8">
        <w:t xml:space="preserve"> </w:t>
      </w:r>
      <w:r w:rsidR="008323C8">
        <w:rPr>
          <w:i/>
        </w:rPr>
        <w:t>Side By Side</w:t>
      </w:r>
      <w:r w:rsidR="008323C8">
        <w:t>, 23 FCC Rcd at 7395</w:t>
      </w:r>
      <w:r w:rsidR="009C00AB">
        <w:t>–</w:t>
      </w:r>
      <w:r w:rsidR="008323C8">
        <w:t>96, para. 8</w:t>
      </w:r>
      <w:r w:rsidRPr="00394262">
        <w:t xml:space="preserve"> </w:t>
      </w:r>
      <w:r>
        <w:t>(</w:t>
      </w:r>
      <w:r w:rsidRPr="008323C8">
        <w:t xml:space="preserve">citing </w:t>
      </w:r>
      <w:r w:rsidRPr="00330472">
        <w:rPr>
          <w:i/>
        </w:rPr>
        <w:t>Frank Neely</w:t>
      </w:r>
      <w:r w:rsidRPr="00330472">
        <w:t xml:space="preserve">, Memorandum Opinion and Order, 22 FCC Rcd 1434, </w:t>
      </w:r>
      <w:r w:rsidR="008323C8">
        <w:t>1436, para. 8 (EB</w:t>
      </w:r>
      <w:r w:rsidRPr="00330472">
        <w:t xml:space="preserve"> 2007)</w:t>
      </w:r>
      <w:r>
        <w:t>)</w:t>
      </w:r>
      <w:r w:rsidR="008323C8">
        <w:t xml:space="preserve">; </w:t>
      </w:r>
      <w:r w:rsidR="008323C8">
        <w:rPr>
          <w:i/>
        </w:rPr>
        <w:t>see also</w:t>
      </w:r>
      <w:r w:rsidR="008323C8" w:rsidRPr="008323C8">
        <w:rPr>
          <w:i/>
        </w:rPr>
        <w:t xml:space="preserve"> </w:t>
      </w:r>
      <w:r w:rsidR="008323C8">
        <w:rPr>
          <w:i/>
        </w:rPr>
        <w:t>Unipoint</w:t>
      </w:r>
      <w:r w:rsidR="008323C8">
        <w:t>, 29 FCC Rcd at 1643, para. 31.</w:t>
      </w:r>
    </w:p>
  </w:footnote>
  <w:footnote w:id="45">
    <w:p w14:paraId="3FAB6074" w14:textId="77777777" w:rsidR="000E5B03" w:rsidRDefault="000E5B03" w:rsidP="000E5B03">
      <w:pPr>
        <w:pStyle w:val="FootnoteText"/>
      </w:pPr>
      <w:r w:rsidRPr="006C29EE">
        <w:rPr>
          <w:rStyle w:val="FootnoteReference"/>
        </w:rPr>
        <w:footnoteRef/>
      </w:r>
      <w:r w:rsidRPr="006C29EE">
        <w:t xml:space="preserve"> </w:t>
      </w:r>
      <w:r w:rsidR="009D6E43">
        <w:rPr>
          <w:i/>
        </w:rPr>
        <w:t>See Radio X Broad</w:t>
      </w:r>
      <w:r w:rsidR="00F67B8D">
        <w:rPr>
          <w:i/>
        </w:rPr>
        <w:t>.</w:t>
      </w:r>
      <w:r w:rsidRPr="006C29EE">
        <w:rPr>
          <w:i/>
        </w:rPr>
        <w:t xml:space="preserve"> Corp.</w:t>
      </w:r>
      <w:r w:rsidRPr="006C29EE">
        <w:t>, Memorandum Opinion and Order, 21 FCC Rcd 12209, 12217,</w:t>
      </w:r>
      <w:r>
        <w:t xml:space="preserve"> </w:t>
      </w:r>
      <w:r w:rsidRPr="006C29EE">
        <w:t xml:space="preserve">para. 19 </w:t>
      </w:r>
      <w:r>
        <w:t xml:space="preserve">(2006) </w:t>
      </w:r>
      <w:r w:rsidRPr="006C29EE">
        <w:t>(</w:t>
      </w:r>
      <w:r>
        <w:t xml:space="preserve">quoting </w:t>
      </w:r>
      <w:r w:rsidRPr="006C29EE">
        <w:t>S. Rep. No. 580, 95th Cong. 1st Sess. 3 (1978), reprinte</w:t>
      </w:r>
      <w:r w:rsidR="009D6E43">
        <w:t>d in 1978 U.S.C.C.A.N. 109, 111</w:t>
      </w:r>
      <w:r>
        <w:t>)</w:t>
      </w:r>
      <w:r w:rsidRPr="006C29EE">
        <w:t xml:space="preserve">.  </w:t>
      </w:r>
    </w:p>
  </w:footnote>
  <w:footnote w:id="46">
    <w:p w14:paraId="2CA0281F" w14:textId="77777777" w:rsidR="005A7904" w:rsidRPr="00733DE7" w:rsidRDefault="005A7904" w:rsidP="005A7904">
      <w:pPr>
        <w:pStyle w:val="FootnoteText"/>
      </w:pPr>
      <w:r w:rsidRPr="00733DE7">
        <w:rPr>
          <w:rStyle w:val="FootnoteReference"/>
        </w:rPr>
        <w:footnoteRef/>
      </w:r>
      <w:r w:rsidRPr="00733DE7">
        <w:t xml:space="preserve"> 47 U.S.C. § 503(b).</w:t>
      </w:r>
    </w:p>
  </w:footnote>
  <w:footnote w:id="47">
    <w:p w14:paraId="172FE8E8" w14:textId="532D2662" w:rsidR="005A7904" w:rsidRPr="00733DE7" w:rsidRDefault="005A7904" w:rsidP="005A7904">
      <w:pPr>
        <w:pStyle w:val="FootnoteText"/>
      </w:pPr>
      <w:r w:rsidRPr="00733DE7">
        <w:rPr>
          <w:rStyle w:val="FootnoteReference"/>
        </w:rPr>
        <w:footnoteRef/>
      </w:r>
      <w:r w:rsidRPr="00733DE7">
        <w:t xml:space="preserve"> 47 CFR § 1.80.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0092E" w14:textId="77777777" w:rsidR="00035A03" w:rsidRDefault="00035A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EF96B" w14:textId="77777777" w:rsidR="00533F56" w:rsidRDefault="005707E5" w:rsidP="005707E5">
    <w:pPr>
      <w:tabs>
        <w:tab w:val="left" w:pos="4410"/>
      </w:tabs>
      <w:suppressAutoHyphens/>
      <w:ind w:left="720" w:firstLine="720"/>
      <w:rPr>
        <w:b/>
      </w:rPr>
    </w:pPr>
    <w:r>
      <w:rPr>
        <w:b/>
      </w:rPr>
      <w:t xml:space="preserve">                           </w:t>
    </w:r>
    <w:r w:rsidR="00533F56">
      <w:rPr>
        <w:b/>
      </w:rPr>
      <w:t xml:space="preserve">Federal Communications Commission               </w:t>
    </w:r>
    <w:r>
      <w:rPr>
        <w:b/>
      </w:rPr>
      <w:t xml:space="preserve">               </w:t>
    </w:r>
    <w:r w:rsidR="009E0F1D">
      <w:rPr>
        <w:b/>
      </w:rPr>
      <w:t>DA 16-1196</w:t>
    </w:r>
  </w:p>
  <w:p w14:paraId="11833745" w14:textId="77777777" w:rsidR="00533F56" w:rsidRDefault="00533F56" w:rsidP="00533F56">
    <w:pPr>
      <w:tabs>
        <w:tab w:val="left" w:pos="-720"/>
      </w:tabs>
      <w:suppressAutoHyphens/>
      <w:spacing w:line="19" w:lineRule="exact"/>
      <w:jc w:val="both"/>
      <w:rPr>
        <w:spacing w:val="-2"/>
      </w:rPr>
    </w:pPr>
    <w:r>
      <w:rPr>
        <w:noProof/>
      </w:rPr>
      <mc:AlternateContent>
        <mc:Choice Requires="wps">
          <w:drawing>
            <wp:anchor distT="0" distB="0" distL="114300" distR="114300" simplePos="0" relativeHeight="251661312" behindDoc="1" locked="0" layoutInCell="0" allowOverlap="1" wp14:anchorId="1112ADDB" wp14:editId="14A46C93">
              <wp:simplePos x="0" y="0"/>
              <wp:positionH relativeFrom="margin">
                <wp:posOffset>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8CDD82" w14:textId="77777777" w:rsidR="00533F56" w:rsidRDefault="00533F56" w:rsidP="00533F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0;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fo7AIAAD0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Cs1tfo7AIAAD0GAAAOAAAAAAAA&#10;AAAAAAAAAC4CAABkcnMvZTJvRG9jLnhtbFBLAQItABQABgAIAAAAIQAiPO7R1wAAAAMBAAAPAAAA&#10;AAAAAAAAAAAAAEYFAABkcnMvZG93bnJldi54bWxQSwUGAAAAAAQABADzAAAASgYAAAAA&#10;" o:allowincell="f" fillcolor="black" stroked="f" strokeweight=".05pt">
              <v:textbox>
                <w:txbxContent>
                  <w:p w14:paraId="708CDD82" w14:textId="77777777" w:rsidR="00533F56" w:rsidRDefault="00533F56" w:rsidP="00533F56"/>
                </w:txbxContent>
              </v:textbox>
              <w10:wrap anchorx="margin"/>
            </v:rect>
          </w:pict>
        </mc:Fallback>
      </mc:AlternateContent>
    </w:r>
  </w:p>
  <w:p w14:paraId="671AA602" w14:textId="77777777" w:rsidR="00860FC2" w:rsidRDefault="005877A5" w:rsidP="00AD2429">
    <w:pPr>
      <w:pStyle w:val="Heading2"/>
      <w:numPr>
        <w:ilvl w:val="0"/>
        <w:numId w:val="0"/>
      </w:num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589C" w14:textId="77777777" w:rsidR="00860FC2" w:rsidRDefault="005707E5" w:rsidP="00533F56">
    <w:pPr>
      <w:tabs>
        <w:tab w:val="left" w:pos="-720"/>
      </w:tabs>
      <w:suppressAutoHyphens/>
      <w:rPr>
        <w:b/>
      </w:rPr>
    </w:pPr>
    <w:r>
      <w:rPr>
        <w:b/>
      </w:rPr>
      <w:t xml:space="preserve">                                                 </w:t>
    </w:r>
    <w:r w:rsidR="005A7904">
      <w:rPr>
        <w:b/>
      </w:rPr>
      <w:t xml:space="preserve">     Federal Communications Commission               </w:t>
    </w:r>
    <w:r w:rsidR="00533F56">
      <w:rPr>
        <w:b/>
      </w:rPr>
      <w:tab/>
    </w:r>
    <w:r>
      <w:rPr>
        <w:b/>
      </w:rPr>
      <w:t xml:space="preserve">     </w:t>
    </w:r>
    <w:r w:rsidR="005A7904">
      <w:rPr>
        <w:b/>
      </w:rPr>
      <w:t>DA</w:t>
    </w:r>
    <w:r w:rsidR="009E0F1D">
      <w:rPr>
        <w:b/>
      </w:rPr>
      <w:t xml:space="preserve"> 16-1196</w:t>
    </w:r>
  </w:p>
  <w:p w14:paraId="65D22B2A" w14:textId="77777777" w:rsidR="00860FC2" w:rsidRDefault="005A7904">
    <w:pPr>
      <w:tabs>
        <w:tab w:val="left" w:pos="-720"/>
      </w:tabs>
      <w:suppressAutoHyphens/>
      <w:spacing w:line="19" w:lineRule="exact"/>
      <w:jc w:val="both"/>
      <w:rPr>
        <w:spacing w:val="-2"/>
      </w:rPr>
    </w:pPr>
    <w:r>
      <w:rPr>
        <w:noProof/>
      </w:rPr>
      <mc:AlternateContent>
        <mc:Choice Requires="wps">
          <w:drawing>
            <wp:anchor distT="0" distB="0" distL="114300" distR="114300" simplePos="0" relativeHeight="251659264" behindDoc="1" locked="0" layoutInCell="0" allowOverlap="1" wp14:anchorId="02E5F7DB" wp14:editId="4B6245BA">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80DC4B" w14:textId="77777777" w:rsidR="00860FC2" w:rsidRDefault="005877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Wq7wIAAEQ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" o:allowincell="f" fillcolor="black" stroked="f" strokeweight=".05pt">
              <v:textbox>
                <w:txbxContent>
                  <w:p w14:paraId="0D80DC4B" w14:textId="77777777" w:rsidR="00860FC2" w:rsidRDefault="005877A5"/>
                </w:txbxContent>
              </v:textbox>
              <w10:wrap anchorx="margin"/>
            </v:rect>
          </w:pict>
        </mc:Fallback>
      </mc:AlternateContent>
    </w:r>
  </w:p>
  <w:p w14:paraId="238FCEA3" w14:textId="77777777" w:rsidR="00860FC2" w:rsidRDefault="005877A5">
    <w:pPr>
      <w:pStyle w:val="Head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9943FF0"/>
    <w:multiLevelType w:val="hybridMultilevel"/>
    <w:tmpl w:val="DFF8C5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28E1E95"/>
    <w:multiLevelType w:val="singleLevel"/>
    <w:tmpl w:val="04090001"/>
    <w:lvl w:ilvl="0">
      <w:start w:val="1"/>
      <w:numFmt w:val="bullet"/>
      <w:lvlText w:val=""/>
      <w:lvlJc w:val="left"/>
      <w:pPr>
        <w:ind w:left="1170" w:hanging="360"/>
      </w:pPr>
      <w:rPr>
        <w:rFonts w:ascii="Symbol" w:hAnsi="Symbol" w:hint="default"/>
      </w:rPr>
    </w:lvl>
  </w:abstractNum>
  <w:abstractNum w:abstractNumId="8">
    <w:nsid w:val="6734152A"/>
    <w:multiLevelType w:val="hybridMultilevel"/>
    <w:tmpl w:val="4F70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AA491E"/>
    <w:multiLevelType w:val="hybridMultilevel"/>
    <w:tmpl w:val="DFF8C5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8"/>
  </w:num>
  <w:num w:numId="5">
    <w:abstractNumId w:val="6"/>
  </w:num>
  <w:num w:numId="6">
    <w:abstractNumId w:val="5"/>
  </w:num>
  <w:num w:numId="7">
    <w:abstractNumId w:val="9"/>
  </w:num>
  <w:num w:numId="8">
    <w:abstractNumId w:val="1"/>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D2"/>
    <w:rsid w:val="00003921"/>
    <w:rsid w:val="000050C0"/>
    <w:rsid w:val="000107DE"/>
    <w:rsid w:val="00010C8F"/>
    <w:rsid w:val="0001479B"/>
    <w:rsid w:val="00025F30"/>
    <w:rsid w:val="0003521D"/>
    <w:rsid w:val="00035A03"/>
    <w:rsid w:val="0004460E"/>
    <w:rsid w:val="00056FF1"/>
    <w:rsid w:val="00057CA5"/>
    <w:rsid w:val="00064130"/>
    <w:rsid w:val="000725E3"/>
    <w:rsid w:val="0009402E"/>
    <w:rsid w:val="000A21E7"/>
    <w:rsid w:val="000A4A2E"/>
    <w:rsid w:val="000A68FF"/>
    <w:rsid w:val="000B244F"/>
    <w:rsid w:val="000B420B"/>
    <w:rsid w:val="000B7C5E"/>
    <w:rsid w:val="000C102D"/>
    <w:rsid w:val="000C3B45"/>
    <w:rsid w:val="000C7426"/>
    <w:rsid w:val="000E1059"/>
    <w:rsid w:val="000E5B03"/>
    <w:rsid w:val="000E5B21"/>
    <w:rsid w:val="000E6599"/>
    <w:rsid w:val="000E710C"/>
    <w:rsid w:val="000F2CF0"/>
    <w:rsid w:val="00103ADC"/>
    <w:rsid w:val="001130D3"/>
    <w:rsid w:val="00114FD8"/>
    <w:rsid w:val="00121B1D"/>
    <w:rsid w:val="00123B53"/>
    <w:rsid w:val="00133A9A"/>
    <w:rsid w:val="001440D1"/>
    <w:rsid w:val="001522A6"/>
    <w:rsid w:val="00153B77"/>
    <w:rsid w:val="00163E2A"/>
    <w:rsid w:val="00165DE8"/>
    <w:rsid w:val="001A1439"/>
    <w:rsid w:val="001A16E5"/>
    <w:rsid w:val="001A7D7A"/>
    <w:rsid w:val="001B0382"/>
    <w:rsid w:val="001B07F6"/>
    <w:rsid w:val="001B6B51"/>
    <w:rsid w:val="001C4D55"/>
    <w:rsid w:val="001D315C"/>
    <w:rsid w:val="001D5D9C"/>
    <w:rsid w:val="001D79A6"/>
    <w:rsid w:val="001F21A9"/>
    <w:rsid w:val="001F39F2"/>
    <w:rsid w:val="001F5479"/>
    <w:rsid w:val="00201B59"/>
    <w:rsid w:val="00202064"/>
    <w:rsid w:val="002045A3"/>
    <w:rsid w:val="0021141A"/>
    <w:rsid w:val="00234166"/>
    <w:rsid w:val="00234505"/>
    <w:rsid w:val="00236618"/>
    <w:rsid w:val="002408E5"/>
    <w:rsid w:val="0024357A"/>
    <w:rsid w:val="00245280"/>
    <w:rsid w:val="00245C63"/>
    <w:rsid w:val="00246051"/>
    <w:rsid w:val="00247E37"/>
    <w:rsid w:val="002571D0"/>
    <w:rsid w:val="002672C0"/>
    <w:rsid w:val="00270161"/>
    <w:rsid w:val="002757C0"/>
    <w:rsid w:val="00283CE7"/>
    <w:rsid w:val="00290DFC"/>
    <w:rsid w:val="00290F37"/>
    <w:rsid w:val="002928A0"/>
    <w:rsid w:val="002A2E26"/>
    <w:rsid w:val="002B3605"/>
    <w:rsid w:val="002B4090"/>
    <w:rsid w:val="002B7439"/>
    <w:rsid w:val="002B7C38"/>
    <w:rsid w:val="002C2F1A"/>
    <w:rsid w:val="002C6C4C"/>
    <w:rsid w:val="002D267F"/>
    <w:rsid w:val="002D7ECC"/>
    <w:rsid w:val="002E281E"/>
    <w:rsid w:val="002E3057"/>
    <w:rsid w:val="002E3735"/>
    <w:rsid w:val="002E53D4"/>
    <w:rsid w:val="003005D2"/>
    <w:rsid w:val="003015AB"/>
    <w:rsid w:val="00311B80"/>
    <w:rsid w:val="003231F0"/>
    <w:rsid w:val="0032564E"/>
    <w:rsid w:val="00333610"/>
    <w:rsid w:val="003356AB"/>
    <w:rsid w:val="00336B68"/>
    <w:rsid w:val="00350EBF"/>
    <w:rsid w:val="00351CB8"/>
    <w:rsid w:val="00363B5A"/>
    <w:rsid w:val="003662D2"/>
    <w:rsid w:val="00371594"/>
    <w:rsid w:val="00372509"/>
    <w:rsid w:val="00375144"/>
    <w:rsid w:val="00377354"/>
    <w:rsid w:val="00380735"/>
    <w:rsid w:val="00381C17"/>
    <w:rsid w:val="00383F7C"/>
    <w:rsid w:val="003864A3"/>
    <w:rsid w:val="00390C47"/>
    <w:rsid w:val="003934E7"/>
    <w:rsid w:val="00394262"/>
    <w:rsid w:val="003A6852"/>
    <w:rsid w:val="003B7CD5"/>
    <w:rsid w:val="003B7EF9"/>
    <w:rsid w:val="003C1353"/>
    <w:rsid w:val="003C2741"/>
    <w:rsid w:val="003C48C7"/>
    <w:rsid w:val="003C492D"/>
    <w:rsid w:val="003D0793"/>
    <w:rsid w:val="003D2983"/>
    <w:rsid w:val="003F400A"/>
    <w:rsid w:val="0040064C"/>
    <w:rsid w:val="00403E48"/>
    <w:rsid w:val="004105FB"/>
    <w:rsid w:val="004125F9"/>
    <w:rsid w:val="00427900"/>
    <w:rsid w:val="004343A7"/>
    <w:rsid w:val="00435CB8"/>
    <w:rsid w:val="00445854"/>
    <w:rsid w:val="00447FB5"/>
    <w:rsid w:val="004515D1"/>
    <w:rsid w:val="0045162B"/>
    <w:rsid w:val="00453218"/>
    <w:rsid w:val="004538C1"/>
    <w:rsid w:val="00454114"/>
    <w:rsid w:val="004566C7"/>
    <w:rsid w:val="00470E7E"/>
    <w:rsid w:val="004710D7"/>
    <w:rsid w:val="00471A4D"/>
    <w:rsid w:val="00473540"/>
    <w:rsid w:val="00482BEC"/>
    <w:rsid w:val="00483616"/>
    <w:rsid w:val="00487FE5"/>
    <w:rsid w:val="004900B6"/>
    <w:rsid w:val="00494FDA"/>
    <w:rsid w:val="004962E6"/>
    <w:rsid w:val="004B3624"/>
    <w:rsid w:val="004B7FB1"/>
    <w:rsid w:val="004C61BE"/>
    <w:rsid w:val="004D3A12"/>
    <w:rsid w:val="004E144C"/>
    <w:rsid w:val="004E32BB"/>
    <w:rsid w:val="004E6486"/>
    <w:rsid w:val="00504E3D"/>
    <w:rsid w:val="00507A46"/>
    <w:rsid w:val="00514502"/>
    <w:rsid w:val="00521719"/>
    <w:rsid w:val="005255D1"/>
    <w:rsid w:val="00533F56"/>
    <w:rsid w:val="00536043"/>
    <w:rsid w:val="005361FA"/>
    <w:rsid w:val="005371DB"/>
    <w:rsid w:val="005473A0"/>
    <w:rsid w:val="00550D2F"/>
    <w:rsid w:val="00565522"/>
    <w:rsid w:val="005707E5"/>
    <w:rsid w:val="00572896"/>
    <w:rsid w:val="005828F9"/>
    <w:rsid w:val="005877A5"/>
    <w:rsid w:val="005962E3"/>
    <w:rsid w:val="005A6346"/>
    <w:rsid w:val="005A7602"/>
    <w:rsid w:val="005A7904"/>
    <w:rsid w:val="005B0092"/>
    <w:rsid w:val="005C0D59"/>
    <w:rsid w:val="005C2EC0"/>
    <w:rsid w:val="005E4F25"/>
    <w:rsid w:val="005E69AB"/>
    <w:rsid w:val="005F2AE5"/>
    <w:rsid w:val="005F2C55"/>
    <w:rsid w:val="005F42CB"/>
    <w:rsid w:val="0060223E"/>
    <w:rsid w:val="00602E69"/>
    <w:rsid w:val="006101ED"/>
    <w:rsid w:val="006156F7"/>
    <w:rsid w:val="00616DEF"/>
    <w:rsid w:val="006232D8"/>
    <w:rsid w:val="0062724D"/>
    <w:rsid w:val="00630E05"/>
    <w:rsid w:val="00644134"/>
    <w:rsid w:val="00655915"/>
    <w:rsid w:val="00661CAD"/>
    <w:rsid w:val="00662127"/>
    <w:rsid w:val="00663AD8"/>
    <w:rsid w:val="00663C8B"/>
    <w:rsid w:val="006708A9"/>
    <w:rsid w:val="00670DC0"/>
    <w:rsid w:val="00672E17"/>
    <w:rsid w:val="00674903"/>
    <w:rsid w:val="00674E95"/>
    <w:rsid w:val="006761B1"/>
    <w:rsid w:val="0067694C"/>
    <w:rsid w:val="00681468"/>
    <w:rsid w:val="00687D37"/>
    <w:rsid w:val="00691401"/>
    <w:rsid w:val="00693A6D"/>
    <w:rsid w:val="00694655"/>
    <w:rsid w:val="006A3EBF"/>
    <w:rsid w:val="006A4FA0"/>
    <w:rsid w:val="006A5830"/>
    <w:rsid w:val="006A68F8"/>
    <w:rsid w:val="006C519D"/>
    <w:rsid w:val="006D3FC4"/>
    <w:rsid w:val="006D5461"/>
    <w:rsid w:val="006F25C6"/>
    <w:rsid w:val="0070040F"/>
    <w:rsid w:val="00703217"/>
    <w:rsid w:val="00705FF8"/>
    <w:rsid w:val="00707D39"/>
    <w:rsid w:val="007229AE"/>
    <w:rsid w:val="00723676"/>
    <w:rsid w:val="00726234"/>
    <w:rsid w:val="00726FAB"/>
    <w:rsid w:val="007274B5"/>
    <w:rsid w:val="0073102E"/>
    <w:rsid w:val="007330A7"/>
    <w:rsid w:val="00733DE7"/>
    <w:rsid w:val="0073526F"/>
    <w:rsid w:val="00735DCC"/>
    <w:rsid w:val="00743464"/>
    <w:rsid w:val="007439A7"/>
    <w:rsid w:val="007540A9"/>
    <w:rsid w:val="00756B6B"/>
    <w:rsid w:val="007666FB"/>
    <w:rsid w:val="00766742"/>
    <w:rsid w:val="0077332D"/>
    <w:rsid w:val="00773F28"/>
    <w:rsid w:val="00776167"/>
    <w:rsid w:val="0078377E"/>
    <w:rsid w:val="00794496"/>
    <w:rsid w:val="00796BB8"/>
    <w:rsid w:val="007971B1"/>
    <w:rsid w:val="007A4BA5"/>
    <w:rsid w:val="007A595E"/>
    <w:rsid w:val="007B09B6"/>
    <w:rsid w:val="007B1FD3"/>
    <w:rsid w:val="007B32A2"/>
    <w:rsid w:val="007C1C14"/>
    <w:rsid w:val="007C796A"/>
    <w:rsid w:val="007D58A5"/>
    <w:rsid w:val="007D608E"/>
    <w:rsid w:val="007D7AEE"/>
    <w:rsid w:val="007E5A79"/>
    <w:rsid w:val="007F7D95"/>
    <w:rsid w:val="00802541"/>
    <w:rsid w:val="00803376"/>
    <w:rsid w:val="00804413"/>
    <w:rsid w:val="00810795"/>
    <w:rsid w:val="0081428E"/>
    <w:rsid w:val="00814E1A"/>
    <w:rsid w:val="00817887"/>
    <w:rsid w:val="008323C8"/>
    <w:rsid w:val="008375E5"/>
    <w:rsid w:val="00837D08"/>
    <w:rsid w:val="0085000D"/>
    <w:rsid w:val="00854000"/>
    <w:rsid w:val="008542BE"/>
    <w:rsid w:val="00855886"/>
    <w:rsid w:val="00864EF7"/>
    <w:rsid w:val="00870C64"/>
    <w:rsid w:val="00880C7F"/>
    <w:rsid w:val="00886978"/>
    <w:rsid w:val="00887F82"/>
    <w:rsid w:val="008908FB"/>
    <w:rsid w:val="0089328A"/>
    <w:rsid w:val="00896775"/>
    <w:rsid w:val="008A12E9"/>
    <w:rsid w:val="008A4268"/>
    <w:rsid w:val="008A58F3"/>
    <w:rsid w:val="008C4872"/>
    <w:rsid w:val="008D10B7"/>
    <w:rsid w:val="008D30AB"/>
    <w:rsid w:val="008E1274"/>
    <w:rsid w:val="008F1F0A"/>
    <w:rsid w:val="008F3DFA"/>
    <w:rsid w:val="00900DE5"/>
    <w:rsid w:val="00900E0F"/>
    <w:rsid w:val="00904AF4"/>
    <w:rsid w:val="00936D19"/>
    <w:rsid w:val="009461DC"/>
    <w:rsid w:val="00950144"/>
    <w:rsid w:val="009572AE"/>
    <w:rsid w:val="009629BE"/>
    <w:rsid w:val="00966379"/>
    <w:rsid w:val="00987CA1"/>
    <w:rsid w:val="00990020"/>
    <w:rsid w:val="009A0E32"/>
    <w:rsid w:val="009A0F06"/>
    <w:rsid w:val="009A337A"/>
    <w:rsid w:val="009C00AB"/>
    <w:rsid w:val="009C7322"/>
    <w:rsid w:val="009D0777"/>
    <w:rsid w:val="009D1CA5"/>
    <w:rsid w:val="009D6653"/>
    <w:rsid w:val="009D697F"/>
    <w:rsid w:val="009D6E43"/>
    <w:rsid w:val="009E0F1D"/>
    <w:rsid w:val="009E3644"/>
    <w:rsid w:val="009E639D"/>
    <w:rsid w:val="009F667F"/>
    <w:rsid w:val="009F7DD3"/>
    <w:rsid w:val="00A00366"/>
    <w:rsid w:val="00A00C72"/>
    <w:rsid w:val="00A06B11"/>
    <w:rsid w:val="00A111F3"/>
    <w:rsid w:val="00A2164E"/>
    <w:rsid w:val="00A27CB8"/>
    <w:rsid w:val="00A309ED"/>
    <w:rsid w:val="00A31068"/>
    <w:rsid w:val="00A54CFF"/>
    <w:rsid w:val="00A57F8A"/>
    <w:rsid w:val="00A6044B"/>
    <w:rsid w:val="00A72866"/>
    <w:rsid w:val="00A7350F"/>
    <w:rsid w:val="00A73B81"/>
    <w:rsid w:val="00A743DC"/>
    <w:rsid w:val="00A770FF"/>
    <w:rsid w:val="00A775AA"/>
    <w:rsid w:val="00A77C65"/>
    <w:rsid w:val="00A83297"/>
    <w:rsid w:val="00A9112A"/>
    <w:rsid w:val="00A96826"/>
    <w:rsid w:val="00A975E3"/>
    <w:rsid w:val="00A97C82"/>
    <w:rsid w:val="00AB028C"/>
    <w:rsid w:val="00AB3C11"/>
    <w:rsid w:val="00AB4E6B"/>
    <w:rsid w:val="00AC10C4"/>
    <w:rsid w:val="00AC5641"/>
    <w:rsid w:val="00AC74CE"/>
    <w:rsid w:val="00AD034A"/>
    <w:rsid w:val="00AD2121"/>
    <w:rsid w:val="00AD2429"/>
    <w:rsid w:val="00AD5D7E"/>
    <w:rsid w:val="00B02744"/>
    <w:rsid w:val="00B14D87"/>
    <w:rsid w:val="00B15F9D"/>
    <w:rsid w:val="00B20161"/>
    <w:rsid w:val="00B2055A"/>
    <w:rsid w:val="00B20A55"/>
    <w:rsid w:val="00B22B1D"/>
    <w:rsid w:val="00B40946"/>
    <w:rsid w:val="00B43B62"/>
    <w:rsid w:val="00B5590A"/>
    <w:rsid w:val="00B60B61"/>
    <w:rsid w:val="00B66CA8"/>
    <w:rsid w:val="00B74EB3"/>
    <w:rsid w:val="00B838E3"/>
    <w:rsid w:val="00B84C9B"/>
    <w:rsid w:val="00BA3FD2"/>
    <w:rsid w:val="00BB0641"/>
    <w:rsid w:val="00BB30D8"/>
    <w:rsid w:val="00BC2CA6"/>
    <w:rsid w:val="00BC3D5E"/>
    <w:rsid w:val="00BF65C4"/>
    <w:rsid w:val="00C0404D"/>
    <w:rsid w:val="00C11D19"/>
    <w:rsid w:val="00C12748"/>
    <w:rsid w:val="00C267DE"/>
    <w:rsid w:val="00C35066"/>
    <w:rsid w:val="00C368ED"/>
    <w:rsid w:val="00C41D4F"/>
    <w:rsid w:val="00C4689F"/>
    <w:rsid w:val="00C60E33"/>
    <w:rsid w:val="00C710EC"/>
    <w:rsid w:val="00C9049D"/>
    <w:rsid w:val="00CA0DEC"/>
    <w:rsid w:val="00CA6563"/>
    <w:rsid w:val="00CA74EF"/>
    <w:rsid w:val="00CC4D0A"/>
    <w:rsid w:val="00CD71E0"/>
    <w:rsid w:val="00CE1F4A"/>
    <w:rsid w:val="00CE2A83"/>
    <w:rsid w:val="00CE2F01"/>
    <w:rsid w:val="00CE5743"/>
    <w:rsid w:val="00CF236D"/>
    <w:rsid w:val="00CF51C6"/>
    <w:rsid w:val="00D00FC0"/>
    <w:rsid w:val="00D0524B"/>
    <w:rsid w:val="00D068CE"/>
    <w:rsid w:val="00D344AF"/>
    <w:rsid w:val="00D36524"/>
    <w:rsid w:val="00D4309D"/>
    <w:rsid w:val="00D45502"/>
    <w:rsid w:val="00D4567F"/>
    <w:rsid w:val="00D5213F"/>
    <w:rsid w:val="00D64ACF"/>
    <w:rsid w:val="00D667B0"/>
    <w:rsid w:val="00D72E63"/>
    <w:rsid w:val="00D81C6A"/>
    <w:rsid w:val="00D945AA"/>
    <w:rsid w:val="00D972F3"/>
    <w:rsid w:val="00D97ACE"/>
    <w:rsid w:val="00DA016D"/>
    <w:rsid w:val="00DA26C9"/>
    <w:rsid w:val="00DB065E"/>
    <w:rsid w:val="00DB36AE"/>
    <w:rsid w:val="00DC4AFD"/>
    <w:rsid w:val="00DC641E"/>
    <w:rsid w:val="00DD612D"/>
    <w:rsid w:val="00DD6B8A"/>
    <w:rsid w:val="00DD7562"/>
    <w:rsid w:val="00DE5CFF"/>
    <w:rsid w:val="00DE79CB"/>
    <w:rsid w:val="00DF354A"/>
    <w:rsid w:val="00DF7D90"/>
    <w:rsid w:val="00E00B8B"/>
    <w:rsid w:val="00E02720"/>
    <w:rsid w:val="00E03ACC"/>
    <w:rsid w:val="00E05695"/>
    <w:rsid w:val="00E06D9F"/>
    <w:rsid w:val="00E07AD2"/>
    <w:rsid w:val="00E12F3A"/>
    <w:rsid w:val="00E336B4"/>
    <w:rsid w:val="00E34B8C"/>
    <w:rsid w:val="00E4400D"/>
    <w:rsid w:val="00E466F1"/>
    <w:rsid w:val="00E53E8E"/>
    <w:rsid w:val="00E85612"/>
    <w:rsid w:val="00E85D0C"/>
    <w:rsid w:val="00E96AFA"/>
    <w:rsid w:val="00EA36CC"/>
    <w:rsid w:val="00EB3478"/>
    <w:rsid w:val="00EB7FCC"/>
    <w:rsid w:val="00EC009A"/>
    <w:rsid w:val="00EC221E"/>
    <w:rsid w:val="00EC3273"/>
    <w:rsid w:val="00EC4FA8"/>
    <w:rsid w:val="00ED61A6"/>
    <w:rsid w:val="00EE2EE1"/>
    <w:rsid w:val="00EE485F"/>
    <w:rsid w:val="00EF41F5"/>
    <w:rsid w:val="00EF6A3B"/>
    <w:rsid w:val="00F00B32"/>
    <w:rsid w:val="00F01327"/>
    <w:rsid w:val="00F15C08"/>
    <w:rsid w:val="00F17926"/>
    <w:rsid w:val="00F207C1"/>
    <w:rsid w:val="00F365EA"/>
    <w:rsid w:val="00F47DDF"/>
    <w:rsid w:val="00F57480"/>
    <w:rsid w:val="00F6220D"/>
    <w:rsid w:val="00F64A02"/>
    <w:rsid w:val="00F67B8D"/>
    <w:rsid w:val="00F71172"/>
    <w:rsid w:val="00F71B03"/>
    <w:rsid w:val="00F72607"/>
    <w:rsid w:val="00F7457A"/>
    <w:rsid w:val="00F760C2"/>
    <w:rsid w:val="00F81FD4"/>
    <w:rsid w:val="00F84AFF"/>
    <w:rsid w:val="00F86106"/>
    <w:rsid w:val="00F9300D"/>
    <w:rsid w:val="00F9419B"/>
    <w:rsid w:val="00FB472E"/>
    <w:rsid w:val="00FD30AE"/>
    <w:rsid w:val="00FE2748"/>
    <w:rsid w:val="00FE51BC"/>
    <w:rsid w:val="00FF1E7A"/>
    <w:rsid w:val="00FF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F9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7A5"/>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5877A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877A5"/>
    <w:pPr>
      <w:keepNext/>
      <w:numPr>
        <w:ilvl w:val="1"/>
        <w:numId w:val="3"/>
      </w:numPr>
      <w:spacing w:after="120"/>
      <w:outlineLvl w:val="1"/>
    </w:pPr>
    <w:rPr>
      <w:b/>
    </w:rPr>
  </w:style>
  <w:style w:type="paragraph" w:styleId="Heading3">
    <w:name w:val="heading 3"/>
    <w:basedOn w:val="Normal"/>
    <w:next w:val="ParaNum"/>
    <w:link w:val="Heading3Char"/>
    <w:qFormat/>
    <w:rsid w:val="005877A5"/>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5877A5"/>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877A5"/>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5877A5"/>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5877A5"/>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5877A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877A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877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77A5"/>
  </w:style>
  <w:style w:type="character" w:customStyle="1" w:styleId="Heading1Char">
    <w:name w:val="Heading 1 Char"/>
    <w:basedOn w:val="DefaultParagraphFont"/>
    <w:link w:val="Heading1"/>
    <w:rsid w:val="005A7904"/>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AD2429"/>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5A7904"/>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5A7904"/>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5A7904"/>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5A7904"/>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5A7904"/>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5A7904"/>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5A7904"/>
    <w:rPr>
      <w:rFonts w:ascii="Times New Roman" w:eastAsia="Times New Roman" w:hAnsi="Times New Roman" w:cs="Times New Roman"/>
      <w:b/>
      <w:snapToGrid w:val="0"/>
      <w:kern w:val="28"/>
      <w:szCs w:val="20"/>
    </w:rPr>
  </w:style>
  <w:style w:type="paragraph" w:customStyle="1" w:styleId="par1">
    <w:name w:val="par1"/>
    <w:basedOn w:val="Normal"/>
    <w:rsid w:val="005A7904"/>
  </w:style>
  <w:style w:type="paragraph" w:styleId="FootnoteText">
    <w:name w:val="footnote text"/>
    <w:aliases w:val="Footnote Text Char2,Footnote Text Char1 Char,Footnote Text Char Char Char,Footnote Text Char2 Char Char Char,Footnote Text Char1 Char2 Char Char Char,Footnote Text Char Char Char Char Char Char,Footnote Text Char1,Footnote Text Char Char,f"/>
    <w:link w:val="FootnoteTextChar"/>
    <w:rsid w:val="005877A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1 Char Char,Footnote Text Char Char Char Char,Footnote Text Char2 Char Char Char Char,Footnote Text Char1 Char2 Char Char Char Char,Footnote Text Char Char Char Char Char Char Char,f Char"/>
    <w:basedOn w:val="DefaultParagraphFont"/>
    <w:link w:val="FootnoteText"/>
    <w:rsid w:val="005A7904"/>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fr,o,Style 13,Style 3,Footnote Reference1,FR,Style 17,Style 6,Footnote Reference/"/>
    <w:rsid w:val="005877A5"/>
    <w:rPr>
      <w:rFonts w:ascii="Times New Roman" w:hAnsi="Times New Roman"/>
      <w:dstrike w:val="0"/>
      <w:color w:val="auto"/>
      <w:sz w:val="20"/>
      <w:vertAlign w:val="superscript"/>
    </w:rPr>
  </w:style>
  <w:style w:type="paragraph" w:styleId="Header">
    <w:name w:val="header"/>
    <w:basedOn w:val="Normal"/>
    <w:link w:val="HeaderChar"/>
    <w:autoRedefine/>
    <w:rsid w:val="005877A5"/>
    <w:pPr>
      <w:tabs>
        <w:tab w:val="center" w:pos="4680"/>
        <w:tab w:val="right" w:pos="9360"/>
      </w:tabs>
    </w:pPr>
    <w:rPr>
      <w:b/>
    </w:rPr>
  </w:style>
  <w:style w:type="character" w:customStyle="1" w:styleId="HeaderChar">
    <w:name w:val="Header Char"/>
    <w:basedOn w:val="DefaultParagraphFont"/>
    <w:link w:val="Header"/>
    <w:rsid w:val="005A7904"/>
    <w:rPr>
      <w:rFonts w:ascii="Times New Roman" w:eastAsia="Times New Roman" w:hAnsi="Times New Roman" w:cs="Times New Roman"/>
      <w:b/>
      <w:snapToGrid w:val="0"/>
      <w:kern w:val="28"/>
      <w:szCs w:val="20"/>
    </w:rPr>
  </w:style>
  <w:style w:type="character" w:styleId="PageNumber">
    <w:name w:val="page number"/>
    <w:basedOn w:val="DefaultParagraphFont"/>
    <w:rsid w:val="005877A5"/>
  </w:style>
  <w:style w:type="paragraph" w:customStyle="1" w:styleId="ParaNum">
    <w:name w:val="ParaNum"/>
    <w:basedOn w:val="Normal"/>
    <w:link w:val="ParaNumChar"/>
    <w:rsid w:val="005877A5"/>
    <w:pPr>
      <w:numPr>
        <w:numId w:val="2"/>
      </w:numPr>
      <w:tabs>
        <w:tab w:val="clear" w:pos="1080"/>
        <w:tab w:val="num" w:pos="1440"/>
      </w:tabs>
      <w:spacing w:after="120"/>
    </w:pPr>
  </w:style>
  <w:style w:type="character" w:styleId="Hyperlink">
    <w:name w:val="Hyperlink"/>
    <w:rsid w:val="005877A5"/>
    <w:rPr>
      <w:color w:val="0000FF"/>
      <w:u w:val="single"/>
    </w:rPr>
  </w:style>
  <w:style w:type="character" w:customStyle="1" w:styleId="documentbody1">
    <w:name w:val="documentbody1"/>
    <w:basedOn w:val="DefaultParagraphFont"/>
    <w:rsid w:val="005A7904"/>
    <w:rPr>
      <w:rFonts w:ascii="Verdana" w:hAnsi="Verdana" w:hint="default"/>
      <w:sz w:val="19"/>
      <w:szCs w:val="19"/>
      <w:shd w:val="clear" w:color="auto" w:fill="FFFFFF"/>
    </w:rPr>
  </w:style>
  <w:style w:type="paragraph" w:styleId="ListParagraph">
    <w:name w:val="List Paragraph"/>
    <w:basedOn w:val="Normal"/>
    <w:uiPriority w:val="34"/>
    <w:qFormat/>
    <w:rsid w:val="005A7904"/>
    <w:pPr>
      <w:ind w:left="720"/>
      <w:contextualSpacing/>
    </w:pPr>
  </w:style>
  <w:style w:type="character" w:styleId="CommentReference">
    <w:name w:val="annotation reference"/>
    <w:basedOn w:val="DefaultParagraphFont"/>
    <w:rsid w:val="005A7904"/>
    <w:rPr>
      <w:sz w:val="16"/>
      <w:szCs w:val="16"/>
    </w:rPr>
  </w:style>
  <w:style w:type="paragraph" w:styleId="CommentText">
    <w:name w:val="annotation text"/>
    <w:basedOn w:val="Normal"/>
    <w:link w:val="CommentTextChar"/>
    <w:rsid w:val="005A7904"/>
  </w:style>
  <w:style w:type="character" w:customStyle="1" w:styleId="CommentTextChar">
    <w:name w:val="Comment Text Char"/>
    <w:basedOn w:val="DefaultParagraphFont"/>
    <w:link w:val="CommentText"/>
    <w:rsid w:val="005A7904"/>
    <w:rPr>
      <w:rFonts w:ascii="Times New Roman" w:eastAsia="Times New Roman" w:hAnsi="Times New Roman" w:cs="Times New Roman"/>
      <w:snapToGrid w:val="0"/>
      <w:kern w:val="28"/>
      <w:szCs w:val="20"/>
    </w:rPr>
  </w:style>
  <w:style w:type="character" w:customStyle="1" w:styleId="ParaNumChar">
    <w:name w:val="ParaNum Char"/>
    <w:link w:val="ParaNum"/>
    <w:locked/>
    <w:rsid w:val="005A7904"/>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5A7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04"/>
    <w:rPr>
      <w:rFonts w:ascii="Segoe UI" w:eastAsia="Times New Roman" w:hAnsi="Segoe UI" w:cs="Segoe UI"/>
      <w:snapToGrid w:val="0"/>
      <w:kern w:val="28"/>
      <w:sz w:val="18"/>
      <w:szCs w:val="18"/>
    </w:rPr>
  </w:style>
  <w:style w:type="paragraph" w:styleId="Footer">
    <w:name w:val="footer"/>
    <w:basedOn w:val="Normal"/>
    <w:link w:val="FooterChar"/>
    <w:rsid w:val="005877A5"/>
    <w:pPr>
      <w:tabs>
        <w:tab w:val="center" w:pos="4320"/>
        <w:tab w:val="right" w:pos="8640"/>
      </w:tabs>
    </w:pPr>
  </w:style>
  <w:style w:type="character" w:customStyle="1" w:styleId="FooterChar">
    <w:name w:val="Footer Char"/>
    <w:basedOn w:val="DefaultParagraphFont"/>
    <w:link w:val="Footer"/>
    <w:rsid w:val="009461DC"/>
    <w:rPr>
      <w:rFonts w:ascii="Times New Roman" w:eastAsia="Times New Roman" w:hAnsi="Times New Roman" w:cs="Times New Roman"/>
      <w:snapToGrid w:val="0"/>
      <w:kern w:val="28"/>
      <w:szCs w:val="20"/>
    </w:rPr>
  </w:style>
  <w:style w:type="character" w:styleId="FollowedHyperlink">
    <w:name w:val="FollowedHyperlink"/>
    <w:basedOn w:val="DefaultParagraphFont"/>
    <w:uiPriority w:val="99"/>
    <w:semiHidden/>
    <w:unhideWhenUsed/>
    <w:rsid w:val="00CE2A83"/>
    <w:rPr>
      <w:color w:val="800080" w:themeColor="followedHyperlink"/>
      <w:u w:val="single"/>
    </w:rPr>
  </w:style>
  <w:style w:type="character" w:customStyle="1" w:styleId="ALTSFOOTNOTEChar">
    <w:name w:val="ALTS FOOTNOTE Char"/>
    <w:aliases w:val="fn Char,Footnote Text Char2 Char Char,Footnote Text Char1 Char Char Char,Footnote Text Char Char2 Char Char Char,Footnote Text Char4 Char Char Char Char Char,Footnote Text Char2 Char1 Char Char Char Char Char"/>
    <w:basedOn w:val="DefaultParagraphFont"/>
    <w:locked/>
    <w:rsid w:val="00644134"/>
    <w:rPr>
      <w:rFonts w:ascii="Times New Roman" w:eastAsia="Times New Roman" w:hAnsi="Times New Roman" w:cs="Times New Roman"/>
      <w:sz w:val="20"/>
      <w:szCs w:val="20"/>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0E5B03"/>
    <w:rPr>
      <w:sz w:val="20"/>
      <w:szCs w:val="20"/>
    </w:rPr>
  </w:style>
  <w:style w:type="paragraph" w:styleId="CommentSubject">
    <w:name w:val="annotation subject"/>
    <w:basedOn w:val="CommentText"/>
    <w:next w:val="CommentText"/>
    <w:link w:val="CommentSubjectChar"/>
    <w:uiPriority w:val="99"/>
    <w:semiHidden/>
    <w:unhideWhenUsed/>
    <w:rsid w:val="000E5B03"/>
    <w:rPr>
      <w:b/>
      <w:bCs/>
      <w:sz w:val="20"/>
    </w:rPr>
  </w:style>
  <w:style w:type="character" w:customStyle="1" w:styleId="CommentSubjectChar">
    <w:name w:val="Comment Subject Char"/>
    <w:basedOn w:val="CommentTextChar"/>
    <w:link w:val="CommentSubject"/>
    <w:uiPriority w:val="99"/>
    <w:semiHidden/>
    <w:rsid w:val="000E5B03"/>
    <w:rPr>
      <w:rFonts w:ascii="Times New Roman" w:eastAsia="Times New Roman" w:hAnsi="Times New Roman" w:cs="Times New Roman"/>
      <w:b/>
      <w:bCs/>
      <w:snapToGrid w:val="0"/>
      <w:kern w:val="28"/>
      <w:sz w:val="20"/>
      <w:szCs w:val="20"/>
    </w:rPr>
  </w:style>
  <w:style w:type="character" w:customStyle="1" w:styleId="FootnoteTextCharChar1">
    <w:name w:val="Footnote Text Char Char1"/>
    <w:aliases w:val="Footnote Text Char1 Char Char1,rrfootnote Char Char Char1,Style 5 Char Char Char1,Footnote Text Char Char Char Char1,Footnote Text Char1 Char Char Char Char1,Footnote Text Char Char Char Char Char Char1"/>
    <w:locked/>
    <w:rsid w:val="00236618"/>
    <w:rPr>
      <w:sz w:val="20"/>
      <w:szCs w:val="20"/>
    </w:rPr>
  </w:style>
  <w:style w:type="paragraph" w:styleId="EndnoteText">
    <w:name w:val="endnote text"/>
    <w:basedOn w:val="Normal"/>
    <w:link w:val="EndnoteTextChar"/>
    <w:semiHidden/>
    <w:rsid w:val="005877A5"/>
    <w:rPr>
      <w:sz w:val="20"/>
    </w:rPr>
  </w:style>
  <w:style w:type="character" w:customStyle="1" w:styleId="EndnoteTextChar">
    <w:name w:val="Endnote Text Char"/>
    <w:basedOn w:val="DefaultParagraphFont"/>
    <w:link w:val="EndnoteText"/>
    <w:semiHidden/>
    <w:rsid w:val="00202064"/>
    <w:rPr>
      <w:rFonts w:ascii="Times New Roman" w:eastAsia="Times New Roman" w:hAnsi="Times New Roman" w:cs="Times New Roman"/>
      <w:snapToGrid w:val="0"/>
      <w:kern w:val="28"/>
      <w:sz w:val="20"/>
      <w:szCs w:val="20"/>
    </w:rPr>
  </w:style>
  <w:style w:type="character" w:styleId="EndnoteReference">
    <w:name w:val="endnote reference"/>
    <w:semiHidden/>
    <w:rsid w:val="005877A5"/>
    <w:rPr>
      <w:vertAlign w:val="superscript"/>
    </w:rPr>
  </w:style>
  <w:style w:type="paragraph" w:styleId="TOC1">
    <w:name w:val="toc 1"/>
    <w:basedOn w:val="Normal"/>
    <w:next w:val="Normal"/>
    <w:semiHidden/>
    <w:rsid w:val="005877A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877A5"/>
    <w:pPr>
      <w:tabs>
        <w:tab w:val="left" w:pos="720"/>
        <w:tab w:val="right" w:leader="dot" w:pos="9360"/>
      </w:tabs>
      <w:suppressAutoHyphens/>
      <w:ind w:left="720" w:right="720" w:hanging="360"/>
    </w:pPr>
    <w:rPr>
      <w:noProof/>
    </w:rPr>
  </w:style>
  <w:style w:type="paragraph" w:styleId="TOC3">
    <w:name w:val="toc 3"/>
    <w:basedOn w:val="Normal"/>
    <w:next w:val="Normal"/>
    <w:semiHidden/>
    <w:rsid w:val="005877A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877A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877A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877A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877A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877A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877A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877A5"/>
    <w:pPr>
      <w:tabs>
        <w:tab w:val="right" w:pos="9360"/>
      </w:tabs>
      <w:suppressAutoHyphens/>
    </w:pPr>
  </w:style>
  <w:style w:type="character" w:customStyle="1" w:styleId="EquationCaption">
    <w:name w:val="_Equation Caption"/>
    <w:rsid w:val="005877A5"/>
  </w:style>
  <w:style w:type="paragraph" w:styleId="BlockText">
    <w:name w:val="Block Text"/>
    <w:basedOn w:val="Normal"/>
    <w:rsid w:val="005877A5"/>
    <w:pPr>
      <w:spacing w:after="240"/>
      <w:ind w:left="1440" w:right="1440"/>
    </w:pPr>
  </w:style>
  <w:style w:type="paragraph" w:customStyle="1" w:styleId="Paratitle">
    <w:name w:val="Para title"/>
    <w:basedOn w:val="Normal"/>
    <w:rsid w:val="005877A5"/>
    <w:pPr>
      <w:tabs>
        <w:tab w:val="center" w:pos="9270"/>
      </w:tabs>
      <w:spacing w:after="240"/>
    </w:pPr>
    <w:rPr>
      <w:spacing w:val="-2"/>
    </w:rPr>
  </w:style>
  <w:style w:type="paragraph" w:customStyle="1" w:styleId="Bullet">
    <w:name w:val="Bullet"/>
    <w:basedOn w:val="Normal"/>
    <w:rsid w:val="005877A5"/>
    <w:pPr>
      <w:tabs>
        <w:tab w:val="left" w:pos="2160"/>
      </w:tabs>
      <w:spacing w:after="220"/>
      <w:ind w:left="2160" w:hanging="720"/>
    </w:pPr>
  </w:style>
  <w:style w:type="paragraph" w:customStyle="1" w:styleId="TableFormat">
    <w:name w:val="TableFormat"/>
    <w:basedOn w:val="Bullet"/>
    <w:rsid w:val="005877A5"/>
    <w:pPr>
      <w:tabs>
        <w:tab w:val="clear" w:pos="2160"/>
        <w:tab w:val="left" w:pos="5040"/>
      </w:tabs>
      <w:ind w:left="5040" w:hanging="3600"/>
    </w:pPr>
  </w:style>
  <w:style w:type="paragraph" w:customStyle="1" w:styleId="TOCTitle">
    <w:name w:val="TOC Title"/>
    <w:basedOn w:val="Normal"/>
    <w:rsid w:val="005877A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877A5"/>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7A5"/>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5877A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877A5"/>
    <w:pPr>
      <w:keepNext/>
      <w:numPr>
        <w:ilvl w:val="1"/>
        <w:numId w:val="3"/>
      </w:numPr>
      <w:spacing w:after="120"/>
      <w:outlineLvl w:val="1"/>
    </w:pPr>
    <w:rPr>
      <w:b/>
    </w:rPr>
  </w:style>
  <w:style w:type="paragraph" w:styleId="Heading3">
    <w:name w:val="heading 3"/>
    <w:basedOn w:val="Normal"/>
    <w:next w:val="ParaNum"/>
    <w:link w:val="Heading3Char"/>
    <w:qFormat/>
    <w:rsid w:val="005877A5"/>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5877A5"/>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877A5"/>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5877A5"/>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5877A5"/>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5877A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877A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877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77A5"/>
  </w:style>
  <w:style w:type="character" w:customStyle="1" w:styleId="Heading1Char">
    <w:name w:val="Heading 1 Char"/>
    <w:basedOn w:val="DefaultParagraphFont"/>
    <w:link w:val="Heading1"/>
    <w:rsid w:val="005A7904"/>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AD2429"/>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5A7904"/>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5A7904"/>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5A7904"/>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5A7904"/>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5A7904"/>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5A7904"/>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5A7904"/>
    <w:rPr>
      <w:rFonts w:ascii="Times New Roman" w:eastAsia="Times New Roman" w:hAnsi="Times New Roman" w:cs="Times New Roman"/>
      <w:b/>
      <w:snapToGrid w:val="0"/>
      <w:kern w:val="28"/>
      <w:szCs w:val="20"/>
    </w:rPr>
  </w:style>
  <w:style w:type="paragraph" w:customStyle="1" w:styleId="par1">
    <w:name w:val="par1"/>
    <w:basedOn w:val="Normal"/>
    <w:rsid w:val="005A7904"/>
  </w:style>
  <w:style w:type="paragraph" w:styleId="FootnoteText">
    <w:name w:val="footnote text"/>
    <w:aliases w:val="Footnote Text Char2,Footnote Text Char1 Char,Footnote Text Char Char Char,Footnote Text Char2 Char Char Char,Footnote Text Char1 Char2 Char Char Char,Footnote Text Char Char Char Char Char Char,Footnote Text Char1,Footnote Text Char Char,f"/>
    <w:link w:val="FootnoteTextChar"/>
    <w:rsid w:val="005877A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1 Char Char,Footnote Text Char Char Char Char,Footnote Text Char2 Char Char Char Char,Footnote Text Char1 Char2 Char Char Char Char,Footnote Text Char Char Char Char Char Char Char,f Char"/>
    <w:basedOn w:val="DefaultParagraphFont"/>
    <w:link w:val="FootnoteText"/>
    <w:rsid w:val="005A7904"/>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fr,o,Style 13,Style 3,Footnote Reference1,FR,Style 17,Style 6,Footnote Reference/"/>
    <w:rsid w:val="005877A5"/>
    <w:rPr>
      <w:rFonts w:ascii="Times New Roman" w:hAnsi="Times New Roman"/>
      <w:dstrike w:val="0"/>
      <w:color w:val="auto"/>
      <w:sz w:val="20"/>
      <w:vertAlign w:val="superscript"/>
    </w:rPr>
  </w:style>
  <w:style w:type="paragraph" w:styleId="Header">
    <w:name w:val="header"/>
    <w:basedOn w:val="Normal"/>
    <w:link w:val="HeaderChar"/>
    <w:autoRedefine/>
    <w:rsid w:val="005877A5"/>
    <w:pPr>
      <w:tabs>
        <w:tab w:val="center" w:pos="4680"/>
        <w:tab w:val="right" w:pos="9360"/>
      </w:tabs>
    </w:pPr>
    <w:rPr>
      <w:b/>
    </w:rPr>
  </w:style>
  <w:style w:type="character" w:customStyle="1" w:styleId="HeaderChar">
    <w:name w:val="Header Char"/>
    <w:basedOn w:val="DefaultParagraphFont"/>
    <w:link w:val="Header"/>
    <w:rsid w:val="005A7904"/>
    <w:rPr>
      <w:rFonts w:ascii="Times New Roman" w:eastAsia="Times New Roman" w:hAnsi="Times New Roman" w:cs="Times New Roman"/>
      <w:b/>
      <w:snapToGrid w:val="0"/>
      <w:kern w:val="28"/>
      <w:szCs w:val="20"/>
    </w:rPr>
  </w:style>
  <w:style w:type="character" w:styleId="PageNumber">
    <w:name w:val="page number"/>
    <w:basedOn w:val="DefaultParagraphFont"/>
    <w:rsid w:val="005877A5"/>
  </w:style>
  <w:style w:type="paragraph" w:customStyle="1" w:styleId="ParaNum">
    <w:name w:val="ParaNum"/>
    <w:basedOn w:val="Normal"/>
    <w:link w:val="ParaNumChar"/>
    <w:rsid w:val="005877A5"/>
    <w:pPr>
      <w:numPr>
        <w:numId w:val="2"/>
      </w:numPr>
      <w:tabs>
        <w:tab w:val="clear" w:pos="1080"/>
        <w:tab w:val="num" w:pos="1440"/>
      </w:tabs>
      <w:spacing w:after="120"/>
    </w:pPr>
  </w:style>
  <w:style w:type="character" w:styleId="Hyperlink">
    <w:name w:val="Hyperlink"/>
    <w:rsid w:val="005877A5"/>
    <w:rPr>
      <w:color w:val="0000FF"/>
      <w:u w:val="single"/>
    </w:rPr>
  </w:style>
  <w:style w:type="character" w:customStyle="1" w:styleId="documentbody1">
    <w:name w:val="documentbody1"/>
    <w:basedOn w:val="DefaultParagraphFont"/>
    <w:rsid w:val="005A7904"/>
    <w:rPr>
      <w:rFonts w:ascii="Verdana" w:hAnsi="Verdana" w:hint="default"/>
      <w:sz w:val="19"/>
      <w:szCs w:val="19"/>
      <w:shd w:val="clear" w:color="auto" w:fill="FFFFFF"/>
    </w:rPr>
  </w:style>
  <w:style w:type="paragraph" w:styleId="ListParagraph">
    <w:name w:val="List Paragraph"/>
    <w:basedOn w:val="Normal"/>
    <w:uiPriority w:val="34"/>
    <w:qFormat/>
    <w:rsid w:val="005A7904"/>
    <w:pPr>
      <w:ind w:left="720"/>
      <w:contextualSpacing/>
    </w:pPr>
  </w:style>
  <w:style w:type="character" w:styleId="CommentReference">
    <w:name w:val="annotation reference"/>
    <w:basedOn w:val="DefaultParagraphFont"/>
    <w:rsid w:val="005A7904"/>
    <w:rPr>
      <w:sz w:val="16"/>
      <w:szCs w:val="16"/>
    </w:rPr>
  </w:style>
  <w:style w:type="paragraph" w:styleId="CommentText">
    <w:name w:val="annotation text"/>
    <w:basedOn w:val="Normal"/>
    <w:link w:val="CommentTextChar"/>
    <w:rsid w:val="005A7904"/>
  </w:style>
  <w:style w:type="character" w:customStyle="1" w:styleId="CommentTextChar">
    <w:name w:val="Comment Text Char"/>
    <w:basedOn w:val="DefaultParagraphFont"/>
    <w:link w:val="CommentText"/>
    <w:rsid w:val="005A7904"/>
    <w:rPr>
      <w:rFonts w:ascii="Times New Roman" w:eastAsia="Times New Roman" w:hAnsi="Times New Roman" w:cs="Times New Roman"/>
      <w:snapToGrid w:val="0"/>
      <w:kern w:val="28"/>
      <w:szCs w:val="20"/>
    </w:rPr>
  </w:style>
  <w:style w:type="character" w:customStyle="1" w:styleId="ParaNumChar">
    <w:name w:val="ParaNum Char"/>
    <w:link w:val="ParaNum"/>
    <w:locked/>
    <w:rsid w:val="005A7904"/>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5A7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04"/>
    <w:rPr>
      <w:rFonts w:ascii="Segoe UI" w:eastAsia="Times New Roman" w:hAnsi="Segoe UI" w:cs="Segoe UI"/>
      <w:snapToGrid w:val="0"/>
      <w:kern w:val="28"/>
      <w:sz w:val="18"/>
      <w:szCs w:val="18"/>
    </w:rPr>
  </w:style>
  <w:style w:type="paragraph" w:styleId="Footer">
    <w:name w:val="footer"/>
    <w:basedOn w:val="Normal"/>
    <w:link w:val="FooterChar"/>
    <w:rsid w:val="005877A5"/>
    <w:pPr>
      <w:tabs>
        <w:tab w:val="center" w:pos="4320"/>
        <w:tab w:val="right" w:pos="8640"/>
      </w:tabs>
    </w:pPr>
  </w:style>
  <w:style w:type="character" w:customStyle="1" w:styleId="FooterChar">
    <w:name w:val="Footer Char"/>
    <w:basedOn w:val="DefaultParagraphFont"/>
    <w:link w:val="Footer"/>
    <w:rsid w:val="009461DC"/>
    <w:rPr>
      <w:rFonts w:ascii="Times New Roman" w:eastAsia="Times New Roman" w:hAnsi="Times New Roman" w:cs="Times New Roman"/>
      <w:snapToGrid w:val="0"/>
      <w:kern w:val="28"/>
      <w:szCs w:val="20"/>
    </w:rPr>
  </w:style>
  <w:style w:type="character" w:styleId="FollowedHyperlink">
    <w:name w:val="FollowedHyperlink"/>
    <w:basedOn w:val="DefaultParagraphFont"/>
    <w:uiPriority w:val="99"/>
    <w:semiHidden/>
    <w:unhideWhenUsed/>
    <w:rsid w:val="00CE2A83"/>
    <w:rPr>
      <w:color w:val="800080" w:themeColor="followedHyperlink"/>
      <w:u w:val="single"/>
    </w:rPr>
  </w:style>
  <w:style w:type="character" w:customStyle="1" w:styleId="ALTSFOOTNOTEChar">
    <w:name w:val="ALTS FOOTNOTE Char"/>
    <w:aliases w:val="fn Char,Footnote Text Char2 Char Char,Footnote Text Char1 Char Char Char,Footnote Text Char Char2 Char Char Char,Footnote Text Char4 Char Char Char Char Char,Footnote Text Char2 Char1 Char Char Char Char Char"/>
    <w:basedOn w:val="DefaultParagraphFont"/>
    <w:locked/>
    <w:rsid w:val="00644134"/>
    <w:rPr>
      <w:rFonts w:ascii="Times New Roman" w:eastAsia="Times New Roman" w:hAnsi="Times New Roman" w:cs="Times New Roman"/>
      <w:sz w:val="20"/>
      <w:szCs w:val="20"/>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0E5B03"/>
    <w:rPr>
      <w:sz w:val="20"/>
      <w:szCs w:val="20"/>
    </w:rPr>
  </w:style>
  <w:style w:type="paragraph" w:styleId="CommentSubject">
    <w:name w:val="annotation subject"/>
    <w:basedOn w:val="CommentText"/>
    <w:next w:val="CommentText"/>
    <w:link w:val="CommentSubjectChar"/>
    <w:uiPriority w:val="99"/>
    <w:semiHidden/>
    <w:unhideWhenUsed/>
    <w:rsid w:val="000E5B03"/>
    <w:rPr>
      <w:b/>
      <w:bCs/>
      <w:sz w:val="20"/>
    </w:rPr>
  </w:style>
  <w:style w:type="character" w:customStyle="1" w:styleId="CommentSubjectChar">
    <w:name w:val="Comment Subject Char"/>
    <w:basedOn w:val="CommentTextChar"/>
    <w:link w:val="CommentSubject"/>
    <w:uiPriority w:val="99"/>
    <w:semiHidden/>
    <w:rsid w:val="000E5B03"/>
    <w:rPr>
      <w:rFonts w:ascii="Times New Roman" w:eastAsia="Times New Roman" w:hAnsi="Times New Roman" w:cs="Times New Roman"/>
      <w:b/>
      <w:bCs/>
      <w:snapToGrid w:val="0"/>
      <w:kern w:val="28"/>
      <w:sz w:val="20"/>
      <w:szCs w:val="20"/>
    </w:rPr>
  </w:style>
  <w:style w:type="character" w:customStyle="1" w:styleId="FootnoteTextCharChar1">
    <w:name w:val="Footnote Text Char Char1"/>
    <w:aliases w:val="Footnote Text Char1 Char Char1,rrfootnote Char Char Char1,Style 5 Char Char Char1,Footnote Text Char Char Char Char1,Footnote Text Char1 Char Char Char Char1,Footnote Text Char Char Char Char Char Char1"/>
    <w:locked/>
    <w:rsid w:val="00236618"/>
    <w:rPr>
      <w:sz w:val="20"/>
      <w:szCs w:val="20"/>
    </w:rPr>
  </w:style>
  <w:style w:type="paragraph" w:styleId="EndnoteText">
    <w:name w:val="endnote text"/>
    <w:basedOn w:val="Normal"/>
    <w:link w:val="EndnoteTextChar"/>
    <w:semiHidden/>
    <w:rsid w:val="005877A5"/>
    <w:rPr>
      <w:sz w:val="20"/>
    </w:rPr>
  </w:style>
  <w:style w:type="character" w:customStyle="1" w:styleId="EndnoteTextChar">
    <w:name w:val="Endnote Text Char"/>
    <w:basedOn w:val="DefaultParagraphFont"/>
    <w:link w:val="EndnoteText"/>
    <w:semiHidden/>
    <w:rsid w:val="00202064"/>
    <w:rPr>
      <w:rFonts w:ascii="Times New Roman" w:eastAsia="Times New Roman" w:hAnsi="Times New Roman" w:cs="Times New Roman"/>
      <w:snapToGrid w:val="0"/>
      <w:kern w:val="28"/>
      <w:sz w:val="20"/>
      <w:szCs w:val="20"/>
    </w:rPr>
  </w:style>
  <w:style w:type="character" w:styleId="EndnoteReference">
    <w:name w:val="endnote reference"/>
    <w:semiHidden/>
    <w:rsid w:val="005877A5"/>
    <w:rPr>
      <w:vertAlign w:val="superscript"/>
    </w:rPr>
  </w:style>
  <w:style w:type="paragraph" w:styleId="TOC1">
    <w:name w:val="toc 1"/>
    <w:basedOn w:val="Normal"/>
    <w:next w:val="Normal"/>
    <w:semiHidden/>
    <w:rsid w:val="005877A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877A5"/>
    <w:pPr>
      <w:tabs>
        <w:tab w:val="left" w:pos="720"/>
        <w:tab w:val="right" w:leader="dot" w:pos="9360"/>
      </w:tabs>
      <w:suppressAutoHyphens/>
      <w:ind w:left="720" w:right="720" w:hanging="360"/>
    </w:pPr>
    <w:rPr>
      <w:noProof/>
    </w:rPr>
  </w:style>
  <w:style w:type="paragraph" w:styleId="TOC3">
    <w:name w:val="toc 3"/>
    <w:basedOn w:val="Normal"/>
    <w:next w:val="Normal"/>
    <w:semiHidden/>
    <w:rsid w:val="005877A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877A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877A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877A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877A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877A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877A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877A5"/>
    <w:pPr>
      <w:tabs>
        <w:tab w:val="right" w:pos="9360"/>
      </w:tabs>
      <w:suppressAutoHyphens/>
    </w:pPr>
  </w:style>
  <w:style w:type="character" w:customStyle="1" w:styleId="EquationCaption">
    <w:name w:val="_Equation Caption"/>
    <w:rsid w:val="005877A5"/>
  </w:style>
  <w:style w:type="paragraph" w:styleId="BlockText">
    <w:name w:val="Block Text"/>
    <w:basedOn w:val="Normal"/>
    <w:rsid w:val="005877A5"/>
    <w:pPr>
      <w:spacing w:after="240"/>
      <w:ind w:left="1440" w:right="1440"/>
    </w:pPr>
  </w:style>
  <w:style w:type="paragraph" w:customStyle="1" w:styleId="Paratitle">
    <w:name w:val="Para title"/>
    <w:basedOn w:val="Normal"/>
    <w:rsid w:val="005877A5"/>
    <w:pPr>
      <w:tabs>
        <w:tab w:val="center" w:pos="9270"/>
      </w:tabs>
      <w:spacing w:after="240"/>
    </w:pPr>
    <w:rPr>
      <w:spacing w:val="-2"/>
    </w:rPr>
  </w:style>
  <w:style w:type="paragraph" w:customStyle="1" w:styleId="Bullet">
    <w:name w:val="Bullet"/>
    <w:basedOn w:val="Normal"/>
    <w:rsid w:val="005877A5"/>
    <w:pPr>
      <w:tabs>
        <w:tab w:val="left" w:pos="2160"/>
      </w:tabs>
      <w:spacing w:after="220"/>
      <w:ind w:left="2160" w:hanging="720"/>
    </w:pPr>
  </w:style>
  <w:style w:type="paragraph" w:customStyle="1" w:styleId="TableFormat">
    <w:name w:val="TableFormat"/>
    <w:basedOn w:val="Bullet"/>
    <w:rsid w:val="005877A5"/>
    <w:pPr>
      <w:tabs>
        <w:tab w:val="clear" w:pos="2160"/>
        <w:tab w:val="left" w:pos="5040"/>
      </w:tabs>
      <w:ind w:left="5040" w:hanging="3600"/>
    </w:pPr>
  </w:style>
  <w:style w:type="paragraph" w:customStyle="1" w:styleId="TOCTitle">
    <w:name w:val="TOC Title"/>
    <w:basedOn w:val="Normal"/>
    <w:rsid w:val="005877A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877A5"/>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Slipakoff@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RINQUIRIES@fcc.gov" TargetMode="External"/><Relationship Id="rId4" Type="http://schemas.openxmlformats.org/officeDocument/2006/relationships/settings" Target="settings.xml"/><Relationship Id="rId9" Type="http://schemas.openxmlformats.org/officeDocument/2006/relationships/hyperlink" Target="mailto:Valerie.Hill@fcc.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fcc.gov/encyclopedia/contribution-factor-quarterly-filings-universal-service-fund-usf-management-support" TargetMode="External"/><Relationship Id="rId2" Type="http://schemas.openxmlformats.org/officeDocument/2006/relationships/hyperlink" Target="http://www.usac.org/about/tools/fcc/filings/default.aspx" TargetMode="External"/><Relationship Id="rId1" Type="http://schemas.openxmlformats.org/officeDocument/2006/relationships/hyperlink" Target="https://www.motherindiacard.com/aboutus.asp" TargetMode="External"/><Relationship Id="rId5" Type="http://schemas.openxmlformats.org/officeDocument/2006/relationships/hyperlink" Target="https://www.motherindiacard.com/aboutus.asp" TargetMode="External"/><Relationship Id="rId4" Type="http://schemas.openxmlformats.org/officeDocument/2006/relationships/hyperlink" Target="https://apps.fcc.gov/edocs_public/attachmatch/DA-16-138A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2505</Words>
  <Characters>13552</Characters>
  <Application>Microsoft Office Word</Application>
  <DocSecurity>0</DocSecurity>
  <Lines>216</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2016-10-25T14:08:00Z</cp:lastPrinted>
  <dcterms:created xsi:type="dcterms:W3CDTF">2016-10-26T14:24:00Z</dcterms:created>
  <dcterms:modified xsi:type="dcterms:W3CDTF">2016-10-26T14:24:00Z</dcterms:modified>
  <cp:category> </cp:category>
  <cp:contentStatus> </cp:contentStatus>
</cp:coreProperties>
</file>