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30C3" w14:textId="77777777" w:rsidR="009B289C" w:rsidRDefault="009B289C">
      <w:pPr>
        <w:jc w:val="center"/>
        <w:rPr>
          <w:b/>
          <w:color w:val="000000" w:themeColor="text1"/>
          <w:szCs w:val="22"/>
        </w:rPr>
      </w:pPr>
      <w:bookmarkStart w:id="0" w:name="_GoBack"/>
      <w:bookmarkEnd w:id="0"/>
    </w:p>
    <w:p w14:paraId="7DFB90B6" w14:textId="77777777" w:rsidR="00E9376C" w:rsidRPr="00981F23" w:rsidRDefault="00E9376C">
      <w:pPr>
        <w:jc w:val="center"/>
        <w:rPr>
          <w:b/>
          <w:color w:val="000000" w:themeColor="text1"/>
          <w:szCs w:val="22"/>
        </w:rPr>
      </w:pPr>
      <w:r w:rsidRPr="00981F23">
        <w:rPr>
          <w:b/>
          <w:color w:val="000000" w:themeColor="text1"/>
          <w:szCs w:val="22"/>
        </w:rPr>
        <w:t>Before the</w:t>
      </w:r>
    </w:p>
    <w:p w14:paraId="36EBA29C"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08CA0455"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22448E3D" w14:textId="77777777" w:rsidTr="00500F04">
        <w:tc>
          <w:tcPr>
            <w:tcW w:w="4518" w:type="dxa"/>
          </w:tcPr>
          <w:p w14:paraId="4914D332" w14:textId="77777777" w:rsidR="00E9376C" w:rsidRPr="00981F23" w:rsidRDefault="00E9376C">
            <w:pPr>
              <w:tabs>
                <w:tab w:val="center" w:pos="4680"/>
              </w:tabs>
              <w:suppressAutoHyphens/>
              <w:rPr>
                <w:color w:val="000000" w:themeColor="text1"/>
                <w:spacing w:val="-2"/>
                <w:szCs w:val="22"/>
              </w:rPr>
            </w:pPr>
          </w:p>
          <w:p w14:paraId="3EF70659"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25BB4E5D" w14:textId="77777777" w:rsidR="00E9376C" w:rsidRPr="00981F23" w:rsidRDefault="00E9376C">
            <w:pPr>
              <w:tabs>
                <w:tab w:val="center" w:pos="4680"/>
              </w:tabs>
              <w:suppressAutoHyphens/>
              <w:rPr>
                <w:color w:val="000000" w:themeColor="text1"/>
                <w:spacing w:val="-2"/>
                <w:szCs w:val="22"/>
              </w:rPr>
            </w:pPr>
          </w:p>
          <w:p w14:paraId="1DBA0AF2" w14:textId="77777777" w:rsidR="00E9376C" w:rsidRDefault="00C47B59">
            <w:pPr>
              <w:tabs>
                <w:tab w:val="center" w:pos="4680"/>
              </w:tabs>
              <w:suppressAutoHyphens/>
              <w:rPr>
                <w:color w:val="000000" w:themeColor="text1"/>
                <w:spacing w:val="-2"/>
                <w:szCs w:val="22"/>
              </w:rPr>
            </w:pPr>
            <w:r>
              <w:rPr>
                <w:color w:val="000000" w:themeColor="text1"/>
                <w:spacing w:val="-2"/>
                <w:szCs w:val="22"/>
              </w:rPr>
              <w:t>Michael Dudley</w:t>
            </w:r>
          </w:p>
          <w:p w14:paraId="69D49263" w14:textId="77777777" w:rsidR="001A1184" w:rsidRDefault="001A1184">
            <w:pPr>
              <w:tabs>
                <w:tab w:val="center" w:pos="4680"/>
              </w:tabs>
              <w:suppressAutoHyphens/>
              <w:rPr>
                <w:color w:val="000000" w:themeColor="text1"/>
                <w:spacing w:val="-2"/>
                <w:szCs w:val="22"/>
              </w:rPr>
            </w:pPr>
          </w:p>
          <w:p w14:paraId="78AB2AFE" w14:textId="599D54DF" w:rsidR="0025576A" w:rsidRPr="00981F23" w:rsidRDefault="0025576A">
            <w:pPr>
              <w:tabs>
                <w:tab w:val="center" w:pos="4680"/>
              </w:tabs>
              <w:suppressAutoHyphens/>
              <w:rPr>
                <w:color w:val="000000" w:themeColor="text1"/>
                <w:spacing w:val="-2"/>
                <w:szCs w:val="22"/>
              </w:rPr>
            </w:pPr>
            <w:r>
              <w:rPr>
                <w:color w:val="000000" w:themeColor="text1"/>
                <w:spacing w:val="-2"/>
                <w:szCs w:val="22"/>
              </w:rPr>
              <w:t>Guntersville, Alabama</w:t>
            </w:r>
          </w:p>
          <w:p w14:paraId="0542B27F" w14:textId="77777777" w:rsidR="00E9376C" w:rsidRPr="00981F23" w:rsidRDefault="00E9376C">
            <w:pPr>
              <w:tabs>
                <w:tab w:val="center" w:pos="4680"/>
              </w:tabs>
              <w:suppressAutoHyphens/>
              <w:rPr>
                <w:color w:val="000000" w:themeColor="text1"/>
                <w:spacing w:val="-2"/>
                <w:szCs w:val="22"/>
              </w:rPr>
            </w:pPr>
          </w:p>
        </w:tc>
        <w:tc>
          <w:tcPr>
            <w:tcW w:w="630" w:type="dxa"/>
          </w:tcPr>
          <w:p w14:paraId="6AC657AC" w14:textId="77777777" w:rsidR="00E9376C" w:rsidRPr="00981F23" w:rsidRDefault="00E9376C">
            <w:pPr>
              <w:tabs>
                <w:tab w:val="center" w:pos="4680"/>
              </w:tabs>
              <w:suppressAutoHyphens/>
              <w:rPr>
                <w:b/>
                <w:color w:val="000000" w:themeColor="text1"/>
                <w:spacing w:val="-2"/>
                <w:szCs w:val="22"/>
              </w:rPr>
            </w:pPr>
          </w:p>
          <w:p w14:paraId="561E61C3"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66994E7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226499F4"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0872F43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3D10B6C1"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453FE7D9"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3FAE5296" w14:textId="77777777" w:rsidR="00E9376C" w:rsidRPr="00981F23" w:rsidRDefault="00E9376C">
            <w:pPr>
              <w:tabs>
                <w:tab w:val="center" w:pos="4680"/>
              </w:tabs>
              <w:suppressAutoHyphens/>
              <w:rPr>
                <w:color w:val="000000" w:themeColor="text1"/>
                <w:spacing w:val="-2"/>
                <w:szCs w:val="22"/>
              </w:rPr>
            </w:pPr>
          </w:p>
          <w:p w14:paraId="1DA32DC5" w14:textId="77777777" w:rsidR="00242FE3" w:rsidRDefault="00E9376C">
            <w:pPr>
              <w:rPr>
                <w:color w:val="000000" w:themeColor="text1"/>
                <w:spacing w:val="-2"/>
                <w:szCs w:val="22"/>
              </w:rPr>
            </w:pPr>
            <w:r w:rsidRPr="00981F23">
              <w:rPr>
                <w:color w:val="000000" w:themeColor="text1"/>
                <w:spacing w:val="-2"/>
                <w:szCs w:val="22"/>
              </w:rPr>
              <w:t xml:space="preserve">                </w:t>
            </w:r>
          </w:p>
          <w:p w14:paraId="0F605418" w14:textId="7EAF0308" w:rsidR="00242FE3" w:rsidRPr="00981F23" w:rsidRDefault="0059146B" w:rsidP="00C20551">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EE1EB0" w:rsidRPr="00EE1EB0">
              <w:rPr>
                <w:color w:val="000000" w:themeColor="text1"/>
                <w:spacing w:val="-2"/>
                <w:szCs w:val="22"/>
              </w:rPr>
              <w:t>EB-FIELDSCR-16-0002161</w:t>
            </w:r>
            <w:r w:rsidR="004936E7">
              <w:rPr>
                <w:color w:val="000000" w:themeColor="text1"/>
                <w:spacing w:val="-2"/>
                <w:szCs w:val="22"/>
              </w:rPr>
              <w:t>8</w:t>
            </w:r>
            <w:r w:rsidR="00E9376C" w:rsidRPr="00981F23">
              <w:rPr>
                <w:rStyle w:val="FootnoteReference"/>
                <w:color w:val="000000" w:themeColor="text1"/>
                <w:spacing w:val="-2"/>
                <w:sz w:val="22"/>
                <w:szCs w:val="22"/>
              </w:rPr>
              <w:footnoteReference w:id="2"/>
            </w:r>
          </w:p>
          <w:p w14:paraId="7D86C507" w14:textId="559262E2" w:rsidR="00242FE3" w:rsidRDefault="0059146B" w:rsidP="00C20551">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2F622E">
              <w:t>201732480002</w:t>
            </w:r>
          </w:p>
          <w:p w14:paraId="3641931B" w14:textId="1B494D7C" w:rsidR="00E9376C" w:rsidRPr="00981F23" w:rsidRDefault="0059146B" w:rsidP="00C20551">
            <w:pPr>
              <w:rPr>
                <w:snapToGrid/>
                <w:color w:val="000000" w:themeColor="text1"/>
                <w:spacing w:val="-2"/>
                <w:szCs w:val="22"/>
              </w:rPr>
            </w:pPr>
            <w:r>
              <w:rPr>
                <w:color w:val="000000" w:themeColor="text1"/>
                <w:spacing w:val="-2"/>
                <w:szCs w:val="22"/>
              </w:rPr>
              <w:t xml:space="preserve">  </w:t>
            </w:r>
            <w:r w:rsidR="00AD05D3">
              <w:rPr>
                <w:color w:val="000000" w:themeColor="text1"/>
                <w:spacing w:val="-2"/>
                <w:szCs w:val="22"/>
              </w:rPr>
              <w:t>FRN:  0025972464</w:t>
            </w:r>
          </w:p>
          <w:p w14:paraId="0CB54C80"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3B11756E"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27D2CA70" w14:textId="77777777" w:rsidR="00E9376C" w:rsidRPr="00981F23" w:rsidRDefault="00E9376C">
      <w:pPr>
        <w:pStyle w:val="BodyText"/>
        <w:tabs>
          <w:tab w:val="left" w:pos="4680"/>
        </w:tabs>
        <w:jc w:val="center"/>
        <w:rPr>
          <w:color w:val="000000" w:themeColor="text1"/>
          <w:sz w:val="22"/>
          <w:szCs w:val="22"/>
          <w:u w:val="none"/>
        </w:rPr>
      </w:pPr>
    </w:p>
    <w:p w14:paraId="5CACFD7B" w14:textId="26998E70"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2F622E">
        <w:rPr>
          <w:b/>
          <w:spacing w:val="-2"/>
          <w:szCs w:val="22"/>
        </w:rPr>
        <w:t xml:space="preserve">October </w:t>
      </w:r>
      <w:r w:rsidR="00381FE7">
        <w:rPr>
          <w:b/>
          <w:spacing w:val="-2"/>
          <w:szCs w:val="22"/>
        </w:rPr>
        <w:t>19</w:t>
      </w:r>
      <w:r w:rsidR="002F622E">
        <w:rPr>
          <w:b/>
          <w:spacing w:val="-2"/>
          <w:szCs w:val="22"/>
        </w:rPr>
        <w:t>, 2016</w:t>
      </w:r>
      <w:r w:rsidRPr="00037DB0">
        <w:rPr>
          <w:b/>
          <w:spacing w:val="-2"/>
          <w:szCs w:val="22"/>
        </w:rPr>
        <w:tab/>
        <w:t xml:space="preserve">Released:  </w:t>
      </w:r>
      <w:r w:rsidR="002F622E">
        <w:rPr>
          <w:b/>
          <w:spacing w:val="-2"/>
          <w:szCs w:val="22"/>
        </w:rPr>
        <w:t>October 20, 2016</w:t>
      </w:r>
    </w:p>
    <w:p w14:paraId="73854CDE" w14:textId="77777777" w:rsidR="00E9376C" w:rsidRPr="00981F23" w:rsidRDefault="00E9376C" w:rsidP="009645E5">
      <w:pPr>
        <w:pStyle w:val="BodyText"/>
        <w:tabs>
          <w:tab w:val="left" w:pos="4680"/>
        </w:tabs>
        <w:jc w:val="center"/>
        <w:rPr>
          <w:color w:val="000000" w:themeColor="text1"/>
          <w:sz w:val="22"/>
          <w:szCs w:val="22"/>
          <w:u w:val="none"/>
        </w:rPr>
      </w:pPr>
    </w:p>
    <w:p w14:paraId="5BE2E425" w14:textId="77777777" w:rsidR="00CE5F1E" w:rsidRPr="006D73F2" w:rsidRDefault="00CE5F1E" w:rsidP="00A92DF8">
      <w:pPr>
        <w:widowControl/>
        <w:tabs>
          <w:tab w:val="left" w:pos="720"/>
          <w:tab w:val="left" w:pos="5760"/>
        </w:tabs>
        <w:suppressAutoHyphens/>
        <w:spacing w:line="228" w:lineRule="auto"/>
        <w:jc w:val="both"/>
        <w:rPr>
          <w:spacing w:val="-2"/>
          <w:szCs w:val="22"/>
        </w:rPr>
      </w:pPr>
      <w:r w:rsidRPr="006D73F2">
        <w:rPr>
          <w:spacing w:val="-2"/>
          <w:szCs w:val="22"/>
        </w:rPr>
        <w:t>By the Regional Director</w:t>
      </w:r>
      <w:r w:rsidR="00EE1EB0">
        <w:rPr>
          <w:spacing w:val="-2"/>
          <w:szCs w:val="22"/>
        </w:rPr>
        <w:t xml:space="preserve">, Region </w:t>
      </w:r>
      <w:r w:rsidR="00EE1EB0" w:rsidRPr="00EB7C89">
        <w:rPr>
          <w:spacing w:val="-2"/>
          <w:szCs w:val="22"/>
        </w:rPr>
        <w:t>Two</w:t>
      </w:r>
      <w:r w:rsidR="00364369" w:rsidRPr="00EB7C89">
        <w:rPr>
          <w:spacing w:val="-2"/>
          <w:szCs w:val="22"/>
        </w:rPr>
        <w:t>,</w:t>
      </w:r>
      <w:r w:rsidR="00364369">
        <w:rPr>
          <w:spacing w:val="-2"/>
          <w:szCs w:val="22"/>
        </w:rPr>
        <w:t xml:space="preserve"> Enforcement Bureau</w:t>
      </w:r>
      <w:r w:rsidRPr="006D73F2">
        <w:rPr>
          <w:spacing w:val="-2"/>
          <w:szCs w:val="22"/>
        </w:rPr>
        <w:t>:</w:t>
      </w:r>
    </w:p>
    <w:p w14:paraId="2A575741" w14:textId="77777777" w:rsidR="00E9376C" w:rsidRPr="00981F23" w:rsidRDefault="00E9376C" w:rsidP="00AE35F6">
      <w:pPr>
        <w:pStyle w:val="BodyText"/>
        <w:tabs>
          <w:tab w:val="left" w:pos="4680"/>
        </w:tabs>
        <w:rPr>
          <w:b w:val="0"/>
          <w:color w:val="000000" w:themeColor="text1"/>
          <w:sz w:val="22"/>
          <w:szCs w:val="22"/>
          <w:u w:val="none"/>
        </w:rPr>
      </w:pPr>
    </w:p>
    <w:p w14:paraId="73BB1D18" w14:textId="77777777" w:rsidR="00E9376C" w:rsidRPr="00981F23" w:rsidRDefault="00E9376C" w:rsidP="00F60397">
      <w:pPr>
        <w:pStyle w:val="Heading1"/>
        <w:rPr>
          <w:color w:val="000000" w:themeColor="text1"/>
        </w:rPr>
      </w:pPr>
      <w:r w:rsidRPr="00981F23">
        <w:rPr>
          <w:color w:val="000000" w:themeColor="text1"/>
        </w:rPr>
        <w:t>INTRODUCTION</w:t>
      </w:r>
    </w:p>
    <w:p w14:paraId="6C5822AB" w14:textId="451B3FD9" w:rsidR="00E9376C" w:rsidRPr="00981F23" w:rsidRDefault="00E9376C" w:rsidP="00B224A3">
      <w:pPr>
        <w:pStyle w:val="ParaNum"/>
        <w:rPr>
          <w:spacing w:val="-2"/>
        </w:rPr>
      </w:pPr>
      <w:r w:rsidRPr="00981F23">
        <w:t xml:space="preserve">We propose a penalty of </w:t>
      </w:r>
      <w:r w:rsidR="007E37FD">
        <w:t xml:space="preserve">$15,000 </w:t>
      </w:r>
      <w:r w:rsidRPr="00981F23">
        <w:t>against</w:t>
      </w:r>
      <w:r w:rsidR="003F2B5A" w:rsidRPr="00981F23">
        <w:t xml:space="preserve"> </w:t>
      </w:r>
      <w:r w:rsidR="00B224A3">
        <w:t xml:space="preserve">Michael Dudley (Mr. Dudley) </w:t>
      </w:r>
      <w:r w:rsidR="00C855DA" w:rsidRPr="00981F23">
        <w:t xml:space="preserve">for </w:t>
      </w:r>
      <w:r w:rsidRPr="00981F23">
        <w:t xml:space="preserve">apparently </w:t>
      </w:r>
      <w:r w:rsidR="00B224A3">
        <w:t>operating a</w:t>
      </w:r>
      <w:r w:rsidR="00D4088F">
        <w:t xml:space="preserve">n unlicensed </w:t>
      </w:r>
      <w:r w:rsidR="00B224A3">
        <w:t>radio station in Gunter</w:t>
      </w:r>
      <w:r w:rsidR="000667E3">
        <w:t>s</w:t>
      </w:r>
      <w:r w:rsidR="00B224A3">
        <w:t>ville, AL.  T</w:t>
      </w:r>
      <w:r w:rsidR="00B224A3" w:rsidRPr="00B224A3">
        <w:t xml:space="preserve">he Commission previously warned Mr. </w:t>
      </w:r>
      <w:r w:rsidR="00B224A3">
        <w:t xml:space="preserve">Dudley </w:t>
      </w:r>
      <w:r w:rsidR="00B224A3" w:rsidRPr="00B224A3">
        <w:t xml:space="preserve">that operation of this unlicensed station was illegal and that continued operation could result in further enforcement action. Mr. </w:t>
      </w:r>
      <w:r w:rsidR="00B224A3">
        <w:t xml:space="preserve">Dudley’s </w:t>
      </w:r>
      <w:r w:rsidR="00B224A3" w:rsidRPr="00B224A3">
        <w:t xml:space="preserve">deliberate disregard of the Commission's warning warrants a significant penalty. </w:t>
      </w:r>
      <w:r w:rsidR="00B224A3">
        <w:t xml:space="preserve"> </w:t>
      </w:r>
      <w:r w:rsidR="00B224A3" w:rsidRPr="00B224A3">
        <w:t>Commission action in this area is essential because unlicensed radio stations create a danger of interference to licensed communications and undermine the Commission's authority over FM broadcast radio operations</w:t>
      </w:r>
      <w:r w:rsidR="00A160C2">
        <w:t>.</w:t>
      </w:r>
      <w:r w:rsidRPr="00981F23">
        <w:t xml:space="preserve"> </w:t>
      </w:r>
    </w:p>
    <w:p w14:paraId="0C36EB31" w14:textId="77777777" w:rsidR="0050166C" w:rsidRPr="00981F23" w:rsidRDefault="00E9376C" w:rsidP="0050166C">
      <w:pPr>
        <w:pStyle w:val="Heading1"/>
        <w:rPr>
          <w:color w:val="000000" w:themeColor="text1"/>
          <w:spacing w:val="-2"/>
        </w:rPr>
      </w:pPr>
      <w:r w:rsidRPr="00981F23">
        <w:rPr>
          <w:color w:val="000000" w:themeColor="text1"/>
        </w:rPr>
        <w:t>BACKGROUND</w:t>
      </w:r>
    </w:p>
    <w:p w14:paraId="31E96E06" w14:textId="20EEB9F6" w:rsidR="008346C2" w:rsidRPr="008E34B1" w:rsidRDefault="00FD1C7D" w:rsidP="004401FF">
      <w:pPr>
        <w:pStyle w:val="ParaNum"/>
        <w:rPr>
          <w:spacing w:val="-2"/>
        </w:rPr>
      </w:pPr>
      <w:r>
        <w:t>On April 28, 2016, t</w:t>
      </w:r>
      <w:r w:rsidR="001751F9">
        <w:t xml:space="preserve">he Commission received a complaint about an unauthorized radio station operating on 103.9 MHz in Guntersville, Alabama.  </w:t>
      </w:r>
      <w:r w:rsidR="009A7B35">
        <w:t>On May 3, 2016, a</w:t>
      </w:r>
      <w:r w:rsidR="001751F9">
        <w:t xml:space="preserve">n </w:t>
      </w:r>
      <w:r w:rsidR="001751F9" w:rsidRPr="001751F9">
        <w:t xml:space="preserve">agent from the </w:t>
      </w:r>
      <w:r w:rsidR="00A455FE">
        <w:t xml:space="preserve">Atlanta </w:t>
      </w:r>
      <w:r w:rsidR="001751F9" w:rsidRPr="001751F9">
        <w:t xml:space="preserve">Office used mobile direction-finding techniques to locate the source of radio frequency transmissions on </w:t>
      </w:r>
      <w:r w:rsidR="001751F9">
        <w:t>103.9</w:t>
      </w:r>
      <w:r w:rsidR="001751F9" w:rsidRPr="001751F9">
        <w:t xml:space="preserve"> MHz to an FM transmitting antenna located at </w:t>
      </w:r>
      <w:r w:rsidR="001751F9">
        <w:t xml:space="preserve">a </w:t>
      </w:r>
      <w:r w:rsidR="001751F9" w:rsidRPr="001751F9">
        <w:t xml:space="preserve">residential property in </w:t>
      </w:r>
      <w:r w:rsidR="001751F9">
        <w:t>Guntersville, AL</w:t>
      </w:r>
      <w:r w:rsidR="001751F9" w:rsidRPr="001751F9">
        <w:t xml:space="preserve">.  </w:t>
      </w:r>
      <w:r w:rsidR="001751F9">
        <w:t>T</w:t>
      </w:r>
      <w:r w:rsidR="001751F9" w:rsidRPr="001751F9">
        <w:t xml:space="preserve">he agent took field strength measurements of the station’s signal and determined that the transmissions on </w:t>
      </w:r>
      <w:r w:rsidR="001751F9">
        <w:t xml:space="preserve">103.9 </w:t>
      </w:r>
      <w:r w:rsidR="001751F9" w:rsidRPr="001751F9">
        <w:t xml:space="preserve">MHz exceeded the limits for operation under Part 15 of the </w:t>
      </w:r>
      <w:r w:rsidR="00075B58">
        <w:t>Commission’s Rules (</w:t>
      </w:r>
      <w:r w:rsidR="001751F9" w:rsidRPr="001751F9">
        <w:t>Rules</w:t>
      </w:r>
      <w:r w:rsidR="00075B58">
        <w:t>)</w:t>
      </w:r>
      <w:r w:rsidR="001751F9" w:rsidRPr="001751F9">
        <w:t>, and therefore required a license.</w:t>
      </w:r>
      <w:r w:rsidR="00075B58">
        <w:rPr>
          <w:rStyle w:val="FootnoteReference"/>
        </w:rPr>
        <w:footnoteReference w:id="3"/>
      </w:r>
      <w:r w:rsidR="001751F9" w:rsidRPr="001751F9">
        <w:t xml:space="preserve"> </w:t>
      </w:r>
      <w:r w:rsidR="00353F83">
        <w:t xml:space="preserve"> </w:t>
      </w:r>
      <w:r w:rsidR="001751F9" w:rsidRPr="001751F9">
        <w:t xml:space="preserve">The agent consulted the Commission’s records and confirmed that no authorization had been issued for the operation of an FM broadcast station at or near the residence in </w:t>
      </w:r>
      <w:r w:rsidR="001751F9">
        <w:t>Guntersville, AL</w:t>
      </w:r>
      <w:r w:rsidR="001751F9" w:rsidRPr="001751F9">
        <w:t xml:space="preserve">.  </w:t>
      </w:r>
      <w:r w:rsidR="001953C6">
        <w:t>When the agent found that t</w:t>
      </w:r>
      <w:r w:rsidR="0039533D">
        <w:t xml:space="preserve">he homeowner, Mr. Dudley, was </w:t>
      </w:r>
      <w:r w:rsidR="00526198" w:rsidRPr="00526198">
        <w:t xml:space="preserve">not </w:t>
      </w:r>
      <w:r w:rsidR="00A455FE">
        <w:t xml:space="preserve">present </w:t>
      </w:r>
      <w:r w:rsidR="00526198" w:rsidRPr="00526198">
        <w:t xml:space="preserve">at </w:t>
      </w:r>
      <w:r w:rsidR="00A455FE">
        <w:t>the</w:t>
      </w:r>
      <w:r w:rsidR="0039533D">
        <w:t xml:space="preserve"> residence, </w:t>
      </w:r>
      <w:r w:rsidR="00526198">
        <w:t xml:space="preserve">the agent </w:t>
      </w:r>
      <w:r w:rsidR="0039533D">
        <w:t>contact</w:t>
      </w:r>
      <w:r w:rsidR="001953C6">
        <w:t>ed Mr. Dudley</w:t>
      </w:r>
      <w:r w:rsidR="0039533D">
        <w:t xml:space="preserve"> </w:t>
      </w:r>
      <w:r w:rsidR="00526198">
        <w:t xml:space="preserve">by phone.  The agent verbally warned Mr. Dudley </w:t>
      </w:r>
      <w:r w:rsidR="00526198" w:rsidRPr="00526198">
        <w:t xml:space="preserve">that it is illegal to operate </w:t>
      </w:r>
      <w:r w:rsidR="00B47D3D">
        <w:t xml:space="preserve">a radio station </w:t>
      </w:r>
      <w:r w:rsidR="00526198" w:rsidRPr="00526198">
        <w:t xml:space="preserve">without a valid FCC license. </w:t>
      </w:r>
      <w:r w:rsidR="00526198">
        <w:t xml:space="preserve">  Mr. Dudley said he </w:t>
      </w:r>
      <w:r w:rsidR="00526198" w:rsidRPr="00526198">
        <w:t xml:space="preserve">was out of town </w:t>
      </w:r>
      <w:r w:rsidR="00526198">
        <w:t xml:space="preserve">but would </w:t>
      </w:r>
      <w:r w:rsidR="00B47D3D">
        <w:t>turn off the tr</w:t>
      </w:r>
      <w:r w:rsidR="00526198">
        <w:t>ansmitter when he returned the next d</w:t>
      </w:r>
      <w:r w:rsidR="00FD08D6">
        <w:t>ay.  During that call,</w:t>
      </w:r>
      <w:r w:rsidR="00FD08D6" w:rsidRPr="00FD08D6">
        <w:t xml:space="preserve"> Mr. Dudley </w:t>
      </w:r>
      <w:r w:rsidR="00B47D3D">
        <w:t xml:space="preserve">also </w:t>
      </w:r>
      <w:r w:rsidR="00FD08D6" w:rsidRPr="00FD08D6">
        <w:t>volunteered to surrender his transmitter to the Commission.</w:t>
      </w:r>
      <w:r w:rsidR="00526198">
        <w:t xml:space="preserve"> </w:t>
      </w:r>
      <w:r w:rsidR="00591894">
        <w:t xml:space="preserve"> </w:t>
      </w:r>
      <w:r w:rsidR="00526198">
        <w:t xml:space="preserve"> </w:t>
      </w:r>
      <w:r w:rsidR="001751F9">
        <w:t>O</w:t>
      </w:r>
      <w:r w:rsidR="001751F9" w:rsidRPr="001751F9">
        <w:t xml:space="preserve">n </w:t>
      </w:r>
      <w:r w:rsidR="009A7B35">
        <w:t>the same day, the a</w:t>
      </w:r>
      <w:r w:rsidR="001751F9" w:rsidRPr="001751F9">
        <w:t xml:space="preserve">gent </w:t>
      </w:r>
      <w:r w:rsidR="009A7B35">
        <w:t>left a Notice of Unauthorized Operation (</w:t>
      </w:r>
      <w:r w:rsidR="001751F9" w:rsidRPr="001751F9">
        <w:t>NOUO</w:t>
      </w:r>
      <w:r w:rsidR="009A7B35">
        <w:t>) at Mr. Dudley’s residence</w:t>
      </w:r>
      <w:r w:rsidR="001751F9" w:rsidRPr="001751F9">
        <w:t xml:space="preserve"> </w:t>
      </w:r>
      <w:r w:rsidR="001751F9">
        <w:t>that</w:t>
      </w:r>
      <w:r w:rsidR="001751F9" w:rsidRPr="001751F9">
        <w:t xml:space="preserve"> directed </w:t>
      </w:r>
      <w:r w:rsidR="001751F9">
        <w:t xml:space="preserve">him </w:t>
      </w:r>
      <w:r w:rsidR="001751F9" w:rsidRPr="001751F9">
        <w:t xml:space="preserve">to cease operating the unlicensed radio station on </w:t>
      </w:r>
      <w:r w:rsidR="001751F9">
        <w:t xml:space="preserve">103.9 </w:t>
      </w:r>
      <w:r w:rsidR="001751F9" w:rsidRPr="001751F9">
        <w:t xml:space="preserve">MHz and warned that continued unlicensed operation could result in additional enforcement </w:t>
      </w:r>
      <w:r w:rsidR="001751F9" w:rsidRPr="001751F9">
        <w:lastRenderedPageBreak/>
        <w:t>action</w:t>
      </w:r>
      <w:r w:rsidR="001751F9">
        <w:t>.</w:t>
      </w:r>
      <w:r w:rsidR="0074195D">
        <w:rPr>
          <w:rStyle w:val="FootnoteReference"/>
        </w:rPr>
        <w:footnoteReference w:id="4"/>
      </w:r>
      <w:r w:rsidR="001751F9">
        <w:t xml:space="preserve"> </w:t>
      </w:r>
      <w:r w:rsidR="00884C10">
        <w:t xml:space="preserve"> </w:t>
      </w:r>
      <w:r w:rsidR="00591894">
        <w:t xml:space="preserve"> </w:t>
      </w:r>
      <w:r w:rsidR="004401FF" w:rsidRPr="004401FF">
        <w:t xml:space="preserve">Mr. Dudley subsequently voluntarily surrendered transmitting equipment </w:t>
      </w:r>
      <w:r w:rsidR="004401FF">
        <w:t xml:space="preserve">by mailing it </w:t>
      </w:r>
      <w:r w:rsidR="004401FF" w:rsidRPr="004401FF">
        <w:t xml:space="preserve">to the </w:t>
      </w:r>
      <w:r w:rsidR="00973AA4">
        <w:t>Commission</w:t>
      </w:r>
      <w:r w:rsidR="004401FF" w:rsidRPr="004401FF">
        <w:t>’s Regional Office in Atlanta.</w:t>
      </w:r>
      <w:r w:rsidR="00A93B1F">
        <w:rPr>
          <w:rStyle w:val="FootnoteReference"/>
        </w:rPr>
        <w:footnoteReference w:id="5"/>
      </w:r>
      <w:r w:rsidR="004401FF" w:rsidRPr="004401FF">
        <w:t xml:space="preserve">  </w:t>
      </w:r>
      <w:r w:rsidR="00591894">
        <w:t xml:space="preserve">On May 10, 2016, the Regional Director of the Commission’s Atlanta Regional Office sent Mr. Dudley a </w:t>
      </w:r>
      <w:r>
        <w:t>NOUO</w:t>
      </w:r>
      <w:r w:rsidR="00591894">
        <w:t>.</w:t>
      </w:r>
      <w:r w:rsidR="00591894">
        <w:rPr>
          <w:rStyle w:val="FootnoteReference"/>
        </w:rPr>
        <w:footnoteReference w:id="6"/>
      </w:r>
      <w:r w:rsidR="00591894">
        <w:t xml:space="preserve"> </w:t>
      </w:r>
      <w:r w:rsidR="00884C10">
        <w:t xml:space="preserve"> </w:t>
      </w:r>
    </w:p>
    <w:p w14:paraId="632EB0FF" w14:textId="244050CD" w:rsidR="008346C2" w:rsidRPr="008E34B1" w:rsidRDefault="00884C10" w:rsidP="00884C10">
      <w:pPr>
        <w:pStyle w:val="ParaNum"/>
        <w:rPr>
          <w:spacing w:val="-2"/>
        </w:rPr>
      </w:pPr>
      <w:r>
        <w:t xml:space="preserve">On July 14, 2016, the Commission received a complaint </w:t>
      </w:r>
      <w:r w:rsidR="0091534F">
        <w:t xml:space="preserve">alleging </w:t>
      </w:r>
      <w:r>
        <w:t xml:space="preserve">that </w:t>
      </w:r>
      <w:r w:rsidR="0091534F">
        <w:t>another un</w:t>
      </w:r>
      <w:r w:rsidR="00044E41">
        <w:t xml:space="preserve">licensed </w:t>
      </w:r>
      <w:r>
        <w:t xml:space="preserve">radio station was illegally operating </w:t>
      </w:r>
      <w:r w:rsidR="00044E41">
        <w:t xml:space="preserve">in the vicinity of Mr. Dudley’s residence, </w:t>
      </w:r>
      <w:r>
        <w:t>on 107.9 MHz.  The agent called Mr. Dudley to discuss the operation</w:t>
      </w:r>
      <w:r w:rsidR="00044E41">
        <w:t>,</w:t>
      </w:r>
      <w:r>
        <w:t xml:space="preserve"> and </w:t>
      </w:r>
      <w:r w:rsidR="00044E41">
        <w:t xml:space="preserve">found that </w:t>
      </w:r>
      <w:r>
        <w:t>Mr. Dudley refused t</w:t>
      </w:r>
      <w:r w:rsidRPr="00884C10">
        <w:t xml:space="preserve">o turn the station off. </w:t>
      </w:r>
      <w:r>
        <w:t xml:space="preserve"> </w:t>
      </w:r>
      <w:r w:rsidRPr="00884C10">
        <w:t xml:space="preserve">He </w:t>
      </w:r>
      <w:r w:rsidR="00044E41">
        <w:t xml:space="preserve">claimed that </w:t>
      </w:r>
      <w:r w:rsidRPr="00884C10">
        <w:t>people in his area want</w:t>
      </w:r>
      <w:r w:rsidR="00591894">
        <w:t>ed</w:t>
      </w:r>
      <w:r w:rsidRPr="00884C10">
        <w:t xml:space="preserve"> him on the air</w:t>
      </w:r>
      <w:r w:rsidR="00591894">
        <w:t xml:space="preserve">.  He </w:t>
      </w:r>
      <w:r w:rsidR="00044E41">
        <w:t xml:space="preserve">also maintained that, </w:t>
      </w:r>
      <w:r w:rsidRPr="00884C10">
        <w:t xml:space="preserve">since </w:t>
      </w:r>
      <w:r>
        <w:t>he could not apply for a radio license because no Commission application window was open, his “hands were tied</w:t>
      </w:r>
      <w:r w:rsidR="00044E41">
        <w:t>,</w:t>
      </w:r>
      <w:r>
        <w:t xml:space="preserve">” and </w:t>
      </w:r>
      <w:r w:rsidR="00A455FE">
        <w:t xml:space="preserve">that </w:t>
      </w:r>
      <w:r>
        <w:t xml:space="preserve">he would continue to operate.  </w:t>
      </w:r>
    </w:p>
    <w:p w14:paraId="11491828" w14:textId="6C1C7C38" w:rsidR="00015D7C" w:rsidRPr="00981F23" w:rsidRDefault="00884C10" w:rsidP="00F93DD3">
      <w:pPr>
        <w:pStyle w:val="ParaNum"/>
        <w:rPr>
          <w:spacing w:val="-2"/>
        </w:rPr>
      </w:pPr>
      <w:r>
        <w:t xml:space="preserve">On </w:t>
      </w:r>
      <w:r w:rsidRPr="00884C10">
        <w:t>July 18, 2016,</w:t>
      </w:r>
      <w:r>
        <w:t xml:space="preserve"> </w:t>
      </w:r>
      <w:r w:rsidR="00044E41">
        <w:t xml:space="preserve">Commission </w:t>
      </w:r>
      <w:r w:rsidR="00A455FE">
        <w:t>a</w:t>
      </w:r>
      <w:r>
        <w:t xml:space="preserve">gents used direction finding techniques to locate the source of radio frequency transmissions on 107.9 MHz to an FM transmitting antenna located at the </w:t>
      </w:r>
      <w:r w:rsidRPr="00884C10">
        <w:t xml:space="preserve">same residence </w:t>
      </w:r>
      <w:r>
        <w:t>in Guntersville, AL</w:t>
      </w:r>
      <w:r w:rsidR="00A116A6">
        <w:t xml:space="preserve"> that was observed on May 3</w:t>
      </w:r>
      <w:r>
        <w:t>.  The agents took field strength m</w:t>
      </w:r>
      <w:r w:rsidRPr="00884C10">
        <w:t xml:space="preserve">easurements of the station’s signal and determined that the transmissions on </w:t>
      </w:r>
      <w:r>
        <w:t>107.9</w:t>
      </w:r>
      <w:r w:rsidRPr="00884C10">
        <w:t xml:space="preserve"> MHz exceeded the limits for operation under Part 15 of the Rules, and therefore required a license. </w:t>
      </w:r>
      <w:r>
        <w:t xml:space="preserve"> One of t</w:t>
      </w:r>
      <w:r w:rsidRPr="00884C10">
        <w:t>he agent</w:t>
      </w:r>
      <w:r>
        <w:t>s</w:t>
      </w:r>
      <w:r w:rsidRPr="00884C10">
        <w:t xml:space="preserve"> consulted the Commission’s records and confirmed that no authorization had been issued for the operation of an FM broadcast station at or near the residence in Guntersville, AL</w:t>
      </w:r>
      <w:r>
        <w:t xml:space="preserve">.  The station stopped operating as soon as the field strength measurements were taken.  No one responded when the agents knocked on the door, so one of the agents left a </w:t>
      </w:r>
      <w:r w:rsidRPr="00884C10">
        <w:t xml:space="preserve">handwritten </w:t>
      </w:r>
      <w:r w:rsidR="00F93DD3">
        <w:t xml:space="preserve">NOUO </w:t>
      </w:r>
      <w:r>
        <w:t xml:space="preserve">under </w:t>
      </w:r>
      <w:r w:rsidRPr="00884C10">
        <w:t>the door</w:t>
      </w:r>
      <w:r w:rsidR="00F93DD3">
        <w:t xml:space="preserve"> </w:t>
      </w:r>
      <w:r w:rsidR="00F93DD3" w:rsidRPr="00F93DD3">
        <w:t xml:space="preserve">that directed </w:t>
      </w:r>
      <w:r w:rsidR="00A455FE">
        <w:t xml:space="preserve">Mr. Dudley </w:t>
      </w:r>
      <w:r w:rsidR="00F93DD3" w:rsidRPr="00F93DD3">
        <w:t>to cease operating the unlicensed radio station on 10</w:t>
      </w:r>
      <w:r w:rsidR="00A455FE">
        <w:t>7</w:t>
      </w:r>
      <w:r w:rsidR="00F93DD3" w:rsidRPr="00F93DD3">
        <w:t>.9 MHz and warned that continued unlicensed operation could result in additional enforcement action</w:t>
      </w:r>
      <w:r w:rsidRPr="00884C10">
        <w:t>.</w:t>
      </w:r>
      <w:r w:rsidR="002F2CAE">
        <w:rPr>
          <w:rStyle w:val="FootnoteReference"/>
        </w:rPr>
        <w:footnoteReference w:id="7"/>
      </w:r>
      <w:r w:rsidRPr="00884C10">
        <w:t xml:space="preserve"> </w:t>
      </w:r>
      <w:r w:rsidR="002F2CAE">
        <w:t xml:space="preserve"> Mr. Dudley contacted the agent later the same day and admitted he was operating the station without a license.</w:t>
      </w:r>
    </w:p>
    <w:p w14:paraId="3C307120" w14:textId="77777777" w:rsidR="00E9376C" w:rsidRPr="00981F23" w:rsidRDefault="00E9376C" w:rsidP="004E5204">
      <w:pPr>
        <w:pStyle w:val="Heading1"/>
        <w:rPr>
          <w:color w:val="000000" w:themeColor="text1"/>
        </w:rPr>
      </w:pPr>
      <w:r w:rsidRPr="00981F23">
        <w:rPr>
          <w:color w:val="000000" w:themeColor="text1"/>
        </w:rPr>
        <w:t>DISCUSSION</w:t>
      </w:r>
    </w:p>
    <w:p w14:paraId="2970B41D" w14:textId="5594023D" w:rsidR="00D36221" w:rsidRPr="008E34B1" w:rsidRDefault="00F134E3" w:rsidP="008E34B1">
      <w:pPr>
        <w:pStyle w:val="ParaNum"/>
        <w:rPr>
          <w:spacing w:val="-2"/>
        </w:rPr>
      </w:pPr>
      <w:r w:rsidRPr="00D36221">
        <w:rPr>
          <w:spacing w:val="-2"/>
        </w:rPr>
        <w:t xml:space="preserve">We find that </w:t>
      </w:r>
      <w:r w:rsidR="006568E9" w:rsidRPr="00D36221">
        <w:t xml:space="preserve">Mr. Dudley </w:t>
      </w:r>
      <w:r w:rsidRPr="00D36221">
        <w:t xml:space="preserve">apparently willfully and repeatedly violated </w:t>
      </w:r>
      <w:r w:rsidR="006568E9" w:rsidRPr="00D36221">
        <w:t>Section 301 of the Communications Act of 1934, as amended (Act).</w:t>
      </w:r>
      <w:r w:rsidR="006568E9" w:rsidRPr="00D36221">
        <w:rPr>
          <w:rStyle w:val="FootnoteReference"/>
        </w:rPr>
        <w:footnoteReference w:id="8"/>
      </w:r>
      <w:r w:rsidR="006568E9" w:rsidRPr="00D36221">
        <w:t xml:space="preserve">  </w:t>
      </w:r>
      <w:r w:rsidR="00010982" w:rsidRPr="00D36221">
        <w:t xml:space="preserve">Section 301 of the Act states that no person shall use or operate an apparatus for the transmission of energy or communications or signals by radio within the United States without a license granted by the Commission.  On May </w:t>
      </w:r>
      <w:r w:rsidR="00DD553C" w:rsidRPr="00D36221">
        <w:t>3</w:t>
      </w:r>
      <w:r w:rsidR="00010982" w:rsidRPr="00D36221">
        <w:t>, 2016</w:t>
      </w:r>
      <w:r w:rsidR="00044E41">
        <w:t>,</w:t>
      </w:r>
      <w:r w:rsidR="00010982" w:rsidRPr="00D36221">
        <w:t xml:space="preserve"> </w:t>
      </w:r>
      <w:r w:rsidR="00DD553C" w:rsidRPr="00D36221">
        <w:t xml:space="preserve">an agent </w:t>
      </w:r>
      <w:r w:rsidR="00010982" w:rsidRPr="00D36221">
        <w:t xml:space="preserve">determined that </w:t>
      </w:r>
      <w:r w:rsidR="00A42610">
        <w:t xml:space="preserve">Mr. Dudley operated </w:t>
      </w:r>
      <w:r w:rsidR="00010982" w:rsidRPr="00D36221">
        <w:t xml:space="preserve">an unlicensed radio station on </w:t>
      </w:r>
      <w:r w:rsidR="00DD553C" w:rsidRPr="00D36221">
        <w:t xml:space="preserve">103.9 </w:t>
      </w:r>
      <w:r w:rsidR="00010982" w:rsidRPr="00D36221">
        <w:t>MHz</w:t>
      </w:r>
      <w:r w:rsidR="00A42610">
        <w:t>.</w:t>
      </w:r>
      <w:r w:rsidR="00010982" w:rsidRPr="00D36221">
        <w:t xml:space="preserve">  The agent warned Mr. Dudley verbally and in writing that such unlicensed operation </w:t>
      </w:r>
      <w:r w:rsidR="00892B75" w:rsidRPr="00D36221">
        <w:t xml:space="preserve">violated the Act.  </w:t>
      </w:r>
      <w:r w:rsidR="00DD553C" w:rsidRPr="00D36221">
        <w:t xml:space="preserve">Mr. Dudley expressly acknowledged </w:t>
      </w:r>
      <w:r w:rsidR="00D33F35">
        <w:t xml:space="preserve">that operation of his unlicensed station was </w:t>
      </w:r>
      <w:r w:rsidR="00DA5BCE">
        <w:t>illegal</w:t>
      </w:r>
      <w:r w:rsidR="00DD553C" w:rsidRPr="00D36221">
        <w:t xml:space="preserve"> by signing </w:t>
      </w:r>
      <w:r w:rsidR="00D33F35">
        <w:t xml:space="preserve">the </w:t>
      </w:r>
      <w:r w:rsidR="00801D47">
        <w:t xml:space="preserve">Dudley </w:t>
      </w:r>
      <w:r w:rsidR="00DD553C" w:rsidRPr="00D36221">
        <w:t xml:space="preserve">Voluntary Relinquishment </w:t>
      </w:r>
      <w:r w:rsidR="00801D47">
        <w:t>F</w:t>
      </w:r>
      <w:r w:rsidR="00D33F35">
        <w:t xml:space="preserve">orm </w:t>
      </w:r>
      <w:r w:rsidR="00DD553C" w:rsidRPr="00D36221">
        <w:t>and s</w:t>
      </w:r>
      <w:r w:rsidR="00A116A6">
        <w:t>urrendering</w:t>
      </w:r>
      <w:r w:rsidR="00DD553C" w:rsidRPr="00D36221">
        <w:t xml:space="preserve"> the illegal </w:t>
      </w:r>
      <w:r w:rsidR="005046BE" w:rsidRPr="00D36221">
        <w:t xml:space="preserve">radio </w:t>
      </w:r>
      <w:r w:rsidR="00DD553C" w:rsidRPr="00D36221">
        <w:t>equipment to the Commission.</w:t>
      </w:r>
      <w:r w:rsidR="007E6FAF">
        <w:rPr>
          <w:rStyle w:val="FootnoteReference"/>
        </w:rPr>
        <w:footnoteReference w:id="9"/>
      </w:r>
      <w:r w:rsidR="00DD553C" w:rsidRPr="00D36221">
        <w:t xml:space="preserve">  On July 18, 2016, </w:t>
      </w:r>
      <w:r w:rsidR="005046BE" w:rsidRPr="00D36221">
        <w:t xml:space="preserve">an agent from the </w:t>
      </w:r>
      <w:r w:rsidR="002F2CAE">
        <w:t>Atlanta</w:t>
      </w:r>
      <w:r w:rsidR="005046BE" w:rsidRPr="00D36221">
        <w:t xml:space="preserve"> Office determined that </w:t>
      </w:r>
      <w:r w:rsidR="00143B54">
        <w:t xml:space="preserve">Mr. Dudley operated </w:t>
      </w:r>
      <w:r w:rsidR="005046BE" w:rsidRPr="00D36221">
        <w:t>an unlicensed radio station on 10</w:t>
      </w:r>
      <w:r w:rsidR="00B47D3D">
        <w:t>7</w:t>
      </w:r>
      <w:r w:rsidR="005046BE" w:rsidRPr="00D36221">
        <w:t xml:space="preserve">.9 MHz.  Mr. Dudley was warned again in writing that such unlicensed operations violated the Act.  </w:t>
      </w:r>
      <w:r w:rsidR="00892B75" w:rsidRPr="00D36221">
        <w:t xml:space="preserve">Nonetheless, Mr. Dudley continued to operate an unlicensed radio station.  </w:t>
      </w:r>
      <w:r w:rsidR="00892B75" w:rsidRPr="00CC639F">
        <w:t xml:space="preserve">As a result, we find Mr. Dudley apparently willfully and repeatedly violated Section 301 of the Act by operating an unlicensed radio station.  </w:t>
      </w:r>
    </w:p>
    <w:p w14:paraId="63BA8E0E" w14:textId="77777777" w:rsidR="006F7CFB" w:rsidRPr="008E34B1" w:rsidRDefault="00E9376C" w:rsidP="008E34B1">
      <w:pPr>
        <w:pStyle w:val="ParaNum"/>
        <w:rPr>
          <w:spacing w:val="-2"/>
        </w:rPr>
      </w:pPr>
      <w:r w:rsidRPr="008E34B1">
        <w:rPr>
          <w:spacing w:val="-2"/>
        </w:rPr>
        <w:t xml:space="preserve">Section 503(b) of the Act </w:t>
      </w:r>
      <w:r w:rsidR="00A031CA" w:rsidRPr="008E34B1">
        <w:rPr>
          <w:spacing w:val="-2"/>
        </w:rPr>
        <w:t>authorizes the Commission to impose a forfeiture against any entity that “</w:t>
      </w:r>
      <w:r w:rsidRPr="008E34B1">
        <w:rPr>
          <w:spacing w:val="-2"/>
        </w:rPr>
        <w:t>willfully or repeatedly fail</w:t>
      </w:r>
      <w:r w:rsidR="00A031CA" w:rsidRPr="008E34B1">
        <w:rPr>
          <w:spacing w:val="-2"/>
        </w:rPr>
        <w:t>[</w:t>
      </w:r>
      <w:r w:rsidRPr="008E34B1">
        <w:rPr>
          <w:spacing w:val="-2"/>
        </w:rPr>
        <w:t>s</w:t>
      </w:r>
      <w:r w:rsidR="00A031CA" w:rsidRPr="008E34B1">
        <w:rPr>
          <w:spacing w:val="-2"/>
        </w:rPr>
        <w:t>]</w:t>
      </w:r>
      <w:r w:rsidRPr="008E34B1">
        <w:rPr>
          <w:spacing w:val="-2"/>
        </w:rPr>
        <w:t xml:space="preserve"> to comply </w:t>
      </w:r>
      <w:r w:rsidR="00A031CA" w:rsidRPr="008E34B1">
        <w:rPr>
          <w:spacing w:val="-2"/>
        </w:rPr>
        <w:t xml:space="preserve">with any of the provisions of [the Act] or of any rule, </w:t>
      </w:r>
      <w:r w:rsidR="00A031CA" w:rsidRPr="008E34B1">
        <w:rPr>
          <w:spacing w:val="-2"/>
        </w:rPr>
        <w:lastRenderedPageBreak/>
        <w:t>regulation, or order issued by the Commission.”</w:t>
      </w:r>
      <w:r w:rsidRPr="008E34B1">
        <w:rPr>
          <w:rStyle w:val="FootnoteReference"/>
        </w:rPr>
        <w:footnoteReference w:id="10"/>
      </w:r>
      <w:r w:rsidRPr="008E34B1">
        <w:rPr>
          <w:rStyle w:val="FootnoteReference"/>
        </w:rPr>
        <w:t xml:space="preserve">  </w:t>
      </w:r>
      <w:r w:rsidR="00C5625D" w:rsidRPr="008E34B1">
        <w:rPr>
          <w:spacing w:val="-2"/>
        </w:rPr>
        <w:t xml:space="preserve">Here, </w:t>
      </w:r>
      <w:r w:rsidR="002F3CB7" w:rsidRPr="008E34B1">
        <w:rPr>
          <w:spacing w:val="-2"/>
        </w:rPr>
        <w:t>Section 503(b)(2)</w:t>
      </w:r>
      <w:r w:rsidR="00741875" w:rsidRPr="008E34B1">
        <w:rPr>
          <w:spacing w:val="-2"/>
        </w:rPr>
        <w:t>(D)</w:t>
      </w:r>
      <w:r w:rsidR="002F3CB7" w:rsidRPr="008E34B1">
        <w:rPr>
          <w:spacing w:val="-2"/>
        </w:rPr>
        <w:t xml:space="preserve"> of the Act authorizes </w:t>
      </w:r>
      <w:r w:rsidR="00C5625D" w:rsidRPr="008E34B1">
        <w:rPr>
          <w:spacing w:val="-2"/>
        </w:rPr>
        <w:t>us</w:t>
      </w:r>
      <w:r w:rsidR="002F3CB7" w:rsidRPr="008E34B1">
        <w:rPr>
          <w:spacing w:val="-2"/>
        </w:rPr>
        <w:t xml:space="preserve"> to assess a forfeiture against </w:t>
      </w:r>
      <w:r w:rsidR="00205181" w:rsidRPr="008E34B1">
        <w:rPr>
          <w:spacing w:val="-2"/>
        </w:rPr>
        <w:t xml:space="preserve">Mr. Dudley </w:t>
      </w:r>
      <w:r w:rsidR="002F3CB7" w:rsidRPr="008E34B1">
        <w:rPr>
          <w:spacing w:val="-2"/>
        </w:rPr>
        <w:t>of up to $</w:t>
      </w:r>
      <w:r w:rsidR="00143FD1">
        <w:rPr>
          <w:spacing w:val="-2"/>
        </w:rPr>
        <w:t xml:space="preserve">18,936 </w:t>
      </w:r>
      <w:r w:rsidR="002F3CB7" w:rsidRPr="008E34B1">
        <w:rPr>
          <w:spacing w:val="-2"/>
        </w:rPr>
        <w:t>for each day of a continuing violation, up to a statutory maximum of $</w:t>
      </w:r>
      <w:r w:rsidR="00143FD1">
        <w:rPr>
          <w:spacing w:val="-2"/>
        </w:rPr>
        <w:t xml:space="preserve">142,021 </w:t>
      </w:r>
      <w:r w:rsidR="002F3CB7" w:rsidRPr="008E34B1">
        <w:rPr>
          <w:spacing w:val="-2"/>
        </w:rPr>
        <w:t>for a single act or failure to act.</w:t>
      </w:r>
      <w:r w:rsidR="002F3CB7" w:rsidRPr="008E34B1">
        <w:rPr>
          <w:rStyle w:val="FootnoteReference"/>
        </w:rPr>
        <w:footnoteReference w:id="11"/>
      </w:r>
      <w:r w:rsidR="002F3CB7" w:rsidRPr="008E34B1">
        <w:rPr>
          <w:rStyle w:val="FootnoteReference"/>
        </w:rPr>
        <w:t xml:space="preserve"> </w:t>
      </w:r>
      <w:r w:rsidR="002F3CB7" w:rsidRPr="008E34B1">
        <w:rPr>
          <w:spacing w:val="-2"/>
        </w:rPr>
        <w:t xml:space="preserve"> In exercising our forfeiture authority, we must consider</w:t>
      </w:r>
      <w:r w:rsidR="00EA5433" w:rsidRPr="008E34B1">
        <w:rPr>
          <w:spacing w:val="-2"/>
        </w:rPr>
        <w:t xml:space="preserve"> the “</w:t>
      </w:r>
      <w:r w:rsidR="002F3CB7" w:rsidRPr="008E34B1">
        <w:rPr>
          <w:spacing w:val="-2"/>
        </w:rPr>
        <w:t>nature, circumstances, extent, and gravity of the violation and, with respect to the violator, the degree of culpability, any history of prior offenses, ability to pay, and such other matters as justice may require.”</w:t>
      </w:r>
      <w:r w:rsidR="002F3CB7" w:rsidRPr="008E34B1">
        <w:rPr>
          <w:rStyle w:val="FootnoteReference"/>
        </w:rPr>
        <w:footnoteReference w:id="12"/>
      </w:r>
      <w:r w:rsidR="002F3CB7" w:rsidRPr="008E34B1">
        <w:rPr>
          <w:rStyle w:val="FootnoteReference"/>
        </w:rPr>
        <w:t xml:space="preserve"> </w:t>
      </w:r>
      <w:r w:rsidR="002F3CB7" w:rsidRPr="001E58A1">
        <w:rPr>
          <w:spacing w:val="-2"/>
        </w:rPr>
        <w:t xml:space="preserve"> </w:t>
      </w:r>
      <w:r w:rsidR="00EA5433" w:rsidRPr="008E34B1">
        <w:rPr>
          <w:spacing w:val="-2"/>
        </w:rPr>
        <w:t>In addition, the Commission has established forfeiture guidelines</w:t>
      </w:r>
      <w:r w:rsidR="00FD1D43" w:rsidRPr="008E34B1">
        <w:rPr>
          <w:spacing w:val="-2"/>
        </w:rPr>
        <w:t>; t</w:t>
      </w:r>
      <w:r w:rsidR="00C366C3" w:rsidRPr="008E34B1">
        <w:rPr>
          <w:spacing w:val="-2"/>
        </w:rPr>
        <w:t>hey</w:t>
      </w:r>
      <w:r w:rsidR="00EA5433" w:rsidRPr="008E34B1">
        <w:rPr>
          <w:spacing w:val="-2"/>
        </w:rPr>
        <w:t xml:space="preserve"> establish base penalties for certain violations and identify criteria that we consider when</w:t>
      </w:r>
      <w:r w:rsidR="00C366C3" w:rsidRPr="008E34B1">
        <w:rPr>
          <w:spacing w:val="-2"/>
        </w:rPr>
        <w:t xml:space="preserve"> </w:t>
      </w:r>
      <w:r w:rsidR="00EA5433" w:rsidRPr="008E34B1">
        <w:rPr>
          <w:spacing w:val="-2"/>
        </w:rPr>
        <w:t>determin</w:t>
      </w:r>
      <w:r w:rsidR="00C366C3" w:rsidRPr="008E34B1">
        <w:rPr>
          <w:spacing w:val="-2"/>
        </w:rPr>
        <w:t>ing</w:t>
      </w:r>
      <w:r w:rsidR="00EA5433" w:rsidRPr="008E34B1">
        <w:rPr>
          <w:spacing w:val="-2"/>
        </w:rPr>
        <w:t xml:space="preserve"> the appropriate penalty in any given case.</w:t>
      </w:r>
      <w:r w:rsidR="00EA5433" w:rsidRPr="008E34B1">
        <w:rPr>
          <w:rStyle w:val="FootnoteReference"/>
        </w:rPr>
        <w:footnoteReference w:id="13"/>
      </w:r>
      <w:r w:rsidR="00EA5433" w:rsidRPr="008E34B1">
        <w:rPr>
          <w:rStyle w:val="FootnoteReference"/>
        </w:rPr>
        <w:t xml:space="preserve"> </w:t>
      </w:r>
      <w:r w:rsidR="00EA5433" w:rsidRPr="008E34B1">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8E34B1">
        <w:rPr>
          <w:rStyle w:val="FootnoteReference"/>
        </w:rPr>
        <w:footnoteReference w:id="14"/>
      </w:r>
      <w:r w:rsidR="00EA5433" w:rsidRPr="008E34B1">
        <w:rPr>
          <w:rStyle w:val="FootnoteReference"/>
        </w:rPr>
        <w:t xml:space="preserve"> </w:t>
      </w:r>
      <w:r w:rsidR="00EA5433" w:rsidRPr="008E34B1">
        <w:rPr>
          <w:spacing w:val="-2"/>
        </w:rPr>
        <w:t xml:space="preserve"> </w:t>
      </w:r>
    </w:p>
    <w:p w14:paraId="06E8A0E8" w14:textId="1D5E324B" w:rsidR="00CA1222" w:rsidRPr="00981F23" w:rsidRDefault="002F3CB7">
      <w:pPr>
        <w:pStyle w:val="ParaNum"/>
      </w:pPr>
      <w:r w:rsidRPr="00981F23">
        <w:t>Section 1.80(b) of the Rules sets a base forfeiture of $</w:t>
      </w:r>
      <w:r w:rsidR="00205181">
        <w:t>10,000</w:t>
      </w:r>
      <w:r w:rsidRPr="00981F23">
        <w:t xml:space="preserve"> for </w:t>
      </w:r>
      <w:r w:rsidR="00205181">
        <w:t>ope</w:t>
      </w:r>
      <w:r w:rsidR="00B47D3D">
        <w:t>r</w:t>
      </w:r>
      <w:r w:rsidR="00205181">
        <w:t>a</w:t>
      </w:r>
      <w:r w:rsidR="00B47D3D">
        <w:t>t</w:t>
      </w:r>
      <w:r w:rsidR="00205181">
        <w:t>ing without an instrument of authorization</w:t>
      </w:r>
      <w:r w:rsidRPr="00981F23">
        <w:t>.</w:t>
      </w:r>
      <w:r w:rsidRPr="00981F23">
        <w:rPr>
          <w:vertAlign w:val="superscript"/>
        </w:rPr>
        <w:footnoteReference w:id="15"/>
      </w:r>
      <w:r w:rsidRPr="00981F23">
        <w:t xml:space="preserve">  </w:t>
      </w:r>
      <w:r w:rsidR="00BD31C6" w:rsidRPr="00981F23">
        <w:t>We</w:t>
      </w:r>
      <w:r w:rsidRPr="00981F23">
        <w:t xml:space="preserve"> have discretion</w:t>
      </w:r>
      <w:r w:rsidR="00BD31C6" w:rsidRPr="00981F23">
        <w:t>, however,</w:t>
      </w:r>
      <w:r w:rsidRPr="00981F23">
        <w:t xml:space="preserve"> to depart from these guidelines, taking into account the particular</w:t>
      </w:r>
      <w:r w:rsidR="001778DD" w:rsidRPr="00981F23">
        <w:t xml:space="preserve"> fact</w:t>
      </w:r>
      <w:r w:rsidRPr="00981F23">
        <w:t>s of each individual case.</w:t>
      </w:r>
      <w:r w:rsidRPr="00981F23">
        <w:rPr>
          <w:rStyle w:val="FootnoteReference"/>
          <w:color w:val="000000" w:themeColor="text1"/>
          <w:szCs w:val="22"/>
        </w:rPr>
        <w:footnoteReference w:id="16"/>
      </w:r>
      <w:r w:rsidRPr="00981F23">
        <w:t xml:space="preserve">  </w:t>
      </w:r>
      <w:r w:rsidR="005F260A">
        <w:t>T</w:t>
      </w:r>
      <w:r w:rsidRPr="00981F23">
        <w:t xml:space="preserve">he Commission </w:t>
      </w:r>
      <w:r w:rsidR="00CA1222">
        <w:t xml:space="preserve">warned Mr. Dudley verbally </w:t>
      </w:r>
      <w:r w:rsidR="001366EC">
        <w:t xml:space="preserve">and in writing </w:t>
      </w:r>
      <w:r w:rsidR="00CA1222">
        <w:t>that operation of an unlicensed station is illegal.  Mr. Dudley clearly</w:t>
      </w:r>
      <w:r w:rsidR="0047678F">
        <w:t xml:space="preserve"> demonstrated that he</w:t>
      </w:r>
      <w:r w:rsidR="00CA1222">
        <w:t xml:space="preserve"> understood </w:t>
      </w:r>
      <w:r w:rsidR="00630A13">
        <w:t xml:space="preserve">those warnings </w:t>
      </w:r>
      <w:r w:rsidR="0047678F">
        <w:t xml:space="preserve">when he </w:t>
      </w:r>
      <w:r w:rsidR="00CA1222">
        <w:t xml:space="preserve">voluntarily surrendered </w:t>
      </w:r>
      <w:r w:rsidR="00754724">
        <w:t xml:space="preserve">the equipment </w:t>
      </w:r>
      <w:r w:rsidR="00CA1222">
        <w:t>for destruction</w:t>
      </w:r>
      <w:r w:rsidR="0047678F">
        <w:t>, by signing the Dudley Voluntary Relinquishment Form stating that the equipment was illegal</w:t>
      </w:r>
      <w:r w:rsidR="00CA1222">
        <w:t>.</w:t>
      </w:r>
      <w:r w:rsidR="00CA1222">
        <w:rPr>
          <w:rStyle w:val="FootnoteReference"/>
        </w:rPr>
        <w:footnoteReference w:id="17"/>
      </w:r>
      <w:r w:rsidR="00CA1222">
        <w:t xml:space="preserve">  </w:t>
      </w:r>
      <w:r w:rsidR="00330687">
        <w:t xml:space="preserve">Since </w:t>
      </w:r>
      <w:r w:rsidR="00205181">
        <w:t>th</w:t>
      </w:r>
      <w:r w:rsidR="001366EC">
        <w:t>en</w:t>
      </w:r>
      <w:r w:rsidR="00205181">
        <w:t xml:space="preserve">, Mr. Dudley resumed illegal operation, and </w:t>
      </w:r>
      <w:r w:rsidR="00630A13">
        <w:t xml:space="preserve">was again </w:t>
      </w:r>
      <w:r w:rsidR="00205181">
        <w:t>warned verbally and in writing that continued unlicensed operations could result in additional enforcement action.</w:t>
      </w:r>
      <w:r w:rsidR="00205181">
        <w:rPr>
          <w:rStyle w:val="FootnoteReference"/>
        </w:rPr>
        <w:footnoteReference w:id="18"/>
      </w:r>
      <w:r w:rsidR="00205181">
        <w:t xml:space="preserve">  </w:t>
      </w:r>
      <w:r w:rsidR="001168AB">
        <w:t xml:space="preserve"> </w:t>
      </w:r>
      <w:r w:rsidR="001168AB" w:rsidRPr="009D2142">
        <w:rPr>
          <w:spacing w:val="-2"/>
          <w:szCs w:val="22"/>
        </w:rPr>
        <w:t xml:space="preserve">The fact that Mr. </w:t>
      </w:r>
      <w:r w:rsidR="001168AB">
        <w:rPr>
          <w:spacing w:val="-2"/>
          <w:szCs w:val="22"/>
        </w:rPr>
        <w:t xml:space="preserve">Dudley </w:t>
      </w:r>
      <w:r w:rsidR="001168AB" w:rsidRPr="009D2142">
        <w:rPr>
          <w:spacing w:val="-2"/>
          <w:szCs w:val="22"/>
        </w:rPr>
        <w:t>continued to operate an unlicensed station after being put on notice that his actions contravened the Act, the Rules, and related Commission orders demonstrates a deliberate disregard for the Commission’s authority and requirements.  Thus, we find that an upward adjustment in the forfeiture amount of $5,000 is warranted.</w:t>
      </w:r>
      <w:r w:rsidR="001168AB" w:rsidRPr="009D2142">
        <w:rPr>
          <w:rStyle w:val="FootnoteReference"/>
          <w:spacing w:val="-2"/>
          <w:sz w:val="22"/>
          <w:szCs w:val="22"/>
        </w:rPr>
        <w:footnoteReference w:id="19"/>
      </w:r>
      <w:r w:rsidR="001168AB" w:rsidRPr="009D2142">
        <w:rPr>
          <w:spacing w:val="-2"/>
          <w:szCs w:val="22"/>
        </w:rPr>
        <w:t xml:space="preserve">  </w:t>
      </w:r>
      <w:r w:rsidR="001168AB">
        <w:rPr>
          <w:spacing w:val="-2"/>
          <w:szCs w:val="22"/>
        </w:rPr>
        <w:t xml:space="preserve"> </w:t>
      </w:r>
      <w:r w:rsidR="004D74C3">
        <w:t>A</w:t>
      </w:r>
      <w:r w:rsidR="00E9376C" w:rsidRPr="00981F23">
        <w:t xml:space="preserve">fter applying the </w:t>
      </w:r>
      <w:r w:rsidR="00E9376C" w:rsidRPr="00387C9F">
        <w:rPr>
          <w:i/>
        </w:rPr>
        <w:t>Forfeiture Policy Statement</w:t>
      </w:r>
      <w:r w:rsidR="00E9376C" w:rsidRPr="00981F23">
        <w:t xml:space="preserve">, Section 1.80 of the Rules, and the statutory factors, we </w:t>
      </w:r>
      <w:r w:rsidR="002302F1" w:rsidRPr="00981F23">
        <w:t>propose a total forfeiture of</w:t>
      </w:r>
      <w:r w:rsidR="0047678F">
        <w:t xml:space="preserve"> </w:t>
      </w:r>
      <w:r w:rsidR="001168AB">
        <w:t>$15,000</w:t>
      </w:r>
      <w:r w:rsidR="002302F1" w:rsidRPr="00981F23">
        <w:t xml:space="preserve">, for which </w:t>
      </w:r>
      <w:r w:rsidR="006042E8">
        <w:t xml:space="preserve">Mr. Dudley </w:t>
      </w:r>
      <w:r w:rsidR="00E9376C" w:rsidRPr="00981F23">
        <w:t>is apparently liable</w:t>
      </w:r>
      <w:r w:rsidR="002302F1" w:rsidRPr="00981F23">
        <w:t xml:space="preserve">.  </w:t>
      </w:r>
    </w:p>
    <w:p w14:paraId="25719463" w14:textId="77777777" w:rsidR="00E9376C" w:rsidRPr="00981F23" w:rsidRDefault="00E9376C" w:rsidP="00A455FE">
      <w:pPr>
        <w:pStyle w:val="Heading1"/>
        <w:rPr>
          <w:color w:val="000000" w:themeColor="text1"/>
          <w:spacing w:val="-2"/>
        </w:rPr>
      </w:pPr>
      <w:r w:rsidRPr="008E34B1">
        <w:rPr>
          <w:color w:val="000000" w:themeColor="text1"/>
          <w:spacing w:val="-2"/>
        </w:rPr>
        <w:t>ORDERING CLAUSES</w:t>
      </w:r>
    </w:p>
    <w:p w14:paraId="115664F9" w14:textId="0E5A63A2" w:rsidR="00387C9F" w:rsidRPr="008E34B1" w:rsidRDefault="00E9376C" w:rsidP="006A3E36">
      <w:pPr>
        <w:pStyle w:val="ParaNum"/>
        <w:rPr>
          <w:spacing w:val="-2"/>
        </w:rPr>
      </w:pPr>
      <w:r w:rsidRPr="00981F23">
        <w:t xml:space="preserve">Accordingly, </w:t>
      </w:r>
      <w:r w:rsidRPr="00387C9F">
        <w:rPr>
          <w:b/>
        </w:rPr>
        <w:t>IT IS ORDERED</w:t>
      </w:r>
      <w:r w:rsidRPr="00981F23">
        <w:t xml:space="preserve"> that, pursuant to Section 503(b) of the </w:t>
      </w:r>
      <w:r w:rsidR="003A3B45">
        <w:t>Act</w:t>
      </w:r>
      <w:r w:rsidRPr="00981F23">
        <w:rPr>
          <w:vertAlign w:val="superscript"/>
        </w:rPr>
        <w:footnoteReference w:id="20"/>
      </w:r>
      <w:r w:rsidRPr="00981F23">
        <w:t xml:space="preserve"> and Sections 1.80 of the</w:t>
      </w:r>
      <w:r w:rsidR="003A3B45">
        <w:t xml:space="preserve"> R</w:t>
      </w:r>
      <w:r w:rsidRPr="00981F23">
        <w:t>ules,</w:t>
      </w:r>
      <w:r w:rsidRPr="00981F23">
        <w:rPr>
          <w:vertAlign w:val="superscript"/>
        </w:rPr>
        <w:footnoteReference w:id="21"/>
      </w:r>
      <w:r w:rsidRPr="00981F23">
        <w:t xml:space="preserve"> </w:t>
      </w:r>
      <w:r w:rsidR="00EF10C0">
        <w:t>Michael Dudley</w:t>
      </w:r>
      <w:r w:rsidRPr="00981F23">
        <w:t xml:space="preserve"> is hereby </w:t>
      </w:r>
      <w:r w:rsidRPr="00387C9F">
        <w:rPr>
          <w:b/>
        </w:rPr>
        <w:t>NOTIFIED</w:t>
      </w:r>
      <w:r w:rsidRPr="00981F23">
        <w:t xml:space="preserve"> of this </w:t>
      </w:r>
      <w:r w:rsidRPr="00387C9F">
        <w:rPr>
          <w:b/>
        </w:rPr>
        <w:t>APPARENT LIABILITY FOR A FORFEITURE</w:t>
      </w:r>
      <w:r w:rsidRPr="00981F23">
        <w:t xml:space="preserve"> in the amount of</w:t>
      </w:r>
      <w:r w:rsidR="00EF10C0">
        <w:t xml:space="preserve"> </w:t>
      </w:r>
      <w:r w:rsidR="001168AB">
        <w:t xml:space="preserve">FIFTEEN </w:t>
      </w:r>
      <w:r w:rsidR="00EF10C0">
        <w:t xml:space="preserve">THOUSAND DOLLARS </w:t>
      </w:r>
      <w:r w:rsidR="00387C9F">
        <w:t>(</w:t>
      </w:r>
      <w:r w:rsidR="001168AB">
        <w:t>$15,000</w:t>
      </w:r>
      <w:r w:rsidR="00387C9F">
        <w:t>)</w:t>
      </w:r>
      <w:r w:rsidRPr="00981F23">
        <w:t xml:space="preserve"> for willful and repeated violations of Section </w:t>
      </w:r>
      <w:r w:rsidR="00EF10C0">
        <w:t>301</w:t>
      </w:r>
      <w:r w:rsidRPr="00981F23">
        <w:t xml:space="preserve"> of the </w:t>
      </w:r>
      <w:r w:rsidR="003A3B45">
        <w:t>Act</w:t>
      </w:r>
      <w:r w:rsidR="00EF10C0">
        <w:t>.</w:t>
      </w:r>
      <w:r w:rsidRPr="00981F23">
        <w:rPr>
          <w:vertAlign w:val="superscript"/>
        </w:rPr>
        <w:footnoteReference w:id="22"/>
      </w:r>
      <w:r w:rsidRPr="00981F23">
        <w:t xml:space="preserve"> </w:t>
      </w:r>
    </w:p>
    <w:p w14:paraId="3A6C511D" w14:textId="77777777" w:rsidR="00E9376C" w:rsidRPr="00387C9F" w:rsidRDefault="00E9376C" w:rsidP="006A3E36">
      <w:pPr>
        <w:pStyle w:val="ParaNum"/>
        <w:rPr>
          <w:spacing w:val="-2"/>
        </w:rPr>
      </w:pPr>
      <w:r w:rsidRPr="00387C9F">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3"/>
      </w:r>
      <w:r w:rsidRPr="00387C9F">
        <w:rPr>
          <w:vertAlign w:val="superscript"/>
        </w:rPr>
        <w:t xml:space="preserve"> </w:t>
      </w:r>
      <w:r w:rsidRPr="00981F23">
        <w:t xml:space="preserve">within thirty (30) calendar days of the release date of this Notice of Apparent Liability for Forfeiture, </w:t>
      </w:r>
      <w:r w:rsidR="00EF10C0">
        <w:t>M</w:t>
      </w:r>
      <w:r w:rsidR="00387C9F">
        <w:t xml:space="preserve">ichael Dudley </w:t>
      </w:r>
      <w:r w:rsidRPr="00387C9F">
        <w:rPr>
          <w:b/>
        </w:rPr>
        <w:t>SHALL PAY</w:t>
      </w:r>
      <w:r w:rsidRPr="00981F23">
        <w:t xml:space="preserve"> the full amount of the proposed forfeiture or </w:t>
      </w:r>
      <w:r w:rsidRPr="00387C9F">
        <w:rPr>
          <w:b/>
        </w:rPr>
        <w:t>SHALL FILE</w:t>
      </w:r>
      <w:r w:rsidRPr="00981F23">
        <w:t xml:space="preserve"> a written statement seeking reduction or cancellation of the proposed forfeiture consistent with paragraph</w:t>
      </w:r>
      <w:r w:rsidR="00CC639F">
        <w:t xml:space="preserve"> 12</w:t>
      </w:r>
      <w:r w:rsidRPr="00981F23">
        <w:t xml:space="preserve"> below.</w:t>
      </w:r>
    </w:p>
    <w:p w14:paraId="6870A943" w14:textId="77777777" w:rsidR="00E9376C" w:rsidRPr="00981F23" w:rsidRDefault="00E9376C" w:rsidP="006E4C66">
      <w:pPr>
        <w:pStyle w:val="ParaNum"/>
        <w:rPr>
          <w:spacing w:val="-2"/>
        </w:rPr>
      </w:pPr>
      <w:r w:rsidRPr="00981F23">
        <w:t xml:space="preserve">Payment of the forfeiture must be made by check or similar instrument, wire transfer, or credit card, and must include the NAL/Account Number and FRN referenced above.  </w:t>
      </w:r>
      <w:r w:rsidR="00BE3BD0">
        <w:t>M</w:t>
      </w:r>
      <w:r w:rsidR="00387C9F">
        <w:t xml:space="preserve">ichael Dudley </w:t>
      </w:r>
      <w:r w:rsidRPr="00981F23">
        <w:t xml:space="preserve">shall send electronic notification of payment to </w:t>
      </w:r>
      <w:r w:rsidR="00BE3BD0">
        <w:t xml:space="preserve">Janet Moran </w:t>
      </w:r>
      <w:r w:rsidRPr="00981F23">
        <w:t xml:space="preserve">at </w:t>
      </w:r>
      <w:r w:rsidR="00BE3BD0">
        <w:t>Janet.Moran@</w:t>
      </w:r>
      <w:r w:rsidR="00CF750C" w:rsidRPr="00981F23">
        <w:t xml:space="preserve">fcc.gov </w:t>
      </w:r>
      <w:r w:rsidRPr="00981F23">
        <w:t>on the date said payment is made.  Regardless of the form of payment, a completed FCC Form 159 (Remittance Advice) must be submitted.</w:t>
      </w:r>
      <w:r w:rsidRPr="00981F23">
        <w:rPr>
          <w:vertAlign w:val="superscript"/>
        </w:rPr>
        <w:footnoteReference w:id="24"/>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451A667A" w14:textId="77777777" w:rsidR="00E9376C" w:rsidRPr="00981F23" w:rsidRDefault="00E9376C" w:rsidP="00527DF5">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0DA28D2" w14:textId="77777777" w:rsidR="00E9376C" w:rsidRPr="00981F23" w:rsidRDefault="00E9376C" w:rsidP="00F80F2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C5CB33D" w14:textId="77777777" w:rsidR="00E9376C" w:rsidRPr="00981F23" w:rsidRDefault="00E9376C" w:rsidP="00F65609">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B5518C8" w14:textId="77777777" w:rsidR="00E9376C" w:rsidRPr="00981F23" w:rsidRDefault="00E9376C" w:rsidP="006E4C66">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5"/>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4AA4809B" w14:textId="637E60A6" w:rsidR="00E9376C" w:rsidRPr="00981F23" w:rsidRDefault="00E9376C" w:rsidP="006E4C66">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6"/>
      </w:r>
      <w:r w:rsidRPr="00981F23">
        <w:t xml:space="preserve">  The written statement must be mailed to the Office of the Secretary, Federal Communications Commission, 445 12th Street, SW, Washington, DC 20554, ATTN:  Enforcement Bureau – </w:t>
      </w:r>
      <w:r w:rsidR="00BE3BD0">
        <w:t>Office of the Field Director</w:t>
      </w:r>
      <w:r w:rsidRPr="00981F23">
        <w:t xml:space="preserve">, and must include the NAL/Account Number referenced in the caption.  The statement must also be e-mailed to </w:t>
      </w:r>
      <w:r w:rsidR="00D17045">
        <w:t>SCR</w:t>
      </w:r>
      <w:r w:rsidR="00780D07">
        <w:t>-Response</w:t>
      </w:r>
      <w:r w:rsidR="007F4F8B" w:rsidRPr="00981F23">
        <w:t>@fcc.gov</w:t>
      </w:r>
      <w:r w:rsidRPr="00981F23">
        <w:t xml:space="preserve">.  </w:t>
      </w:r>
    </w:p>
    <w:p w14:paraId="23E68CE2" w14:textId="77777777" w:rsidR="00E9376C" w:rsidRPr="00981F23" w:rsidRDefault="00E9376C" w:rsidP="006E4C66">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5EB77405" w14:textId="77777777" w:rsidR="00E9376C" w:rsidRPr="00981F23" w:rsidRDefault="00E9376C" w:rsidP="006E4C66">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EB7C89">
        <w:t xml:space="preserve">Michael Dudley at his address of record.  </w:t>
      </w:r>
    </w:p>
    <w:p w14:paraId="3EEACD51" w14:textId="77777777" w:rsidR="007C3A62" w:rsidRPr="00981F23" w:rsidRDefault="007C3A62" w:rsidP="007C3A62">
      <w:pPr>
        <w:rPr>
          <w:color w:val="000000" w:themeColor="text1"/>
        </w:rPr>
      </w:pPr>
    </w:p>
    <w:p w14:paraId="50D36CAC"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59FCF0ED" w14:textId="77777777" w:rsidR="00F60397" w:rsidRPr="00981F23" w:rsidRDefault="00F60397" w:rsidP="00BD75A3">
      <w:pPr>
        <w:rPr>
          <w:color w:val="000000" w:themeColor="text1"/>
        </w:rPr>
      </w:pPr>
    </w:p>
    <w:p w14:paraId="57B3AA42" w14:textId="77777777" w:rsidR="00F60397" w:rsidRPr="00981F23" w:rsidRDefault="00F60397" w:rsidP="00BD75A3">
      <w:pPr>
        <w:rPr>
          <w:color w:val="000000" w:themeColor="text1"/>
        </w:rPr>
      </w:pPr>
    </w:p>
    <w:p w14:paraId="229790FA" w14:textId="77777777" w:rsidR="00F60397" w:rsidRPr="00981F23" w:rsidRDefault="00F60397" w:rsidP="00BD75A3">
      <w:pPr>
        <w:rPr>
          <w:color w:val="000000" w:themeColor="text1"/>
        </w:rPr>
      </w:pPr>
    </w:p>
    <w:p w14:paraId="2BA188FC" w14:textId="77777777" w:rsidR="007C3A62" w:rsidRPr="00981F23" w:rsidRDefault="007C3A62" w:rsidP="00BD75A3">
      <w:pPr>
        <w:rPr>
          <w:color w:val="000000" w:themeColor="text1"/>
        </w:rPr>
      </w:pPr>
    </w:p>
    <w:p w14:paraId="6F10EDEE" w14:textId="77777777" w:rsidR="00CE5F1E" w:rsidRPr="006D73F2" w:rsidRDefault="00277327" w:rsidP="00CE5F1E">
      <w:pPr>
        <w:ind w:left="4410"/>
        <w:rPr>
          <w:szCs w:val="22"/>
        </w:rPr>
      </w:pPr>
      <w:r>
        <w:rPr>
          <w:color w:val="000000" w:themeColor="text1"/>
        </w:rPr>
        <w:t>Ronald Ramage</w:t>
      </w:r>
    </w:p>
    <w:p w14:paraId="7784C11D" w14:textId="77777777" w:rsidR="00277327" w:rsidRDefault="00CE5F1E" w:rsidP="00CE5F1E">
      <w:pPr>
        <w:ind w:left="4410"/>
        <w:rPr>
          <w:szCs w:val="22"/>
        </w:rPr>
      </w:pPr>
      <w:r w:rsidRPr="006D73F2">
        <w:rPr>
          <w:szCs w:val="22"/>
        </w:rPr>
        <w:t>Regional Director</w:t>
      </w:r>
    </w:p>
    <w:p w14:paraId="3AF166E7" w14:textId="77777777" w:rsidR="00CE5F1E" w:rsidRDefault="00277327" w:rsidP="00CE5F1E">
      <w:pPr>
        <w:ind w:left="4410"/>
        <w:rPr>
          <w:szCs w:val="22"/>
        </w:rPr>
      </w:pPr>
      <w:r>
        <w:rPr>
          <w:szCs w:val="22"/>
        </w:rPr>
        <w:t>Region Two</w:t>
      </w:r>
    </w:p>
    <w:p w14:paraId="5A057F03" w14:textId="77777777" w:rsidR="00277327" w:rsidRPr="006D73F2" w:rsidRDefault="00277327" w:rsidP="00CE5F1E">
      <w:pPr>
        <w:ind w:left="4410"/>
        <w:rPr>
          <w:szCs w:val="22"/>
        </w:rPr>
      </w:pPr>
      <w:r>
        <w:rPr>
          <w:szCs w:val="22"/>
        </w:rPr>
        <w:t>Enforcement Bureau</w:t>
      </w:r>
    </w:p>
    <w:p w14:paraId="1FE680CA" w14:textId="77777777" w:rsidR="00FA0B93" w:rsidRPr="008C10CC" w:rsidRDefault="00FA0B93" w:rsidP="008E34B1">
      <w:pPr>
        <w:widowControl/>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02A7D" w14:textId="77777777" w:rsidR="00DD7FD2" w:rsidRDefault="00DD7FD2">
      <w:r>
        <w:separator/>
      </w:r>
    </w:p>
  </w:endnote>
  <w:endnote w:type="continuationSeparator" w:id="0">
    <w:p w14:paraId="06ED5170" w14:textId="77777777" w:rsidR="00DD7FD2" w:rsidRDefault="00DD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B495"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97BB7"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6712"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1137A8">
      <w:rPr>
        <w:rStyle w:val="PageNumber"/>
        <w:noProof/>
        <w:szCs w:val="22"/>
      </w:rPr>
      <w:t>2</w:t>
    </w:r>
    <w:r w:rsidRPr="00575313">
      <w:rPr>
        <w:rStyle w:val="PageNumber"/>
        <w:szCs w:val="22"/>
      </w:rPr>
      <w:fldChar w:fldCharType="end"/>
    </w:r>
  </w:p>
  <w:p w14:paraId="11D5C93A"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ECD1"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9A478" w14:textId="77777777" w:rsidR="00DD7FD2" w:rsidRDefault="00DD7FD2">
      <w:r>
        <w:separator/>
      </w:r>
    </w:p>
  </w:footnote>
  <w:footnote w:type="continuationSeparator" w:id="0">
    <w:p w14:paraId="072A1687" w14:textId="77777777" w:rsidR="00DD7FD2" w:rsidRDefault="00DD7FD2" w:rsidP="00F60397">
      <w:r w:rsidRPr="00F60397">
        <w:rPr>
          <w:sz w:val="20"/>
        </w:rPr>
        <w:t>(Continued from previous page…)</w:t>
      </w:r>
      <w:r>
        <w:rPr>
          <w:sz w:val="20"/>
        </w:rPr>
        <w:t xml:space="preserve"> </w:t>
      </w:r>
      <w:r>
        <w:separator/>
      </w:r>
    </w:p>
  </w:footnote>
  <w:footnote w:type="continuationNotice" w:id="1">
    <w:p w14:paraId="74670AFD" w14:textId="77777777" w:rsidR="00DD7FD2" w:rsidRPr="00F60397" w:rsidRDefault="00DD7FD2" w:rsidP="00AE54D6">
      <w:pPr>
        <w:jc w:val="right"/>
        <w:rPr>
          <w:sz w:val="20"/>
        </w:rPr>
      </w:pPr>
      <w:r w:rsidRPr="00F60397">
        <w:rPr>
          <w:sz w:val="20"/>
        </w:rPr>
        <w:t>(continued…)</w:t>
      </w:r>
    </w:p>
  </w:footnote>
  <w:footnote w:id="2">
    <w:p w14:paraId="3032A72E"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00FC5AE2" w:rsidRPr="00790B4B">
        <w:t xml:space="preserve">The investigation </w:t>
      </w:r>
      <w:r w:rsidR="00F80F2C">
        <w:t>began</w:t>
      </w:r>
      <w:r w:rsidR="00FC5AE2" w:rsidRPr="00790B4B">
        <w:t xml:space="preserve"> under </w:t>
      </w:r>
      <w:r w:rsidR="005F62E6" w:rsidRPr="005F62E6">
        <w:t xml:space="preserve">EB-FIELDSCR-16-00021617 </w:t>
      </w:r>
      <w:r w:rsidR="00FC5AE2" w:rsidRPr="0007571D">
        <w:rPr>
          <w:spacing w:val="-2"/>
        </w:rPr>
        <w:t xml:space="preserve">and </w:t>
      </w:r>
      <w:r w:rsidR="00F80F2C">
        <w:rPr>
          <w:spacing w:val="-2"/>
        </w:rPr>
        <w:t xml:space="preserve">was </w:t>
      </w:r>
      <w:r w:rsidR="00FC5AE2" w:rsidRPr="0007571D">
        <w:rPr>
          <w:spacing w:val="-2"/>
        </w:rPr>
        <w:t xml:space="preserve">subsequently assigned </w:t>
      </w:r>
      <w:r w:rsidR="00FC5AE2" w:rsidRPr="00344C0B">
        <w:t xml:space="preserve">File No. </w:t>
      </w:r>
      <w:r w:rsidR="005F62E6" w:rsidRPr="005F62E6">
        <w:t>EB-FIELDSCR-16-0002161</w:t>
      </w:r>
      <w:r w:rsidR="004936E7">
        <w:t>8</w:t>
      </w:r>
      <w:r w:rsidR="00FC5AE2" w:rsidRPr="0007571D">
        <w:t xml:space="preserve">.  Any future correspondence with the Commission concerning this matter should reflect the new case number.  </w:t>
      </w:r>
    </w:p>
  </w:footnote>
  <w:footnote w:id="3">
    <w:p w14:paraId="517CB753" w14:textId="54694F37" w:rsidR="00075B58" w:rsidRPr="00754724" w:rsidRDefault="00075B58">
      <w:pPr>
        <w:pStyle w:val="FootnoteText"/>
      </w:pPr>
      <w:r>
        <w:rPr>
          <w:rStyle w:val="FootnoteReference"/>
        </w:rPr>
        <w:footnoteRef/>
      </w:r>
      <w:r>
        <w:t xml:space="preserve"> </w:t>
      </w:r>
      <w:r w:rsidR="00754724" w:rsidRPr="00D01D8B">
        <w:t>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14:paraId="291E262D" w14:textId="77777777" w:rsidR="0074195D" w:rsidRDefault="0074195D">
      <w:pPr>
        <w:pStyle w:val="FootnoteText"/>
      </w:pPr>
      <w:r>
        <w:rPr>
          <w:rStyle w:val="FootnoteReference"/>
        </w:rPr>
        <w:footnoteRef/>
      </w:r>
      <w:r>
        <w:t xml:space="preserve"> </w:t>
      </w:r>
      <w:r>
        <w:rPr>
          <w:i/>
        </w:rPr>
        <w:t>Michael Dudley</w:t>
      </w:r>
      <w:r>
        <w:t xml:space="preserve">, Notice of Unlicensed Operation (EB May 3, 2016)(on file in </w:t>
      </w:r>
      <w:r w:rsidRPr="0074195D">
        <w:t>EBATS File No. EB-FIELDSCR-16-00021618</w:t>
      </w:r>
      <w:r>
        <w:t>).</w:t>
      </w:r>
    </w:p>
  </w:footnote>
  <w:footnote w:id="5">
    <w:p w14:paraId="1CFB3905" w14:textId="2C5C343A" w:rsidR="00A93B1F" w:rsidRDefault="00A93B1F">
      <w:pPr>
        <w:pStyle w:val="FootnoteText"/>
      </w:pPr>
      <w:r>
        <w:rPr>
          <w:rStyle w:val="FootnoteReference"/>
        </w:rPr>
        <w:footnoteRef/>
      </w:r>
      <w:r>
        <w:t xml:space="preserve"> </w:t>
      </w:r>
      <w:r w:rsidRPr="00E8519F">
        <w:rPr>
          <w:i/>
        </w:rPr>
        <w:t>See</w:t>
      </w:r>
      <w:r w:rsidRPr="004401FF">
        <w:t xml:space="preserve"> Voluntarily Relinquished Illegal Radio Equipment, dated May 11, 2016, signed by Michael Dudley (on file in EBATS File No. EB-FIELDSCR-16-00021618)</w:t>
      </w:r>
      <w:r w:rsidR="002805FB">
        <w:t xml:space="preserve"> (Dudley Voluntary Relinquishment Form)</w:t>
      </w:r>
      <w:r w:rsidRPr="004401FF">
        <w:t>.</w:t>
      </w:r>
      <w:r>
        <w:t xml:space="preserve">   </w:t>
      </w:r>
    </w:p>
  </w:footnote>
  <w:footnote w:id="6">
    <w:p w14:paraId="04AB4AD8" w14:textId="77777777" w:rsidR="00591894" w:rsidRDefault="00591894">
      <w:pPr>
        <w:pStyle w:val="FootnoteText"/>
      </w:pPr>
      <w:r>
        <w:rPr>
          <w:rStyle w:val="FootnoteReference"/>
        </w:rPr>
        <w:footnoteRef/>
      </w:r>
      <w:r>
        <w:t xml:space="preserve"> </w:t>
      </w:r>
      <w:r w:rsidR="0074195D">
        <w:rPr>
          <w:i/>
        </w:rPr>
        <w:t>Michael Dudley</w:t>
      </w:r>
      <w:r w:rsidR="0074195D">
        <w:t xml:space="preserve">, Notice of Unlicensed Operation (EB May 10, 2016)(on file in </w:t>
      </w:r>
      <w:r w:rsidR="0074195D" w:rsidRPr="0074195D">
        <w:t>EBATS File No. EB-FIELDSCR-16-00021618</w:t>
      </w:r>
      <w:r w:rsidR="0074195D">
        <w:t>).</w:t>
      </w:r>
      <w:r>
        <w:t xml:space="preserve"> </w:t>
      </w:r>
    </w:p>
  </w:footnote>
  <w:footnote w:id="7">
    <w:p w14:paraId="7E443E77" w14:textId="77777777" w:rsidR="002F2CAE" w:rsidRDefault="002F2CAE">
      <w:pPr>
        <w:pStyle w:val="FootnoteText"/>
      </w:pPr>
      <w:r>
        <w:rPr>
          <w:rStyle w:val="FootnoteReference"/>
        </w:rPr>
        <w:footnoteRef/>
      </w:r>
      <w:r>
        <w:t xml:space="preserve"> </w:t>
      </w:r>
      <w:r w:rsidRPr="008E34B1">
        <w:rPr>
          <w:i/>
        </w:rPr>
        <w:t>Michael Dudley</w:t>
      </w:r>
      <w:r w:rsidRPr="002F2CAE">
        <w:t xml:space="preserve">, Notice of Unlicensed Operation (EB </w:t>
      </w:r>
      <w:r>
        <w:t>July 18</w:t>
      </w:r>
      <w:r w:rsidRPr="002F2CAE">
        <w:t>, 2016)(on file in EBATS File No. EB-FIELDSCR-16-00021618).</w:t>
      </w:r>
    </w:p>
  </w:footnote>
  <w:footnote w:id="8">
    <w:p w14:paraId="1B1D6088" w14:textId="77777777" w:rsidR="006568E9" w:rsidRDefault="006568E9">
      <w:pPr>
        <w:pStyle w:val="FootnoteText"/>
      </w:pPr>
      <w:r>
        <w:rPr>
          <w:rStyle w:val="FootnoteReference"/>
        </w:rPr>
        <w:footnoteRef/>
      </w:r>
      <w:r>
        <w:t xml:space="preserve"> 47 U.S.C. § 301.</w:t>
      </w:r>
    </w:p>
  </w:footnote>
  <w:footnote w:id="9">
    <w:p w14:paraId="283559C3" w14:textId="07929CD7" w:rsidR="007E6FAF" w:rsidRDefault="007E6FAF">
      <w:pPr>
        <w:pStyle w:val="FootnoteText"/>
      </w:pPr>
      <w:r>
        <w:rPr>
          <w:rStyle w:val="FootnoteReference"/>
        </w:rPr>
        <w:footnoteRef/>
      </w:r>
      <w:r>
        <w:t xml:space="preserve"> Dudley Voluntary Relinquishment Form</w:t>
      </w:r>
      <w:r w:rsidRPr="004401FF">
        <w:t>.</w:t>
      </w:r>
      <w:r>
        <w:t xml:space="preserve">   </w:t>
      </w:r>
    </w:p>
  </w:footnote>
  <w:footnote w:id="10">
    <w:p w14:paraId="510CFA47" w14:textId="77777777" w:rsidR="000A633B" w:rsidRPr="00981F23" w:rsidRDefault="000A633B" w:rsidP="00796CA3">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w:t>
      </w:r>
      <w:r w:rsidR="004412B4" w:rsidRPr="00981F23">
        <w:rPr>
          <w:color w:val="000000" w:themeColor="text1"/>
        </w:rPr>
        <w:t xml:space="preserve">  </w:t>
      </w:r>
    </w:p>
  </w:footnote>
  <w:footnote w:id="11">
    <w:p w14:paraId="79EA4A75" w14:textId="02B51DFE"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snapToGrid w:val="0"/>
          <w:color w:val="000000" w:themeColor="text1"/>
        </w:rPr>
        <w:t xml:space="preserve">  </w:t>
      </w:r>
      <w:r w:rsidR="00E77343" w:rsidRPr="00E77343">
        <w:rPr>
          <w:i/>
          <w:color w:val="000000"/>
        </w:rPr>
        <w:t>See</w:t>
      </w:r>
      <w:r w:rsidR="00E77343" w:rsidRPr="00E77343">
        <w:rPr>
          <w:color w:val="000000"/>
        </w:rPr>
        <w:t xml:space="preserve"> 47 U.S.C. § 503(b)(2)(D); 47 CFR §</w:t>
      </w:r>
      <w:r w:rsidR="00E77343">
        <w:rPr>
          <w:color w:val="000000"/>
        </w:rPr>
        <w:t>§</w:t>
      </w:r>
      <w:r w:rsidR="00E77343" w:rsidRPr="00E77343">
        <w:rPr>
          <w:color w:val="000000"/>
        </w:rPr>
        <w:t xml:space="preserve"> 1.80(b)(7)</w:t>
      </w:r>
      <w:r w:rsidR="00E77343">
        <w:rPr>
          <w:color w:val="000000"/>
        </w:rPr>
        <w:t>, (9)</w:t>
      </w:r>
      <w:r w:rsidR="00E77343" w:rsidRPr="00E77343">
        <w:rPr>
          <w:color w:val="000000"/>
        </w:rPr>
        <w:t>.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E77343" w:rsidRPr="00E77343">
        <w:t xml:space="preserve"> as further amended by the Federal Reports Elimination Act of 1998, Pub. L. No. 105-362, Sec. 1301, 112 Stat. 3280, </w:t>
      </w:r>
      <w:r w:rsidR="00E77343" w:rsidRPr="00E77343">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E77343" w:rsidRPr="00E77343">
        <w:rPr>
          <w:i/>
          <w:color w:val="000000"/>
        </w:rPr>
        <w:t>See</w:t>
      </w:r>
      <w:r w:rsidR="00E77343" w:rsidRPr="00E77343">
        <w:rPr>
          <w:color w:val="000000"/>
        </w:rPr>
        <w:t xml:space="preserve"> 28 U.S.C. § 2461 note.  The Commission published those interim final rules on June 30, 2016.  </w:t>
      </w:r>
      <w:r w:rsidR="00E77343" w:rsidRPr="00E77343">
        <w:rPr>
          <w:i/>
          <w:color w:val="000000"/>
        </w:rPr>
        <w:t>See</w:t>
      </w:r>
      <w:r w:rsidR="00E77343" w:rsidRPr="00E77343">
        <w:rPr>
          <w:color w:val="000000"/>
        </w:rPr>
        <w:t xml:space="preserve"> </w:t>
      </w:r>
      <w:r w:rsidR="00E77343" w:rsidRPr="00E77343">
        <w:rPr>
          <w:i/>
          <w:color w:val="000000"/>
        </w:rPr>
        <w:t>Amendment of Section 1.80(b) of the Commission’s Rules, Adjustment of Civil Monetary Penalties to Reflect Inflation</w:t>
      </w:r>
      <w:r w:rsidR="00E77343" w:rsidRPr="00E77343">
        <w:rPr>
          <w:color w:val="000000"/>
        </w:rPr>
        <w:t xml:space="preserve">, Order, </w:t>
      </w:r>
      <w:r w:rsidR="0058524A">
        <w:rPr>
          <w:color w:val="000000"/>
        </w:rPr>
        <w:t xml:space="preserve">31 FCC Rcd 6793 </w:t>
      </w:r>
      <w:r w:rsidR="00E77343" w:rsidRPr="00E77343">
        <w:rPr>
          <w:color w:val="000000"/>
        </w:rPr>
        <w:t xml:space="preserve">(EB 2016); </w:t>
      </w:r>
      <w:r w:rsidR="00E77343" w:rsidRPr="00E77343">
        <w:rPr>
          <w:i/>
          <w:color w:val="000000"/>
        </w:rPr>
        <w:t>see also</w:t>
      </w:r>
      <w:r w:rsidR="00E77343" w:rsidRPr="00E77343">
        <w:rPr>
          <w:color w:val="000000"/>
        </w:rPr>
        <w:t xml:space="preserve"> </w:t>
      </w:r>
      <w:r w:rsidR="00E77343" w:rsidRPr="00E77343">
        <w:rPr>
          <w:i/>
          <w:color w:val="000000"/>
        </w:rPr>
        <w:t>Adjustment of Civil Monetary Penalties to Reflect Inflation</w:t>
      </w:r>
      <w:r w:rsidR="00E77343" w:rsidRPr="00E77343">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E77343" w:rsidRPr="00E77343">
        <w:rPr>
          <w:i/>
          <w:color w:val="000000"/>
        </w:rPr>
        <w:t>See</w:t>
      </w:r>
      <w:r w:rsidR="00E77343" w:rsidRPr="00E77343">
        <w:rPr>
          <w:color w:val="000000"/>
        </w:rPr>
        <w:t xml:space="preserve"> 28 U.S.C. § 2461 note (6).   </w:t>
      </w:r>
    </w:p>
  </w:footnote>
  <w:footnote w:id="12">
    <w:p w14:paraId="2C377473"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3">
    <w:p w14:paraId="667B22B0"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1.80(b)(8), Note to paragraph (b)(8). </w:t>
      </w:r>
    </w:p>
  </w:footnote>
  <w:footnote w:id="14">
    <w:p w14:paraId="1CEE9BA5"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5">
    <w:p w14:paraId="08D5DD64"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1.80(b).</w:t>
      </w:r>
    </w:p>
  </w:footnote>
  <w:footnote w:id="16">
    <w:p w14:paraId="0F9AEDA5" w14:textId="291973BE"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w:t>
      </w:r>
      <w:r w:rsidR="000A0D50">
        <w:rPr>
          <w:color w:val="000000" w:themeColor="text1"/>
        </w:rPr>
        <w:t>-</w:t>
      </w:r>
      <w:r w:rsidRPr="00981F23">
        <w:rPr>
          <w:color w:val="000000" w:themeColor="text1"/>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81F23">
        <w:rPr>
          <w:i/>
          <w:color w:val="000000" w:themeColor="text1"/>
        </w:rPr>
        <w:t>Forfeiture Policy Statement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7">
    <w:p w14:paraId="459B7BC7" w14:textId="67603B87" w:rsidR="00CA1222" w:rsidRDefault="00CA1222">
      <w:pPr>
        <w:pStyle w:val="FootnoteText"/>
      </w:pPr>
      <w:r>
        <w:rPr>
          <w:rStyle w:val="FootnoteReference"/>
        </w:rPr>
        <w:footnoteRef/>
      </w:r>
      <w:r w:rsidR="00296312">
        <w:t xml:space="preserve"> </w:t>
      </w:r>
      <w:r w:rsidR="003B6DE5">
        <w:t>Dudley Voluntary Relinquishment Form</w:t>
      </w:r>
      <w:r w:rsidR="003B6DE5" w:rsidRPr="004401FF">
        <w:t>.</w:t>
      </w:r>
      <w:r w:rsidR="003B6DE5">
        <w:t xml:space="preserve">   </w:t>
      </w:r>
    </w:p>
  </w:footnote>
  <w:footnote w:id="18">
    <w:p w14:paraId="78E85AE7" w14:textId="77777777" w:rsidR="00205181" w:rsidRDefault="00205181">
      <w:pPr>
        <w:pStyle w:val="FootnoteText"/>
      </w:pPr>
      <w:r>
        <w:rPr>
          <w:rStyle w:val="FootnoteReference"/>
        </w:rPr>
        <w:footnoteRef/>
      </w:r>
      <w:r>
        <w:t xml:space="preserve"> </w:t>
      </w:r>
      <w:r w:rsidR="00DB41ED" w:rsidRPr="008E34B1">
        <w:rPr>
          <w:i/>
        </w:rPr>
        <w:t>Michael Dudley</w:t>
      </w:r>
      <w:r w:rsidR="00DB41ED" w:rsidRPr="00DB41ED">
        <w:t>, Notice of Unlicensed Operation (EB July 18, 2016)(on file in EBATS File No. EB-FIELDSCR-16-00021618).</w:t>
      </w:r>
    </w:p>
  </w:footnote>
  <w:footnote w:id="19">
    <w:p w14:paraId="01CB106C" w14:textId="7F2274E9" w:rsidR="001168AB" w:rsidRDefault="001168AB" w:rsidP="001168AB">
      <w:pPr>
        <w:pStyle w:val="FootnoteText"/>
      </w:pPr>
      <w:r>
        <w:rPr>
          <w:rStyle w:val="FootnoteReference"/>
        </w:rPr>
        <w:footnoteRef/>
      </w:r>
      <w:r>
        <w:t xml:space="preserve"> </w:t>
      </w:r>
      <w:r w:rsidRPr="004D5528">
        <w:rPr>
          <w:i/>
        </w:rPr>
        <w:t>See Robert Brown</w:t>
      </w:r>
      <w:r w:rsidRPr="004D5528">
        <w:t xml:space="preserve">, Memorandum Opinion and Order, 27 FCC Rcd 6975 (EB 2012), </w:t>
      </w:r>
      <w:r w:rsidRPr="004D5528">
        <w:rPr>
          <w:i/>
        </w:rPr>
        <w:t>aff’g</w:t>
      </w:r>
      <w:r>
        <w:t>,</w:t>
      </w:r>
      <w:r w:rsidRPr="004D5528">
        <w:t xml:space="preserve"> Forfeiture Order, 26 FCC Rcd 6854 (EB 2011)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w:t>
      </w:r>
      <w:r>
        <w:rPr>
          <w:i/>
        </w:rPr>
        <w:t>l</w:t>
      </w:r>
      <w:r w:rsidRPr="004D5528">
        <w:rPr>
          <w:i/>
        </w:rPr>
        <w:t>oyd Morris</w:t>
      </w:r>
      <w:r>
        <w:t>,</w:t>
      </w:r>
      <w:r w:rsidRPr="004D5528">
        <w:rPr>
          <w:i/>
        </w:rPr>
        <w:t xml:space="preserve"> </w:t>
      </w:r>
      <w:r w:rsidRPr="004D5528">
        <w:t xml:space="preserve">Memorandum Opinion and Order, 27 FCC Rcd 6979 (EB 2012), </w:t>
      </w:r>
      <w:r w:rsidRPr="004D5528">
        <w:rPr>
          <w:i/>
        </w:rPr>
        <w:t>aff’g</w:t>
      </w:r>
      <w:r w:rsidRPr="004D5528">
        <w:t xml:space="preserve">, Forfeiture Order, 26 FCC Rcd 6856 (EB 2011) </w:t>
      </w:r>
      <w:r w:rsidRPr="004D5528">
        <w:rPr>
          <w:color w:val="010101"/>
        </w:rPr>
        <w:t>(</w:t>
      </w:r>
      <w:r>
        <w:rPr>
          <w:color w:val="010101"/>
        </w:rPr>
        <w:t>same</w:t>
      </w:r>
      <w:r w:rsidRPr="004D5528">
        <w:rPr>
          <w:color w:val="010101"/>
        </w:rPr>
        <w:t>)</w:t>
      </w:r>
      <w:r w:rsidRPr="004D5528">
        <w:t xml:space="preserve">.  </w:t>
      </w:r>
    </w:p>
  </w:footnote>
  <w:footnote w:id="20">
    <w:p w14:paraId="04F4596A"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1">
    <w:p w14:paraId="2D16F6F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sidR="00C23859">
        <w:rPr>
          <w:color w:val="000000" w:themeColor="text1"/>
          <w:lang w:val="es-ES"/>
        </w:rPr>
        <w:t>CFR</w:t>
      </w:r>
      <w:r w:rsidRPr="00981F23">
        <w:rPr>
          <w:color w:val="000000" w:themeColor="text1"/>
          <w:lang w:val="es-ES"/>
        </w:rPr>
        <w:t xml:space="preserve"> § 1.80.</w:t>
      </w:r>
    </w:p>
  </w:footnote>
  <w:footnote w:id="22">
    <w:p w14:paraId="650D828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U.S.C. § </w:t>
      </w:r>
      <w:r w:rsidR="00EF10C0">
        <w:rPr>
          <w:color w:val="000000" w:themeColor="text1"/>
          <w:lang w:val="es-ES"/>
        </w:rPr>
        <w:t>301</w:t>
      </w:r>
      <w:r w:rsidRPr="00981F23">
        <w:rPr>
          <w:color w:val="000000" w:themeColor="text1"/>
          <w:lang w:val="es-ES"/>
        </w:rPr>
        <w:t>.</w:t>
      </w:r>
    </w:p>
  </w:footnote>
  <w:footnote w:id="23">
    <w:p w14:paraId="5255473D"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1.80.</w:t>
      </w:r>
    </w:p>
  </w:footnote>
  <w:footnote w:id="24">
    <w:p w14:paraId="2C9AD2F7"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5">
    <w:p w14:paraId="4A9C2579" w14:textId="77777777" w:rsidR="00BC1F16" w:rsidRDefault="00BC1F16">
      <w:pPr>
        <w:pStyle w:val="FootnoteText"/>
      </w:pPr>
      <w:r>
        <w:rPr>
          <w:rStyle w:val="FootnoteReference"/>
        </w:rPr>
        <w:footnoteRef/>
      </w:r>
      <w:r>
        <w:t xml:space="preserve"> </w:t>
      </w:r>
      <w:r w:rsidRPr="00344C0B">
        <w:rPr>
          <w:i/>
        </w:rPr>
        <w:t>See</w:t>
      </w:r>
      <w:r w:rsidRPr="00344C0B">
        <w:t xml:space="preserve"> 47 </w:t>
      </w:r>
      <w:r w:rsidR="00C23859">
        <w:t>CFR</w:t>
      </w:r>
      <w:r w:rsidRPr="00344C0B">
        <w:t xml:space="preserve"> § 1.1914.</w:t>
      </w:r>
    </w:p>
  </w:footnote>
  <w:footnote w:id="26">
    <w:p w14:paraId="63566155"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sidR="00C23859">
        <w:rPr>
          <w:color w:val="000000" w:themeColor="text1"/>
        </w:rPr>
        <w:t>CFR</w:t>
      </w:r>
      <w:r w:rsidRPr="00981F23">
        <w:rPr>
          <w:color w:val="000000" w:themeColor="text1"/>
        </w:rPr>
        <w:t xml:space="preserve">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A4DF" w14:textId="77777777" w:rsidR="0004784C" w:rsidRDefault="00047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75BB" w14:textId="7AE1D0B9"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6B63BA41" wp14:editId="6BED45B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DEC0E9"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sidR="00EB4279">
      <w:rPr>
        <w:b/>
        <w:spacing w:val="-2"/>
      </w:rPr>
      <w:t>DA 16-1202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7C6" w14:textId="3CA8DD72" w:rsidR="009E1FC6" w:rsidRDefault="009E1FC6" w:rsidP="009E1FC6">
    <w:pPr>
      <w:pStyle w:val="Header"/>
    </w:pPr>
  </w:p>
  <w:p w14:paraId="275EFEBE" w14:textId="06CDF96E"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0897C80F" wp14:editId="41E2ADCF">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A616E3"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sidR="002F622E">
      <w:rPr>
        <w:b/>
        <w:spacing w:val="-2"/>
      </w:rPr>
      <w:t>DA</w:t>
    </w:r>
    <w:r w:rsidRPr="00981F23">
      <w:rPr>
        <w:b/>
        <w:spacing w:val="-2"/>
      </w:rPr>
      <w:t xml:space="preserve"> </w:t>
    </w:r>
    <w:r w:rsidR="00C45832">
      <w:rPr>
        <w:b/>
        <w:spacing w:val="-2"/>
      </w:rPr>
      <w:t>16-1202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 w:numId="57">
    <w:abstractNumId w:val="20"/>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447A"/>
    <w:rsid w:val="00006096"/>
    <w:rsid w:val="00006B8F"/>
    <w:rsid w:val="0000715C"/>
    <w:rsid w:val="0001067E"/>
    <w:rsid w:val="00010982"/>
    <w:rsid w:val="00010EB5"/>
    <w:rsid w:val="00011FC8"/>
    <w:rsid w:val="00012592"/>
    <w:rsid w:val="0001259D"/>
    <w:rsid w:val="000136FB"/>
    <w:rsid w:val="00015D7C"/>
    <w:rsid w:val="00016218"/>
    <w:rsid w:val="00016BFB"/>
    <w:rsid w:val="0001758D"/>
    <w:rsid w:val="000221BE"/>
    <w:rsid w:val="00024160"/>
    <w:rsid w:val="00024D51"/>
    <w:rsid w:val="00026F3F"/>
    <w:rsid w:val="00031191"/>
    <w:rsid w:val="00033A7A"/>
    <w:rsid w:val="00035B08"/>
    <w:rsid w:val="00036451"/>
    <w:rsid w:val="00040C91"/>
    <w:rsid w:val="000412F0"/>
    <w:rsid w:val="000413FE"/>
    <w:rsid w:val="00041435"/>
    <w:rsid w:val="0004206A"/>
    <w:rsid w:val="00042E52"/>
    <w:rsid w:val="000430C1"/>
    <w:rsid w:val="00043BB1"/>
    <w:rsid w:val="00043C5E"/>
    <w:rsid w:val="00044E41"/>
    <w:rsid w:val="000457E5"/>
    <w:rsid w:val="00045A25"/>
    <w:rsid w:val="000475FE"/>
    <w:rsid w:val="0004784C"/>
    <w:rsid w:val="00047C22"/>
    <w:rsid w:val="00051FC4"/>
    <w:rsid w:val="0005514C"/>
    <w:rsid w:val="00060BD6"/>
    <w:rsid w:val="00061700"/>
    <w:rsid w:val="00062C72"/>
    <w:rsid w:val="0006340A"/>
    <w:rsid w:val="0006356F"/>
    <w:rsid w:val="00064C65"/>
    <w:rsid w:val="000667E3"/>
    <w:rsid w:val="00067DA4"/>
    <w:rsid w:val="0007102F"/>
    <w:rsid w:val="00075B58"/>
    <w:rsid w:val="00076A42"/>
    <w:rsid w:val="00077222"/>
    <w:rsid w:val="00083739"/>
    <w:rsid w:val="00084F62"/>
    <w:rsid w:val="0008593B"/>
    <w:rsid w:val="00086C04"/>
    <w:rsid w:val="0008793B"/>
    <w:rsid w:val="000907C9"/>
    <w:rsid w:val="00092A66"/>
    <w:rsid w:val="00092BAB"/>
    <w:rsid w:val="00092BF2"/>
    <w:rsid w:val="000973EC"/>
    <w:rsid w:val="00097E37"/>
    <w:rsid w:val="000A02F1"/>
    <w:rsid w:val="000A0708"/>
    <w:rsid w:val="000A0D50"/>
    <w:rsid w:val="000A1455"/>
    <w:rsid w:val="000A2104"/>
    <w:rsid w:val="000A3027"/>
    <w:rsid w:val="000A4B2B"/>
    <w:rsid w:val="000A633B"/>
    <w:rsid w:val="000A65A9"/>
    <w:rsid w:val="000A72EB"/>
    <w:rsid w:val="000A78F3"/>
    <w:rsid w:val="000B5FAA"/>
    <w:rsid w:val="000B6354"/>
    <w:rsid w:val="000B74EE"/>
    <w:rsid w:val="000C03A5"/>
    <w:rsid w:val="000C1E25"/>
    <w:rsid w:val="000C478B"/>
    <w:rsid w:val="000C6E17"/>
    <w:rsid w:val="000C6E40"/>
    <w:rsid w:val="000D3BEE"/>
    <w:rsid w:val="000D5CEF"/>
    <w:rsid w:val="000E0BD7"/>
    <w:rsid w:val="000E6A9C"/>
    <w:rsid w:val="000E71A8"/>
    <w:rsid w:val="000F1523"/>
    <w:rsid w:val="000F1B02"/>
    <w:rsid w:val="000F1FEB"/>
    <w:rsid w:val="000F22A2"/>
    <w:rsid w:val="000F41D6"/>
    <w:rsid w:val="000F438B"/>
    <w:rsid w:val="000F7062"/>
    <w:rsid w:val="000F7572"/>
    <w:rsid w:val="001002A6"/>
    <w:rsid w:val="001056BA"/>
    <w:rsid w:val="00106C96"/>
    <w:rsid w:val="00110261"/>
    <w:rsid w:val="00111A21"/>
    <w:rsid w:val="00113784"/>
    <w:rsid w:val="001137A8"/>
    <w:rsid w:val="00113BC4"/>
    <w:rsid w:val="001168AB"/>
    <w:rsid w:val="00116FE5"/>
    <w:rsid w:val="00122A8F"/>
    <w:rsid w:val="00122B8F"/>
    <w:rsid w:val="00125A79"/>
    <w:rsid w:val="0013283B"/>
    <w:rsid w:val="001336C6"/>
    <w:rsid w:val="0013442B"/>
    <w:rsid w:val="001353CD"/>
    <w:rsid w:val="001366EC"/>
    <w:rsid w:val="001374F2"/>
    <w:rsid w:val="001374F8"/>
    <w:rsid w:val="00137BCF"/>
    <w:rsid w:val="001422A3"/>
    <w:rsid w:val="001435D9"/>
    <w:rsid w:val="00143B54"/>
    <w:rsid w:val="00143FD1"/>
    <w:rsid w:val="0014680D"/>
    <w:rsid w:val="00155D7C"/>
    <w:rsid w:val="001564D8"/>
    <w:rsid w:val="001602AA"/>
    <w:rsid w:val="00161118"/>
    <w:rsid w:val="00161B26"/>
    <w:rsid w:val="00162CC6"/>
    <w:rsid w:val="00163FA2"/>
    <w:rsid w:val="001643B3"/>
    <w:rsid w:val="00172372"/>
    <w:rsid w:val="00172896"/>
    <w:rsid w:val="001751F9"/>
    <w:rsid w:val="00175520"/>
    <w:rsid w:val="001765F1"/>
    <w:rsid w:val="001778DD"/>
    <w:rsid w:val="00180FE4"/>
    <w:rsid w:val="00182136"/>
    <w:rsid w:val="00186025"/>
    <w:rsid w:val="0018718B"/>
    <w:rsid w:val="00194247"/>
    <w:rsid w:val="001953C6"/>
    <w:rsid w:val="00196363"/>
    <w:rsid w:val="001A04AB"/>
    <w:rsid w:val="001A1184"/>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E0AD2"/>
    <w:rsid w:val="001E218B"/>
    <w:rsid w:val="001E3C95"/>
    <w:rsid w:val="001E58A1"/>
    <w:rsid w:val="001E5C37"/>
    <w:rsid w:val="001E621A"/>
    <w:rsid w:val="001F0F03"/>
    <w:rsid w:val="001F1B76"/>
    <w:rsid w:val="001F39AA"/>
    <w:rsid w:val="001F4FEC"/>
    <w:rsid w:val="001F6575"/>
    <w:rsid w:val="001F7A78"/>
    <w:rsid w:val="0020014C"/>
    <w:rsid w:val="002036AA"/>
    <w:rsid w:val="002044D7"/>
    <w:rsid w:val="00204AA0"/>
    <w:rsid w:val="00205181"/>
    <w:rsid w:val="002051C3"/>
    <w:rsid w:val="0020572D"/>
    <w:rsid w:val="00210084"/>
    <w:rsid w:val="002112B7"/>
    <w:rsid w:val="002119D0"/>
    <w:rsid w:val="00211A06"/>
    <w:rsid w:val="0021431B"/>
    <w:rsid w:val="00214354"/>
    <w:rsid w:val="00215996"/>
    <w:rsid w:val="00215F06"/>
    <w:rsid w:val="0022442C"/>
    <w:rsid w:val="00226DB0"/>
    <w:rsid w:val="002302F1"/>
    <w:rsid w:val="00232003"/>
    <w:rsid w:val="0023346D"/>
    <w:rsid w:val="002341EF"/>
    <w:rsid w:val="00236B2E"/>
    <w:rsid w:val="00237E00"/>
    <w:rsid w:val="00242FE3"/>
    <w:rsid w:val="002431CE"/>
    <w:rsid w:val="00246DD3"/>
    <w:rsid w:val="00247671"/>
    <w:rsid w:val="00247B22"/>
    <w:rsid w:val="0025179A"/>
    <w:rsid w:val="00253BA7"/>
    <w:rsid w:val="00254133"/>
    <w:rsid w:val="0025576A"/>
    <w:rsid w:val="00255A78"/>
    <w:rsid w:val="00255F9B"/>
    <w:rsid w:val="0025762A"/>
    <w:rsid w:val="00260BE8"/>
    <w:rsid w:val="002617F1"/>
    <w:rsid w:val="002639F4"/>
    <w:rsid w:val="00264929"/>
    <w:rsid w:val="002661C4"/>
    <w:rsid w:val="002673B5"/>
    <w:rsid w:val="00271CED"/>
    <w:rsid w:val="00271E9B"/>
    <w:rsid w:val="0027444B"/>
    <w:rsid w:val="002754BC"/>
    <w:rsid w:val="00277327"/>
    <w:rsid w:val="00277A4F"/>
    <w:rsid w:val="002805FB"/>
    <w:rsid w:val="00282EB3"/>
    <w:rsid w:val="002849B2"/>
    <w:rsid w:val="00285BAA"/>
    <w:rsid w:val="00286303"/>
    <w:rsid w:val="002911F1"/>
    <w:rsid w:val="0029239D"/>
    <w:rsid w:val="00296312"/>
    <w:rsid w:val="0029779F"/>
    <w:rsid w:val="00297E39"/>
    <w:rsid w:val="002A3CC7"/>
    <w:rsid w:val="002A4C67"/>
    <w:rsid w:val="002A63EC"/>
    <w:rsid w:val="002A7EC5"/>
    <w:rsid w:val="002B1030"/>
    <w:rsid w:val="002B1319"/>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2CAE"/>
    <w:rsid w:val="002F3CB7"/>
    <w:rsid w:val="002F622E"/>
    <w:rsid w:val="002F703E"/>
    <w:rsid w:val="002F7382"/>
    <w:rsid w:val="002F761C"/>
    <w:rsid w:val="002F774A"/>
    <w:rsid w:val="002F7979"/>
    <w:rsid w:val="002F7F02"/>
    <w:rsid w:val="003038CD"/>
    <w:rsid w:val="00304C38"/>
    <w:rsid w:val="00306D54"/>
    <w:rsid w:val="00313368"/>
    <w:rsid w:val="0031443E"/>
    <w:rsid w:val="003158D5"/>
    <w:rsid w:val="003166ED"/>
    <w:rsid w:val="00322349"/>
    <w:rsid w:val="0032470E"/>
    <w:rsid w:val="00326D27"/>
    <w:rsid w:val="00330687"/>
    <w:rsid w:val="00330752"/>
    <w:rsid w:val="003313D1"/>
    <w:rsid w:val="003338F9"/>
    <w:rsid w:val="003341E5"/>
    <w:rsid w:val="00334450"/>
    <w:rsid w:val="00334897"/>
    <w:rsid w:val="00334B6A"/>
    <w:rsid w:val="0033657D"/>
    <w:rsid w:val="003369FE"/>
    <w:rsid w:val="003378A2"/>
    <w:rsid w:val="00337EC9"/>
    <w:rsid w:val="00341F54"/>
    <w:rsid w:val="00343CF0"/>
    <w:rsid w:val="00345B92"/>
    <w:rsid w:val="0034725C"/>
    <w:rsid w:val="003479EB"/>
    <w:rsid w:val="00350E1C"/>
    <w:rsid w:val="00351997"/>
    <w:rsid w:val="00353F83"/>
    <w:rsid w:val="003540E3"/>
    <w:rsid w:val="00354FD5"/>
    <w:rsid w:val="003614A8"/>
    <w:rsid w:val="00364369"/>
    <w:rsid w:val="00364E03"/>
    <w:rsid w:val="00365439"/>
    <w:rsid w:val="00370575"/>
    <w:rsid w:val="0037259E"/>
    <w:rsid w:val="00373E08"/>
    <w:rsid w:val="00375EA1"/>
    <w:rsid w:val="00380DF5"/>
    <w:rsid w:val="003814CE"/>
    <w:rsid w:val="00381549"/>
    <w:rsid w:val="00381FE7"/>
    <w:rsid w:val="0038376A"/>
    <w:rsid w:val="00384B8B"/>
    <w:rsid w:val="00386E20"/>
    <w:rsid w:val="00387B6A"/>
    <w:rsid w:val="00387C9F"/>
    <w:rsid w:val="00390031"/>
    <w:rsid w:val="00390587"/>
    <w:rsid w:val="003928DB"/>
    <w:rsid w:val="0039533D"/>
    <w:rsid w:val="00395E9D"/>
    <w:rsid w:val="003975A7"/>
    <w:rsid w:val="003A01A5"/>
    <w:rsid w:val="003A3B45"/>
    <w:rsid w:val="003A502F"/>
    <w:rsid w:val="003B1761"/>
    <w:rsid w:val="003B1A70"/>
    <w:rsid w:val="003B30EF"/>
    <w:rsid w:val="003B5704"/>
    <w:rsid w:val="003B67C1"/>
    <w:rsid w:val="003B6DE5"/>
    <w:rsid w:val="003B7B5A"/>
    <w:rsid w:val="003C1758"/>
    <w:rsid w:val="003C41A0"/>
    <w:rsid w:val="003C4A20"/>
    <w:rsid w:val="003C5824"/>
    <w:rsid w:val="003D3528"/>
    <w:rsid w:val="003D47BD"/>
    <w:rsid w:val="003D66C7"/>
    <w:rsid w:val="003D6AE8"/>
    <w:rsid w:val="003E055E"/>
    <w:rsid w:val="003E5689"/>
    <w:rsid w:val="003E6415"/>
    <w:rsid w:val="003E78BF"/>
    <w:rsid w:val="003F2994"/>
    <w:rsid w:val="003F2B5A"/>
    <w:rsid w:val="003F2E86"/>
    <w:rsid w:val="003F342B"/>
    <w:rsid w:val="003F541B"/>
    <w:rsid w:val="00400BD1"/>
    <w:rsid w:val="00401498"/>
    <w:rsid w:val="00403242"/>
    <w:rsid w:val="0041264B"/>
    <w:rsid w:val="00413C25"/>
    <w:rsid w:val="00413F4E"/>
    <w:rsid w:val="00415029"/>
    <w:rsid w:val="004172C6"/>
    <w:rsid w:val="004223B8"/>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01FF"/>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487B"/>
    <w:rsid w:val="00474D14"/>
    <w:rsid w:val="00475713"/>
    <w:rsid w:val="0047678F"/>
    <w:rsid w:val="004863AC"/>
    <w:rsid w:val="00487CDC"/>
    <w:rsid w:val="00491064"/>
    <w:rsid w:val="004914B7"/>
    <w:rsid w:val="004936E7"/>
    <w:rsid w:val="00495EF1"/>
    <w:rsid w:val="00496C73"/>
    <w:rsid w:val="004973E2"/>
    <w:rsid w:val="004A2300"/>
    <w:rsid w:val="004B0087"/>
    <w:rsid w:val="004B0789"/>
    <w:rsid w:val="004B1EF9"/>
    <w:rsid w:val="004B2766"/>
    <w:rsid w:val="004B3DE7"/>
    <w:rsid w:val="004B5076"/>
    <w:rsid w:val="004B5722"/>
    <w:rsid w:val="004B5A79"/>
    <w:rsid w:val="004B6030"/>
    <w:rsid w:val="004B6CE3"/>
    <w:rsid w:val="004B6E9D"/>
    <w:rsid w:val="004C04B0"/>
    <w:rsid w:val="004C1059"/>
    <w:rsid w:val="004C292D"/>
    <w:rsid w:val="004C7877"/>
    <w:rsid w:val="004D74C3"/>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6BE"/>
    <w:rsid w:val="00504785"/>
    <w:rsid w:val="005119BA"/>
    <w:rsid w:val="005126EA"/>
    <w:rsid w:val="0051347C"/>
    <w:rsid w:val="00513D77"/>
    <w:rsid w:val="005142AD"/>
    <w:rsid w:val="00514A5B"/>
    <w:rsid w:val="00514B32"/>
    <w:rsid w:val="005155B5"/>
    <w:rsid w:val="0051631C"/>
    <w:rsid w:val="00521311"/>
    <w:rsid w:val="0052262B"/>
    <w:rsid w:val="0052272D"/>
    <w:rsid w:val="00522E0F"/>
    <w:rsid w:val="00526198"/>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1825"/>
    <w:rsid w:val="0056323D"/>
    <w:rsid w:val="0056454B"/>
    <w:rsid w:val="00564650"/>
    <w:rsid w:val="00567D61"/>
    <w:rsid w:val="0057007F"/>
    <w:rsid w:val="00570CDA"/>
    <w:rsid w:val="00575313"/>
    <w:rsid w:val="0057714E"/>
    <w:rsid w:val="00577295"/>
    <w:rsid w:val="0057772C"/>
    <w:rsid w:val="005779C9"/>
    <w:rsid w:val="005816FB"/>
    <w:rsid w:val="00583524"/>
    <w:rsid w:val="00584805"/>
    <w:rsid w:val="0058524A"/>
    <w:rsid w:val="00585DC5"/>
    <w:rsid w:val="00586F83"/>
    <w:rsid w:val="00587FE4"/>
    <w:rsid w:val="00590221"/>
    <w:rsid w:val="0059146B"/>
    <w:rsid w:val="00591894"/>
    <w:rsid w:val="005922F2"/>
    <w:rsid w:val="005926F5"/>
    <w:rsid w:val="00593AF2"/>
    <w:rsid w:val="00595DC2"/>
    <w:rsid w:val="00596580"/>
    <w:rsid w:val="005A027A"/>
    <w:rsid w:val="005A26D0"/>
    <w:rsid w:val="005A3373"/>
    <w:rsid w:val="005A7E20"/>
    <w:rsid w:val="005B0002"/>
    <w:rsid w:val="005B1525"/>
    <w:rsid w:val="005B56F7"/>
    <w:rsid w:val="005B73F0"/>
    <w:rsid w:val="005B783E"/>
    <w:rsid w:val="005C314E"/>
    <w:rsid w:val="005C633C"/>
    <w:rsid w:val="005C6CB8"/>
    <w:rsid w:val="005C7D6B"/>
    <w:rsid w:val="005D149D"/>
    <w:rsid w:val="005D25D0"/>
    <w:rsid w:val="005D3442"/>
    <w:rsid w:val="005D4692"/>
    <w:rsid w:val="005D5AA1"/>
    <w:rsid w:val="005E0053"/>
    <w:rsid w:val="005E01D1"/>
    <w:rsid w:val="005E1749"/>
    <w:rsid w:val="005E1A27"/>
    <w:rsid w:val="005E1D2B"/>
    <w:rsid w:val="005E1DEF"/>
    <w:rsid w:val="005E5545"/>
    <w:rsid w:val="005E5F3A"/>
    <w:rsid w:val="005F0833"/>
    <w:rsid w:val="005F177D"/>
    <w:rsid w:val="005F260A"/>
    <w:rsid w:val="005F4E17"/>
    <w:rsid w:val="005F62E6"/>
    <w:rsid w:val="005F7236"/>
    <w:rsid w:val="00601C05"/>
    <w:rsid w:val="00602A48"/>
    <w:rsid w:val="00603565"/>
    <w:rsid w:val="00604176"/>
    <w:rsid w:val="006042B8"/>
    <w:rsid w:val="006042E8"/>
    <w:rsid w:val="0060454B"/>
    <w:rsid w:val="00605611"/>
    <w:rsid w:val="006065B6"/>
    <w:rsid w:val="00606643"/>
    <w:rsid w:val="00610FDD"/>
    <w:rsid w:val="0061148F"/>
    <w:rsid w:val="006133A9"/>
    <w:rsid w:val="00614501"/>
    <w:rsid w:val="00615197"/>
    <w:rsid w:val="00616460"/>
    <w:rsid w:val="00616B9F"/>
    <w:rsid w:val="00617CE3"/>
    <w:rsid w:val="00623AC8"/>
    <w:rsid w:val="00623D18"/>
    <w:rsid w:val="00623FB8"/>
    <w:rsid w:val="006300A4"/>
    <w:rsid w:val="00630A13"/>
    <w:rsid w:val="00630C96"/>
    <w:rsid w:val="006332BD"/>
    <w:rsid w:val="00637674"/>
    <w:rsid w:val="00637BA2"/>
    <w:rsid w:val="00641561"/>
    <w:rsid w:val="00641648"/>
    <w:rsid w:val="006418FA"/>
    <w:rsid w:val="0064199A"/>
    <w:rsid w:val="00641DE6"/>
    <w:rsid w:val="00644DCE"/>
    <w:rsid w:val="0064676C"/>
    <w:rsid w:val="0064768F"/>
    <w:rsid w:val="00647E1D"/>
    <w:rsid w:val="00647E8E"/>
    <w:rsid w:val="00650F06"/>
    <w:rsid w:val="0065280A"/>
    <w:rsid w:val="00652F84"/>
    <w:rsid w:val="006568E9"/>
    <w:rsid w:val="00660ADE"/>
    <w:rsid w:val="006623FB"/>
    <w:rsid w:val="00665594"/>
    <w:rsid w:val="00666B0A"/>
    <w:rsid w:val="00666CF4"/>
    <w:rsid w:val="0066746E"/>
    <w:rsid w:val="0067016D"/>
    <w:rsid w:val="0067177B"/>
    <w:rsid w:val="006765F1"/>
    <w:rsid w:val="006803FC"/>
    <w:rsid w:val="0068278F"/>
    <w:rsid w:val="00683F10"/>
    <w:rsid w:val="00684DD5"/>
    <w:rsid w:val="00687285"/>
    <w:rsid w:val="00687876"/>
    <w:rsid w:val="00687E51"/>
    <w:rsid w:val="00690134"/>
    <w:rsid w:val="006903C3"/>
    <w:rsid w:val="00690CEF"/>
    <w:rsid w:val="0069163D"/>
    <w:rsid w:val="0069712B"/>
    <w:rsid w:val="006A1849"/>
    <w:rsid w:val="006A3742"/>
    <w:rsid w:val="006A3E36"/>
    <w:rsid w:val="006A4F86"/>
    <w:rsid w:val="006A7BE3"/>
    <w:rsid w:val="006B037D"/>
    <w:rsid w:val="006B0ABC"/>
    <w:rsid w:val="006B3B51"/>
    <w:rsid w:val="006B3C68"/>
    <w:rsid w:val="006B5691"/>
    <w:rsid w:val="006B5BB2"/>
    <w:rsid w:val="006C16A3"/>
    <w:rsid w:val="006C2C68"/>
    <w:rsid w:val="006C2FC9"/>
    <w:rsid w:val="006C3F1D"/>
    <w:rsid w:val="006D4D14"/>
    <w:rsid w:val="006D54AE"/>
    <w:rsid w:val="006D749B"/>
    <w:rsid w:val="006E22DC"/>
    <w:rsid w:val="006E2E30"/>
    <w:rsid w:val="006E3F36"/>
    <w:rsid w:val="006E4C66"/>
    <w:rsid w:val="006E4D54"/>
    <w:rsid w:val="006F1B3B"/>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4B57"/>
    <w:rsid w:val="00726FD8"/>
    <w:rsid w:val="0073075A"/>
    <w:rsid w:val="007327A5"/>
    <w:rsid w:val="00736AFD"/>
    <w:rsid w:val="00737B49"/>
    <w:rsid w:val="00741875"/>
    <w:rsid w:val="0074195D"/>
    <w:rsid w:val="00742779"/>
    <w:rsid w:val="00742889"/>
    <w:rsid w:val="007452AD"/>
    <w:rsid w:val="0074545F"/>
    <w:rsid w:val="00747FFC"/>
    <w:rsid w:val="00752092"/>
    <w:rsid w:val="0075283E"/>
    <w:rsid w:val="0075306C"/>
    <w:rsid w:val="007534DB"/>
    <w:rsid w:val="007541CD"/>
    <w:rsid w:val="00754724"/>
    <w:rsid w:val="00755873"/>
    <w:rsid w:val="00755FE2"/>
    <w:rsid w:val="00764D7C"/>
    <w:rsid w:val="00765361"/>
    <w:rsid w:val="00765D8A"/>
    <w:rsid w:val="00767D0B"/>
    <w:rsid w:val="00771D26"/>
    <w:rsid w:val="00772E30"/>
    <w:rsid w:val="007743C4"/>
    <w:rsid w:val="007755D2"/>
    <w:rsid w:val="007764E8"/>
    <w:rsid w:val="00780D07"/>
    <w:rsid w:val="00781FF4"/>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69E3"/>
    <w:rsid w:val="007D7384"/>
    <w:rsid w:val="007E3450"/>
    <w:rsid w:val="007E37FD"/>
    <w:rsid w:val="007E62D6"/>
    <w:rsid w:val="007E6FAF"/>
    <w:rsid w:val="007F1655"/>
    <w:rsid w:val="007F17B2"/>
    <w:rsid w:val="007F4F8B"/>
    <w:rsid w:val="007F683C"/>
    <w:rsid w:val="007F7D64"/>
    <w:rsid w:val="0080023B"/>
    <w:rsid w:val="00801B07"/>
    <w:rsid w:val="00801D4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6C2"/>
    <w:rsid w:val="00834D3A"/>
    <w:rsid w:val="00836099"/>
    <w:rsid w:val="00836180"/>
    <w:rsid w:val="0083689A"/>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D01"/>
    <w:rsid w:val="00882F22"/>
    <w:rsid w:val="00884C10"/>
    <w:rsid w:val="00885078"/>
    <w:rsid w:val="00890042"/>
    <w:rsid w:val="00892B75"/>
    <w:rsid w:val="00894020"/>
    <w:rsid w:val="00894B8B"/>
    <w:rsid w:val="00896373"/>
    <w:rsid w:val="008964CF"/>
    <w:rsid w:val="008A0341"/>
    <w:rsid w:val="008A0F7A"/>
    <w:rsid w:val="008A1CCF"/>
    <w:rsid w:val="008A3AA7"/>
    <w:rsid w:val="008A4054"/>
    <w:rsid w:val="008A7F41"/>
    <w:rsid w:val="008B3046"/>
    <w:rsid w:val="008B4BAC"/>
    <w:rsid w:val="008B6878"/>
    <w:rsid w:val="008C037D"/>
    <w:rsid w:val="008C0495"/>
    <w:rsid w:val="008C0524"/>
    <w:rsid w:val="008C10CC"/>
    <w:rsid w:val="008C11DC"/>
    <w:rsid w:val="008C1366"/>
    <w:rsid w:val="008C1A56"/>
    <w:rsid w:val="008C2094"/>
    <w:rsid w:val="008C24FE"/>
    <w:rsid w:val="008C2B8B"/>
    <w:rsid w:val="008C3DA7"/>
    <w:rsid w:val="008C7EF1"/>
    <w:rsid w:val="008D1D4B"/>
    <w:rsid w:val="008D3CD4"/>
    <w:rsid w:val="008D4952"/>
    <w:rsid w:val="008D50AB"/>
    <w:rsid w:val="008D6092"/>
    <w:rsid w:val="008E0277"/>
    <w:rsid w:val="008E2775"/>
    <w:rsid w:val="008E34B1"/>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34F"/>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FA7"/>
    <w:rsid w:val="0095625E"/>
    <w:rsid w:val="00956595"/>
    <w:rsid w:val="0096355B"/>
    <w:rsid w:val="009645E5"/>
    <w:rsid w:val="009656E8"/>
    <w:rsid w:val="00966BA9"/>
    <w:rsid w:val="00970E37"/>
    <w:rsid w:val="00973AA4"/>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A1E45"/>
    <w:rsid w:val="009A1F9B"/>
    <w:rsid w:val="009A2D17"/>
    <w:rsid w:val="009A2F81"/>
    <w:rsid w:val="009A4018"/>
    <w:rsid w:val="009A4C05"/>
    <w:rsid w:val="009A50E3"/>
    <w:rsid w:val="009A7B35"/>
    <w:rsid w:val="009B18C6"/>
    <w:rsid w:val="009B289C"/>
    <w:rsid w:val="009C031C"/>
    <w:rsid w:val="009C276F"/>
    <w:rsid w:val="009C37E4"/>
    <w:rsid w:val="009C42E1"/>
    <w:rsid w:val="009C440B"/>
    <w:rsid w:val="009D1055"/>
    <w:rsid w:val="009D265E"/>
    <w:rsid w:val="009D276A"/>
    <w:rsid w:val="009D2ACC"/>
    <w:rsid w:val="009D3ADE"/>
    <w:rsid w:val="009D587C"/>
    <w:rsid w:val="009D701C"/>
    <w:rsid w:val="009D7C9B"/>
    <w:rsid w:val="009E08F3"/>
    <w:rsid w:val="009E0958"/>
    <w:rsid w:val="009E1FC6"/>
    <w:rsid w:val="009E4072"/>
    <w:rsid w:val="009E64A3"/>
    <w:rsid w:val="009E73DC"/>
    <w:rsid w:val="009E76DF"/>
    <w:rsid w:val="009F11C8"/>
    <w:rsid w:val="009F2F9A"/>
    <w:rsid w:val="009F4FA2"/>
    <w:rsid w:val="009F7B1A"/>
    <w:rsid w:val="00A001BE"/>
    <w:rsid w:val="00A0096E"/>
    <w:rsid w:val="00A026C9"/>
    <w:rsid w:val="00A031CA"/>
    <w:rsid w:val="00A0350D"/>
    <w:rsid w:val="00A03B0D"/>
    <w:rsid w:val="00A0573A"/>
    <w:rsid w:val="00A116A6"/>
    <w:rsid w:val="00A12292"/>
    <w:rsid w:val="00A13C44"/>
    <w:rsid w:val="00A14137"/>
    <w:rsid w:val="00A14EE4"/>
    <w:rsid w:val="00A15B42"/>
    <w:rsid w:val="00A15BB3"/>
    <w:rsid w:val="00A160C2"/>
    <w:rsid w:val="00A16D7C"/>
    <w:rsid w:val="00A248D1"/>
    <w:rsid w:val="00A31120"/>
    <w:rsid w:val="00A31B76"/>
    <w:rsid w:val="00A3692B"/>
    <w:rsid w:val="00A37677"/>
    <w:rsid w:val="00A3775B"/>
    <w:rsid w:val="00A40AED"/>
    <w:rsid w:val="00A4110C"/>
    <w:rsid w:val="00A42610"/>
    <w:rsid w:val="00A42F52"/>
    <w:rsid w:val="00A435AA"/>
    <w:rsid w:val="00A435C0"/>
    <w:rsid w:val="00A455FE"/>
    <w:rsid w:val="00A46411"/>
    <w:rsid w:val="00A50C1B"/>
    <w:rsid w:val="00A53880"/>
    <w:rsid w:val="00A554D9"/>
    <w:rsid w:val="00A55B84"/>
    <w:rsid w:val="00A56690"/>
    <w:rsid w:val="00A569CE"/>
    <w:rsid w:val="00A60117"/>
    <w:rsid w:val="00A602D6"/>
    <w:rsid w:val="00A60B23"/>
    <w:rsid w:val="00A625BA"/>
    <w:rsid w:val="00A62DF2"/>
    <w:rsid w:val="00A64975"/>
    <w:rsid w:val="00A670B0"/>
    <w:rsid w:val="00A75348"/>
    <w:rsid w:val="00A75550"/>
    <w:rsid w:val="00A7610E"/>
    <w:rsid w:val="00A77F8F"/>
    <w:rsid w:val="00A831C4"/>
    <w:rsid w:val="00A85E6C"/>
    <w:rsid w:val="00A85E88"/>
    <w:rsid w:val="00A87AC2"/>
    <w:rsid w:val="00A92DF8"/>
    <w:rsid w:val="00A93B1F"/>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05D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282A"/>
    <w:rsid w:val="00AF44BB"/>
    <w:rsid w:val="00AF4AE5"/>
    <w:rsid w:val="00AF5168"/>
    <w:rsid w:val="00AF543D"/>
    <w:rsid w:val="00AF6392"/>
    <w:rsid w:val="00AF6F6E"/>
    <w:rsid w:val="00B00EA4"/>
    <w:rsid w:val="00B0320D"/>
    <w:rsid w:val="00B04BF9"/>
    <w:rsid w:val="00B10724"/>
    <w:rsid w:val="00B13100"/>
    <w:rsid w:val="00B156D6"/>
    <w:rsid w:val="00B16B77"/>
    <w:rsid w:val="00B16C61"/>
    <w:rsid w:val="00B1708D"/>
    <w:rsid w:val="00B20040"/>
    <w:rsid w:val="00B21387"/>
    <w:rsid w:val="00B224A3"/>
    <w:rsid w:val="00B24061"/>
    <w:rsid w:val="00B24A9A"/>
    <w:rsid w:val="00B27944"/>
    <w:rsid w:val="00B30249"/>
    <w:rsid w:val="00B32E45"/>
    <w:rsid w:val="00B33D37"/>
    <w:rsid w:val="00B35874"/>
    <w:rsid w:val="00B44CB9"/>
    <w:rsid w:val="00B46A8D"/>
    <w:rsid w:val="00B47310"/>
    <w:rsid w:val="00B47B65"/>
    <w:rsid w:val="00B47D3D"/>
    <w:rsid w:val="00B52385"/>
    <w:rsid w:val="00B5247D"/>
    <w:rsid w:val="00B52903"/>
    <w:rsid w:val="00B552EB"/>
    <w:rsid w:val="00B5612A"/>
    <w:rsid w:val="00B57988"/>
    <w:rsid w:val="00B6139D"/>
    <w:rsid w:val="00B6266B"/>
    <w:rsid w:val="00B63DDB"/>
    <w:rsid w:val="00B64831"/>
    <w:rsid w:val="00B66750"/>
    <w:rsid w:val="00B67DC8"/>
    <w:rsid w:val="00B70FE9"/>
    <w:rsid w:val="00B73AEA"/>
    <w:rsid w:val="00B73BC5"/>
    <w:rsid w:val="00B76783"/>
    <w:rsid w:val="00B76A8F"/>
    <w:rsid w:val="00B76AAB"/>
    <w:rsid w:val="00B81209"/>
    <w:rsid w:val="00B81EE5"/>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C0F32"/>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3BD0"/>
    <w:rsid w:val="00BE71D8"/>
    <w:rsid w:val="00BE7B23"/>
    <w:rsid w:val="00BF00C2"/>
    <w:rsid w:val="00BF1CB0"/>
    <w:rsid w:val="00BF6FE2"/>
    <w:rsid w:val="00BF7335"/>
    <w:rsid w:val="00C01F37"/>
    <w:rsid w:val="00C04A83"/>
    <w:rsid w:val="00C05334"/>
    <w:rsid w:val="00C05E50"/>
    <w:rsid w:val="00C07E24"/>
    <w:rsid w:val="00C152E5"/>
    <w:rsid w:val="00C20551"/>
    <w:rsid w:val="00C210E7"/>
    <w:rsid w:val="00C21101"/>
    <w:rsid w:val="00C219A7"/>
    <w:rsid w:val="00C23859"/>
    <w:rsid w:val="00C26416"/>
    <w:rsid w:val="00C31528"/>
    <w:rsid w:val="00C32D73"/>
    <w:rsid w:val="00C3593A"/>
    <w:rsid w:val="00C359DC"/>
    <w:rsid w:val="00C366C3"/>
    <w:rsid w:val="00C3752C"/>
    <w:rsid w:val="00C4141E"/>
    <w:rsid w:val="00C45832"/>
    <w:rsid w:val="00C46AD6"/>
    <w:rsid w:val="00C47B59"/>
    <w:rsid w:val="00C50243"/>
    <w:rsid w:val="00C5180F"/>
    <w:rsid w:val="00C52227"/>
    <w:rsid w:val="00C52825"/>
    <w:rsid w:val="00C532D4"/>
    <w:rsid w:val="00C535F8"/>
    <w:rsid w:val="00C5604B"/>
    <w:rsid w:val="00C5625D"/>
    <w:rsid w:val="00C56892"/>
    <w:rsid w:val="00C619EA"/>
    <w:rsid w:val="00C6724A"/>
    <w:rsid w:val="00C67360"/>
    <w:rsid w:val="00C67DCF"/>
    <w:rsid w:val="00C756EA"/>
    <w:rsid w:val="00C75D98"/>
    <w:rsid w:val="00C855DA"/>
    <w:rsid w:val="00C87338"/>
    <w:rsid w:val="00C9031A"/>
    <w:rsid w:val="00C91870"/>
    <w:rsid w:val="00C92320"/>
    <w:rsid w:val="00C97955"/>
    <w:rsid w:val="00C97BE2"/>
    <w:rsid w:val="00CA1222"/>
    <w:rsid w:val="00CA19B9"/>
    <w:rsid w:val="00CA22ED"/>
    <w:rsid w:val="00CA63CC"/>
    <w:rsid w:val="00CA7E59"/>
    <w:rsid w:val="00CB3475"/>
    <w:rsid w:val="00CB3E08"/>
    <w:rsid w:val="00CB5252"/>
    <w:rsid w:val="00CB5917"/>
    <w:rsid w:val="00CB5FB7"/>
    <w:rsid w:val="00CB60F6"/>
    <w:rsid w:val="00CB6313"/>
    <w:rsid w:val="00CC1EF0"/>
    <w:rsid w:val="00CC2AB3"/>
    <w:rsid w:val="00CC2B32"/>
    <w:rsid w:val="00CC639F"/>
    <w:rsid w:val="00CC7A35"/>
    <w:rsid w:val="00CD1883"/>
    <w:rsid w:val="00CD372F"/>
    <w:rsid w:val="00CD4460"/>
    <w:rsid w:val="00CD4AF9"/>
    <w:rsid w:val="00CE0212"/>
    <w:rsid w:val="00CE25C4"/>
    <w:rsid w:val="00CE2CD7"/>
    <w:rsid w:val="00CE43FD"/>
    <w:rsid w:val="00CE4637"/>
    <w:rsid w:val="00CE5F1E"/>
    <w:rsid w:val="00CE639A"/>
    <w:rsid w:val="00CE6C03"/>
    <w:rsid w:val="00CF0B35"/>
    <w:rsid w:val="00CF0C10"/>
    <w:rsid w:val="00CF1512"/>
    <w:rsid w:val="00CF412B"/>
    <w:rsid w:val="00CF750C"/>
    <w:rsid w:val="00CF7F0D"/>
    <w:rsid w:val="00D0158A"/>
    <w:rsid w:val="00D01AD8"/>
    <w:rsid w:val="00D01D8B"/>
    <w:rsid w:val="00D02768"/>
    <w:rsid w:val="00D029C5"/>
    <w:rsid w:val="00D0680D"/>
    <w:rsid w:val="00D10070"/>
    <w:rsid w:val="00D163A2"/>
    <w:rsid w:val="00D17045"/>
    <w:rsid w:val="00D20F36"/>
    <w:rsid w:val="00D22FDF"/>
    <w:rsid w:val="00D23390"/>
    <w:rsid w:val="00D24E13"/>
    <w:rsid w:val="00D2638A"/>
    <w:rsid w:val="00D31832"/>
    <w:rsid w:val="00D33F35"/>
    <w:rsid w:val="00D36221"/>
    <w:rsid w:val="00D3690C"/>
    <w:rsid w:val="00D4088F"/>
    <w:rsid w:val="00D40B62"/>
    <w:rsid w:val="00D415D9"/>
    <w:rsid w:val="00D46AD4"/>
    <w:rsid w:val="00D517C2"/>
    <w:rsid w:val="00D522EE"/>
    <w:rsid w:val="00D52DEA"/>
    <w:rsid w:val="00D535BE"/>
    <w:rsid w:val="00D5405B"/>
    <w:rsid w:val="00D56C0E"/>
    <w:rsid w:val="00D57754"/>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7441"/>
    <w:rsid w:val="00D877AC"/>
    <w:rsid w:val="00D92CC6"/>
    <w:rsid w:val="00D944AF"/>
    <w:rsid w:val="00D94648"/>
    <w:rsid w:val="00D97661"/>
    <w:rsid w:val="00DA0DE6"/>
    <w:rsid w:val="00DA4CDB"/>
    <w:rsid w:val="00DA4DED"/>
    <w:rsid w:val="00DA5BCE"/>
    <w:rsid w:val="00DA7007"/>
    <w:rsid w:val="00DB1253"/>
    <w:rsid w:val="00DB288D"/>
    <w:rsid w:val="00DB41ED"/>
    <w:rsid w:val="00DC030E"/>
    <w:rsid w:val="00DC39C5"/>
    <w:rsid w:val="00DC710C"/>
    <w:rsid w:val="00DD03BA"/>
    <w:rsid w:val="00DD2559"/>
    <w:rsid w:val="00DD26EA"/>
    <w:rsid w:val="00DD400A"/>
    <w:rsid w:val="00DD42E6"/>
    <w:rsid w:val="00DD553C"/>
    <w:rsid w:val="00DD7FD2"/>
    <w:rsid w:val="00DE3BA3"/>
    <w:rsid w:val="00DE7AA2"/>
    <w:rsid w:val="00DF0D42"/>
    <w:rsid w:val="00DF1D24"/>
    <w:rsid w:val="00DF2406"/>
    <w:rsid w:val="00DF270A"/>
    <w:rsid w:val="00DF3A53"/>
    <w:rsid w:val="00DF55BA"/>
    <w:rsid w:val="00E016A5"/>
    <w:rsid w:val="00E02C75"/>
    <w:rsid w:val="00E06091"/>
    <w:rsid w:val="00E06F13"/>
    <w:rsid w:val="00E06F80"/>
    <w:rsid w:val="00E11EAB"/>
    <w:rsid w:val="00E136C0"/>
    <w:rsid w:val="00E15F9C"/>
    <w:rsid w:val="00E17AFB"/>
    <w:rsid w:val="00E20EAE"/>
    <w:rsid w:val="00E26878"/>
    <w:rsid w:val="00E30369"/>
    <w:rsid w:val="00E30FB0"/>
    <w:rsid w:val="00E315AE"/>
    <w:rsid w:val="00E32BA9"/>
    <w:rsid w:val="00E34768"/>
    <w:rsid w:val="00E35544"/>
    <w:rsid w:val="00E37EAF"/>
    <w:rsid w:val="00E426B8"/>
    <w:rsid w:val="00E43A7C"/>
    <w:rsid w:val="00E4646F"/>
    <w:rsid w:val="00E46843"/>
    <w:rsid w:val="00E50979"/>
    <w:rsid w:val="00E51A4C"/>
    <w:rsid w:val="00E52524"/>
    <w:rsid w:val="00E5273B"/>
    <w:rsid w:val="00E56CAD"/>
    <w:rsid w:val="00E62F6B"/>
    <w:rsid w:val="00E64E7E"/>
    <w:rsid w:val="00E65578"/>
    <w:rsid w:val="00E6640C"/>
    <w:rsid w:val="00E669F5"/>
    <w:rsid w:val="00E66B4B"/>
    <w:rsid w:val="00E70296"/>
    <w:rsid w:val="00E71632"/>
    <w:rsid w:val="00E716A2"/>
    <w:rsid w:val="00E718A9"/>
    <w:rsid w:val="00E72286"/>
    <w:rsid w:val="00E739A8"/>
    <w:rsid w:val="00E73E7E"/>
    <w:rsid w:val="00E77343"/>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279"/>
    <w:rsid w:val="00EB48B6"/>
    <w:rsid w:val="00EB5D29"/>
    <w:rsid w:val="00EB7C89"/>
    <w:rsid w:val="00EC0628"/>
    <w:rsid w:val="00EC0B41"/>
    <w:rsid w:val="00EC0F9E"/>
    <w:rsid w:val="00EC18D0"/>
    <w:rsid w:val="00EC477F"/>
    <w:rsid w:val="00EC4EA7"/>
    <w:rsid w:val="00EC7A57"/>
    <w:rsid w:val="00ED064C"/>
    <w:rsid w:val="00ED2556"/>
    <w:rsid w:val="00ED6EB3"/>
    <w:rsid w:val="00EE0059"/>
    <w:rsid w:val="00EE1EB0"/>
    <w:rsid w:val="00EE2577"/>
    <w:rsid w:val="00EE342F"/>
    <w:rsid w:val="00EE35AC"/>
    <w:rsid w:val="00EE6164"/>
    <w:rsid w:val="00EF10C0"/>
    <w:rsid w:val="00EF1543"/>
    <w:rsid w:val="00EF1757"/>
    <w:rsid w:val="00EF2F70"/>
    <w:rsid w:val="00EF4852"/>
    <w:rsid w:val="00EF5FA1"/>
    <w:rsid w:val="00F0006D"/>
    <w:rsid w:val="00F011DE"/>
    <w:rsid w:val="00F013FD"/>
    <w:rsid w:val="00F02FFD"/>
    <w:rsid w:val="00F0555E"/>
    <w:rsid w:val="00F06973"/>
    <w:rsid w:val="00F06FEA"/>
    <w:rsid w:val="00F134E3"/>
    <w:rsid w:val="00F13CCB"/>
    <w:rsid w:val="00F20EE9"/>
    <w:rsid w:val="00F2398A"/>
    <w:rsid w:val="00F24332"/>
    <w:rsid w:val="00F3069C"/>
    <w:rsid w:val="00F32F68"/>
    <w:rsid w:val="00F33C53"/>
    <w:rsid w:val="00F377C6"/>
    <w:rsid w:val="00F40CCD"/>
    <w:rsid w:val="00F468EB"/>
    <w:rsid w:val="00F47251"/>
    <w:rsid w:val="00F50713"/>
    <w:rsid w:val="00F60397"/>
    <w:rsid w:val="00F62647"/>
    <w:rsid w:val="00F64B4A"/>
    <w:rsid w:val="00F65609"/>
    <w:rsid w:val="00F65A9F"/>
    <w:rsid w:val="00F66644"/>
    <w:rsid w:val="00F6681B"/>
    <w:rsid w:val="00F70C81"/>
    <w:rsid w:val="00F7194A"/>
    <w:rsid w:val="00F72C93"/>
    <w:rsid w:val="00F73244"/>
    <w:rsid w:val="00F769AB"/>
    <w:rsid w:val="00F7799C"/>
    <w:rsid w:val="00F80F2C"/>
    <w:rsid w:val="00F813C6"/>
    <w:rsid w:val="00F83505"/>
    <w:rsid w:val="00F85F4C"/>
    <w:rsid w:val="00F876A5"/>
    <w:rsid w:val="00F90659"/>
    <w:rsid w:val="00F93DD3"/>
    <w:rsid w:val="00F9689C"/>
    <w:rsid w:val="00F9764A"/>
    <w:rsid w:val="00FA0B93"/>
    <w:rsid w:val="00FA158F"/>
    <w:rsid w:val="00FA1E04"/>
    <w:rsid w:val="00FA3A82"/>
    <w:rsid w:val="00FB4923"/>
    <w:rsid w:val="00FB7DB0"/>
    <w:rsid w:val="00FC455D"/>
    <w:rsid w:val="00FC4E6A"/>
    <w:rsid w:val="00FC5AE2"/>
    <w:rsid w:val="00FC744E"/>
    <w:rsid w:val="00FC7C47"/>
    <w:rsid w:val="00FD08D6"/>
    <w:rsid w:val="00FD1C11"/>
    <w:rsid w:val="00FD1C7D"/>
    <w:rsid w:val="00FD1D43"/>
    <w:rsid w:val="00FD2990"/>
    <w:rsid w:val="00FD5D92"/>
    <w:rsid w:val="00FD71A6"/>
    <w:rsid w:val="00FE2F6A"/>
    <w:rsid w:val="00FE31E3"/>
    <w:rsid w:val="00FE3650"/>
    <w:rsid w:val="00FE3B90"/>
    <w:rsid w:val="00FE59F9"/>
    <w:rsid w:val="00FE6BE5"/>
    <w:rsid w:val="00FF1806"/>
    <w:rsid w:val="00FF28C9"/>
    <w:rsid w:val="00FF338D"/>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05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7A8"/>
    <w:pPr>
      <w:widowControl w:val="0"/>
    </w:pPr>
    <w:rPr>
      <w:snapToGrid w:val="0"/>
      <w:kern w:val="28"/>
      <w:szCs w:val="20"/>
    </w:rPr>
  </w:style>
  <w:style w:type="paragraph" w:styleId="Heading1">
    <w:name w:val="heading 1"/>
    <w:basedOn w:val="Normal"/>
    <w:next w:val="ParaNum"/>
    <w:link w:val="Heading1Char"/>
    <w:qFormat/>
    <w:rsid w:val="001137A8"/>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37A8"/>
    <w:pPr>
      <w:keepNext/>
      <w:numPr>
        <w:ilvl w:val="1"/>
        <w:numId w:val="6"/>
      </w:numPr>
      <w:spacing w:after="120"/>
      <w:outlineLvl w:val="1"/>
    </w:pPr>
    <w:rPr>
      <w:b/>
    </w:rPr>
  </w:style>
  <w:style w:type="paragraph" w:styleId="Heading3">
    <w:name w:val="heading 3"/>
    <w:basedOn w:val="Normal"/>
    <w:next w:val="ParaNum"/>
    <w:link w:val="Heading3Char"/>
    <w:qFormat/>
    <w:rsid w:val="001137A8"/>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1137A8"/>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1137A8"/>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1137A8"/>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1137A8"/>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1137A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37A8"/>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3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7A8"/>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1137A8"/>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1137A8"/>
    <w:rPr>
      <w:rFonts w:ascii="Times New Roman" w:hAnsi="Times New Roman"/>
      <w:dstrike w:val="0"/>
      <w:color w:val="auto"/>
      <w:sz w:val="20"/>
      <w:vertAlign w:val="superscript"/>
    </w:rPr>
  </w:style>
  <w:style w:type="paragraph" w:styleId="Header">
    <w:name w:val="header"/>
    <w:basedOn w:val="Normal"/>
    <w:link w:val="HeaderChar"/>
    <w:autoRedefine/>
    <w:rsid w:val="001137A8"/>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1137A8"/>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1137A8"/>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1137A8"/>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1137A8"/>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1137A8"/>
    <w:pPr>
      <w:jc w:val="center"/>
    </w:pPr>
    <w:rPr>
      <w:rFonts w:ascii="Times New Roman Bold" w:hAnsi="Times New Roman Bold"/>
      <w:b/>
      <w:bCs/>
      <w:caps/>
      <w:szCs w:val="22"/>
    </w:rPr>
  </w:style>
  <w:style w:type="paragraph" w:styleId="TOAHeading">
    <w:name w:val="toa heading"/>
    <w:basedOn w:val="Normal"/>
    <w:next w:val="Normal"/>
    <w:semiHidden/>
    <w:rsid w:val="001137A8"/>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1137A8"/>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1137A8"/>
    <w:rPr>
      <w:vertAlign w:val="superscript"/>
    </w:rPr>
  </w:style>
  <w:style w:type="paragraph" w:styleId="TOC1">
    <w:name w:val="toc 1"/>
    <w:basedOn w:val="Normal"/>
    <w:next w:val="Normal"/>
    <w:semiHidden/>
    <w:locked/>
    <w:rsid w:val="001137A8"/>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1137A8"/>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1137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1137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1137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1137A8"/>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1137A8"/>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1137A8"/>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1137A8"/>
    <w:pPr>
      <w:tabs>
        <w:tab w:val="left" w:pos="3240"/>
        <w:tab w:val="right" w:leader="dot" w:pos="9360"/>
      </w:tabs>
      <w:suppressAutoHyphens/>
      <w:ind w:left="3240" w:hanging="360"/>
    </w:pPr>
    <w:rPr>
      <w:noProof/>
    </w:rPr>
  </w:style>
  <w:style w:type="character" w:customStyle="1" w:styleId="EquationCaption">
    <w:name w:val="_Equation Caption"/>
    <w:rsid w:val="001137A8"/>
  </w:style>
  <w:style w:type="paragraph" w:styleId="BlockText">
    <w:name w:val="Block Text"/>
    <w:basedOn w:val="Normal"/>
    <w:locked/>
    <w:rsid w:val="001137A8"/>
    <w:pPr>
      <w:spacing w:after="240"/>
      <w:ind w:left="1440" w:right="1440"/>
    </w:pPr>
  </w:style>
  <w:style w:type="paragraph" w:customStyle="1" w:styleId="Paratitle">
    <w:name w:val="Para title"/>
    <w:basedOn w:val="Normal"/>
    <w:rsid w:val="001137A8"/>
    <w:pPr>
      <w:tabs>
        <w:tab w:val="center" w:pos="9270"/>
      </w:tabs>
      <w:spacing w:after="240"/>
    </w:pPr>
    <w:rPr>
      <w:spacing w:val="-2"/>
    </w:rPr>
  </w:style>
  <w:style w:type="paragraph" w:customStyle="1" w:styleId="Bullet">
    <w:name w:val="Bullet"/>
    <w:basedOn w:val="Normal"/>
    <w:rsid w:val="001137A8"/>
    <w:pPr>
      <w:tabs>
        <w:tab w:val="left" w:pos="2160"/>
      </w:tabs>
      <w:spacing w:after="220"/>
      <w:ind w:left="2160" w:hanging="720"/>
    </w:pPr>
  </w:style>
  <w:style w:type="paragraph" w:customStyle="1" w:styleId="TableFormat">
    <w:name w:val="TableFormat"/>
    <w:basedOn w:val="Bullet"/>
    <w:rsid w:val="001137A8"/>
    <w:pPr>
      <w:tabs>
        <w:tab w:val="clear" w:pos="2160"/>
        <w:tab w:val="left" w:pos="5040"/>
      </w:tabs>
      <w:ind w:left="5040" w:hanging="3600"/>
    </w:pPr>
  </w:style>
  <w:style w:type="paragraph" w:customStyle="1" w:styleId="TOCTitle">
    <w:name w:val="TOC Title"/>
    <w:basedOn w:val="Normal"/>
    <w:rsid w:val="001137A8"/>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7A8"/>
    <w:pPr>
      <w:widowControl w:val="0"/>
    </w:pPr>
    <w:rPr>
      <w:snapToGrid w:val="0"/>
      <w:kern w:val="28"/>
      <w:szCs w:val="20"/>
    </w:rPr>
  </w:style>
  <w:style w:type="paragraph" w:styleId="Heading1">
    <w:name w:val="heading 1"/>
    <w:basedOn w:val="Normal"/>
    <w:next w:val="ParaNum"/>
    <w:link w:val="Heading1Char"/>
    <w:qFormat/>
    <w:rsid w:val="001137A8"/>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37A8"/>
    <w:pPr>
      <w:keepNext/>
      <w:numPr>
        <w:ilvl w:val="1"/>
        <w:numId w:val="6"/>
      </w:numPr>
      <w:spacing w:after="120"/>
      <w:outlineLvl w:val="1"/>
    </w:pPr>
    <w:rPr>
      <w:b/>
    </w:rPr>
  </w:style>
  <w:style w:type="paragraph" w:styleId="Heading3">
    <w:name w:val="heading 3"/>
    <w:basedOn w:val="Normal"/>
    <w:next w:val="ParaNum"/>
    <w:link w:val="Heading3Char"/>
    <w:qFormat/>
    <w:rsid w:val="001137A8"/>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1137A8"/>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1137A8"/>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1137A8"/>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1137A8"/>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1137A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37A8"/>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3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7A8"/>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1137A8"/>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1137A8"/>
    <w:rPr>
      <w:rFonts w:ascii="Times New Roman" w:hAnsi="Times New Roman"/>
      <w:dstrike w:val="0"/>
      <w:color w:val="auto"/>
      <w:sz w:val="20"/>
      <w:vertAlign w:val="superscript"/>
    </w:rPr>
  </w:style>
  <w:style w:type="paragraph" w:styleId="Header">
    <w:name w:val="header"/>
    <w:basedOn w:val="Normal"/>
    <w:link w:val="HeaderChar"/>
    <w:autoRedefine/>
    <w:rsid w:val="001137A8"/>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1137A8"/>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1137A8"/>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1137A8"/>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1137A8"/>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1137A8"/>
    <w:pPr>
      <w:jc w:val="center"/>
    </w:pPr>
    <w:rPr>
      <w:rFonts w:ascii="Times New Roman Bold" w:hAnsi="Times New Roman Bold"/>
      <w:b/>
      <w:bCs/>
      <w:caps/>
      <w:szCs w:val="22"/>
    </w:rPr>
  </w:style>
  <w:style w:type="paragraph" w:styleId="TOAHeading">
    <w:name w:val="toa heading"/>
    <w:basedOn w:val="Normal"/>
    <w:next w:val="Normal"/>
    <w:semiHidden/>
    <w:rsid w:val="001137A8"/>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1137A8"/>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1137A8"/>
    <w:rPr>
      <w:vertAlign w:val="superscript"/>
    </w:rPr>
  </w:style>
  <w:style w:type="paragraph" w:styleId="TOC1">
    <w:name w:val="toc 1"/>
    <w:basedOn w:val="Normal"/>
    <w:next w:val="Normal"/>
    <w:semiHidden/>
    <w:locked/>
    <w:rsid w:val="001137A8"/>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1137A8"/>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1137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1137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1137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1137A8"/>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1137A8"/>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1137A8"/>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1137A8"/>
    <w:pPr>
      <w:tabs>
        <w:tab w:val="left" w:pos="3240"/>
        <w:tab w:val="right" w:leader="dot" w:pos="9360"/>
      </w:tabs>
      <w:suppressAutoHyphens/>
      <w:ind w:left="3240" w:hanging="360"/>
    </w:pPr>
    <w:rPr>
      <w:noProof/>
    </w:rPr>
  </w:style>
  <w:style w:type="character" w:customStyle="1" w:styleId="EquationCaption">
    <w:name w:val="_Equation Caption"/>
    <w:rsid w:val="001137A8"/>
  </w:style>
  <w:style w:type="paragraph" w:styleId="BlockText">
    <w:name w:val="Block Text"/>
    <w:basedOn w:val="Normal"/>
    <w:locked/>
    <w:rsid w:val="001137A8"/>
    <w:pPr>
      <w:spacing w:after="240"/>
      <w:ind w:left="1440" w:right="1440"/>
    </w:pPr>
  </w:style>
  <w:style w:type="paragraph" w:customStyle="1" w:styleId="Paratitle">
    <w:name w:val="Para title"/>
    <w:basedOn w:val="Normal"/>
    <w:rsid w:val="001137A8"/>
    <w:pPr>
      <w:tabs>
        <w:tab w:val="center" w:pos="9270"/>
      </w:tabs>
      <w:spacing w:after="240"/>
    </w:pPr>
    <w:rPr>
      <w:spacing w:val="-2"/>
    </w:rPr>
  </w:style>
  <w:style w:type="paragraph" w:customStyle="1" w:styleId="Bullet">
    <w:name w:val="Bullet"/>
    <w:basedOn w:val="Normal"/>
    <w:rsid w:val="001137A8"/>
    <w:pPr>
      <w:tabs>
        <w:tab w:val="left" w:pos="2160"/>
      </w:tabs>
      <w:spacing w:after="220"/>
      <w:ind w:left="2160" w:hanging="720"/>
    </w:pPr>
  </w:style>
  <w:style w:type="paragraph" w:customStyle="1" w:styleId="TableFormat">
    <w:name w:val="TableFormat"/>
    <w:basedOn w:val="Bullet"/>
    <w:rsid w:val="001137A8"/>
    <w:pPr>
      <w:tabs>
        <w:tab w:val="clear" w:pos="2160"/>
        <w:tab w:val="left" w:pos="5040"/>
      </w:tabs>
      <w:ind w:left="5040" w:hanging="3600"/>
    </w:pPr>
  </w:style>
  <w:style w:type="paragraph" w:customStyle="1" w:styleId="TOCTitle">
    <w:name w:val="TOC Title"/>
    <w:basedOn w:val="Normal"/>
    <w:rsid w:val="001137A8"/>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345">
      <w:bodyDiv w:val="1"/>
      <w:marLeft w:val="0"/>
      <w:marRight w:val="0"/>
      <w:marTop w:val="0"/>
      <w:marBottom w:val="0"/>
      <w:divBdr>
        <w:top w:val="none" w:sz="0" w:space="0" w:color="auto"/>
        <w:left w:val="none" w:sz="0" w:space="0" w:color="auto"/>
        <w:bottom w:val="none" w:sz="0" w:space="0" w:color="auto"/>
        <w:right w:val="none" w:sz="0" w:space="0" w:color="auto"/>
      </w:divBdr>
    </w:div>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1939</Words>
  <Characters>10558</Characters>
  <Application>Microsoft Office Word</Application>
  <DocSecurity>0</DocSecurity>
  <Lines>174</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2016-10-20T15:02:00Z</dcterms:created>
  <dcterms:modified xsi:type="dcterms:W3CDTF">2016-10-20T15:02:00Z</dcterms:modified>
  <cp:category> </cp:category>
  <cp:contentStatus> </cp:contentStatus>
</cp:coreProperties>
</file>