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FB" w:rsidRDefault="00A81EFB" w:rsidP="00A81EFB">
      <w:pPr>
        <w:widowControl/>
        <w:jc w:val="center"/>
        <w:rPr>
          <w:b/>
        </w:rPr>
      </w:pPr>
      <w:bookmarkStart w:id="0" w:name="_GoBack"/>
      <w:bookmarkEnd w:id="0"/>
    </w:p>
    <w:p w:rsidR="00A81EFB" w:rsidRPr="00993860" w:rsidRDefault="00A81EFB" w:rsidP="00A81EFB">
      <w:pPr>
        <w:tabs>
          <w:tab w:val="left" w:pos="720"/>
        </w:tabs>
        <w:jc w:val="center"/>
        <w:rPr>
          <w:b/>
          <w:szCs w:val="22"/>
        </w:rPr>
      </w:pPr>
      <w:r w:rsidRPr="00993860">
        <w:rPr>
          <w:b/>
          <w:szCs w:val="22"/>
        </w:rPr>
        <w:t>Before the</w:t>
      </w:r>
    </w:p>
    <w:p w:rsidR="00A81EFB" w:rsidRPr="00993860" w:rsidRDefault="00A81EFB" w:rsidP="00A81EFB">
      <w:pPr>
        <w:pStyle w:val="StyleBoldCentered"/>
        <w:rPr>
          <w:rFonts w:ascii="Times New Roman" w:hAnsi="Times New Roman"/>
          <w:caps w:val="0"/>
        </w:rPr>
      </w:pPr>
      <w:r w:rsidRPr="00993860">
        <w:rPr>
          <w:rFonts w:ascii="Times New Roman" w:hAnsi="Times New Roman"/>
        </w:rPr>
        <w:t>F</w:t>
      </w:r>
      <w:r w:rsidRPr="00993860">
        <w:rPr>
          <w:rFonts w:ascii="Times New Roman" w:hAnsi="Times New Roman"/>
          <w:caps w:val="0"/>
        </w:rPr>
        <w:t>ederal Communications Commission</w:t>
      </w:r>
    </w:p>
    <w:p w:rsidR="00A81EFB" w:rsidRPr="00993860" w:rsidRDefault="00A81EFB" w:rsidP="00A81EFB">
      <w:pPr>
        <w:pStyle w:val="StyleBoldCentered"/>
        <w:rPr>
          <w:rFonts w:ascii="Times New Roman" w:hAnsi="Times New Roman"/>
        </w:rPr>
      </w:pPr>
      <w:r w:rsidRPr="00993860">
        <w:rPr>
          <w:rFonts w:ascii="Times New Roman" w:hAnsi="Times New Roman"/>
          <w:caps w:val="0"/>
        </w:rPr>
        <w:t>Washington, D.C. 20554</w:t>
      </w:r>
    </w:p>
    <w:p w:rsidR="00A81EFB" w:rsidRDefault="00A81EFB" w:rsidP="00A81EFB">
      <w:pPr>
        <w:widowControl/>
        <w:jc w:val="center"/>
        <w:rPr>
          <w:b/>
        </w:rPr>
      </w:pPr>
    </w:p>
    <w:tbl>
      <w:tblPr>
        <w:tblW w:w="0" w:type="auto"/>
        <w:tblLayout w:type="fixed"/>
        <w:tblLook w:val="0000" w:firstRow="0" w:lastRow="0" w:firstColumn="0" w:lastColumn="0" w:noHBand="0" w:noVBand="0"/>
      </w:tblPr>
      <w:tblGrid>
        <w:gridCol w:w="4698"/>
        <w:gridCol w:w="720"/>
        <w:gridCol w:w="4230"/>
      </w:tblGrid>
      <w:tr w:rsidR="00A81EFB" w:rsidTr="007D4545">
        <w:tc>
          <w:tcPr>
            <w:tcW w:w="4698" w:type="dxa"/>
          </w:tcPr>
          <w:p w:rsidR="00A81EFB" w:rsidRDefault="00A81EFB" w:rsidP="007D4545">
            <w:pPr>
              <w:tabs>
                <w:tab w:val="center" w:pos="4680"/>
              </w:tabs>
              <w:suppressAutoHyphens/>
              <w:rPr>
                <w:spacing w:val="-2"/>
                <w:szCs w:val="22"/>
              </w:rPr>
            </w:pPr>
            <w:r>
              <w:rPr>
                <w:spacing w:val="-2"/>
                <w:szCs w:val="22"/>
              </w:rPr>
              <w:t>In the Matter of</w:t>
            </w:r>
          </w:p>
          <w:p w:rsidR="00A81EFB" w:rsidRDefault="00A81EFB" w:rsidP="007D4545">
            <w:pPr>
              <w:tabs>
                <w:tab w:val="center" w:pos="4680"/>
              </w:tabs>
              <w:suppressAutoHyphens/>
              <w:rPr>
                <w:spacing w:val="-2"/>
                <w:szCs w:val="22"/>
              </w:rPr>
            </w:pPr>
          </w:p>
          <w:p w:rsidR="00A81EFB" w:rsidRDefault="00A81EFB" w:rsidP="007D4545">
            <w:pPr>
              <w:tabs>
                <w:tab w:val="center" w:pos="4680"/>
              </w:tabs>
              <w:suppressAutoHyphens/>
              <w:rPr>
                <w:spacing w:val="-2"/>
                <w:szCs w:val="22"/>
              </w:rPr>
            </w:pPr>
            <w:r>
              <w:t>Expanding the Economic and Innovation Opportunities of Spectrum Through Incentive Auctions</w:t>
            </w:r>
            <w:r>
              <w:rPr>
                <w:spacing w:val="-2"/>
                <w:szCs w:val="22"/>
              </w:rPr>
              <w:t xml:space="preserve"> </w:t>
            </w:r>
          </w:p>
          <w:p w:rsidR="00A81EFB" w:rsidRDefault="00A81EFB" w:rsidP="007D4545">
            <w:pPr>
              <w:tabs>
                <w:tab w:val="center" w:pos="4680"/>
              </w:tabs>
              <w:suppressAutoHyphens/>
              <w:rPr>
                <w:spacing w:val="-2"/>
                <w:szCs w:val="22"/>
              </w:rPr>
            </w:pPr>
          </w:p>
          <w:p w:rsidR="00A81EFB" w:rsidRDefault="00A81EFB" w:rsidP="007D4545">
            <w:pPr>
              <w:tabs>
                <w:tab w:val="center" w:pos="4680"/>
              </w:tabs>
              <w:suppressAutoHyphens/>
            </w:pPr>
            <w:r>
              <w:t xml:space="preserve">Comment Sought on Competitive Bidding Procedures for Broadcast Incentive Auction 1000, Including Auctions 1001 and 1002 </w:t>
            </w:r>
          </w:p>
          <w:p w:rsidR="00A81EFB" w:rsidRDefault="00A81EFB" w:rsidP="007D4545">
            <w:pPr>
              <w:tabs>
                <w:tab w:val="center" w:pos="4680"/>
              </w:tabs>
              <w:suppressAutoHyphens/>
            </w:pPr>
          </w:p>
          <w:p w:rsidR="00A81EFB" w:rsidRDefault="00A81EFB" w:rsidP="007D4545">
            <w:pPr>
              <w:tabs>
                <w:tab w:val="center" w:pos="4680"/>
              </w:tabs>
              <w:suppressAutoHyphens/>
            </w:pPr>
            <w:r>
              <w:t xml:space="preserve">Policies Regarding Mobile Spectrum Holdings </w:t>
            </w:r>
          </w:p>
          <w:p w:rsidR="00A81EFB" w:rsidRDefault="00A81EFB" w:rsidP="007D4545">
            <w:pPr>
              <w:tabs>
                <w:tab w:val="center" w:pos="4680"/>
              </w:tabs>
              <w:suppressAutoHyphens/>
            </w:pPr>
          </w:p>
          <w:p w:rsidR="00A81EFB" w:rsidRDefault="00A81EFB" w:rsidP="007D4545">
            <w:pPr>
              <w:tabs>
                <w:tab w:val="center" w:pos="4680"/>
              </w:tabs>
              <w:suppressAutoHyphens/>
              <w:rPr>
                <w:spacing w:val="-2"/>
                <w:szCs w:val="22"/>
              </w:rPr>
            </w:pPr>
          </w:p>
        </w:tc>
        <w:tc>
          <w:tcPr>
            <w:tcW w:w="720" w:type="dxa"/>
          </w:tcPr>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r>
              <w:rPr>
                <w:b/>
              </w:rPr>
              <w:t>)</w:t>
            </w:r>
          </w:p>
          <w:p w:rsidR="00A81EFB" w:rsidRDefault="00A81EFB" w:rsidP="007D4545">
            <w:pPr>
              <w:rPr>
                <w:b/>
              </w:rPr>
            </w:pPr>
          </w:p>
        </w:tc>
        <w:tc>
          <w:tcPr>
            <w:tcW w:w="4230" w:type="dxa"/>
          </w:tcPr>
          <w:p w:rsidR="00A81EFB" w:rsidRDefault="00A81EFB" w:rsidP="007D4545"/>
          <w:p w:rsidR="00A81EFB" w:rsidRDefault="00A81EFB" w:rsidP="007D4545">
            <w:pPr>
              <w:tabs>
                <w:tab w:val="center" w:pos="4680"/>
              </w:tabs>
              <w:suppressAutoHyphens/>
              <w:rPr>
                <w:spacing w:val="-2"/>
                <w:szCs w:val="22"/>
              </w:rPr>
            </w:pPr>
            <w:r>
              <w:t xml:space="preserve">GN Docket No. 12-268 </w:t>
            </w:r>
          </w:p>
          <w:p w:rsidR="00A81EFB" w:rsidRDefault="00D15427" w:rsidP="007D4545">
            <w:pPr>
              <w:tabs>
                <w:tab w:val="center" w:pos="4680"/>
              </w:tabs>
              <w:suppressAutoHyphens/>
              <w:rPr>
                <w:spacing w:val="-2"/>
                <w:szCs w:val="22"/>
              </w:rPr>
            </w:pPr>
            <w:r>
              <w:rPr>
                <w:spacing w:val="-2"/>
                <w:szCs w:val="22"/>
              </w:rPr>
              <w:t xml:space="preserve"> </w:t>
            </w:r>
          </w:p>
          <w:p w:rsidR="00A81EFB" w:rsidRDefault="00A81EFB" w:rsidP="007D4545">
            <w:pPr>
              <w:tabs>
                <w:tab w:val="center" w:pos="4680"/>
              </w:tabs>
              <w:suppressAutoHyphens/>
            </w:pPr>
          </w:p>
          <w:p w:rsidR="00A81EFB" w:rsidRDefault="00A81EFB" w:rsidP="007D4545">
            <w:pPr>
              <w:tabs>
                <w:tab w:val="left" w:pos="2692"/>
              </w:tabs>
              <w:suppressAutoHyphens/>
            </w:pPr>
            <w:r>
              <w:tab/>
            </w:r>
          </w:p>
          <w:p w:rsidR="00A81EFB" w:rsidRDefault="00A81EFB" w:rsidP="007D4545">
            <w:pPr>
              <w:tabs>
                <w:tab w:val="center" w:pos="4680"/>
              </w:tabs>
              <w:suppressAutoHyphens/>
            </w:pPr>
            <w:r>
              <w:t xml:space="preserve">AU Docket No. 14-252 </w:t>
            </w:r>
          </w:p>
          <w:p w:rsidR="00A81EFB" w:rsidRDefault="00A81EFB" w:rsidP="007D4545">
            <w:pPr>
              <w:tabs>
                <w:tab w:val="center" w:pos="4680"/>
              </w:tabs>
              <w:suppressAutoHyphens/>
            </w:pPr>
          </w:p>
          <w:p w:rsidR="00A81EFB" w:rsidRDefault="00A81EFB" w:rsidP="007D4545">
            <w:pPr>
              <w:tabs>
                <w:tab w:val="center" w:pos="4680"/>
              </w:tabs>
              <w:suppressAutoHyphens/>
            </w:pPr>
          </w:p>
          <w:p w:rsidR="00A81EFB" w:rsidRDefault="00A81EFB" w:rsidP="007D4545">
            <w:pPr>
              <w:tabs>
                <w:tab w:val="center" w:pos="4680"/>
              </w:tabs>
              <w:suppressAutoHyphens/>
            </w:pPr>
          </w:p>
          <w:p w:rsidR="00A81EFB" w:rsidRDefault="00A81EFB" w:rsidP="007D4545">
            <w:pPr>
              <w:tabs>
                <w:tab w:val="center" w:pos="4680"/>
              </w:tabs>
              <w:suppressAutoHyphens/>
            </w:pPr>
            <w:r>
              <w:t>WT Docket No. 12-269</w:t>
            </w:r>
          </w:p>
        </w:tc>
      </w:tr>
    </w:tbl>
    <w:p w:rsidR="00A81EFB" w:rsidRDefault="00A81EFB" w:rsidP="00A81EFB">
      <w:pPr>
        <w:widowControl/>
        <w:jc w:val="center"/>
        <w:rPr>
          <w:b/>
        </w:rPr>
      </w:pPr>
      <w:r w:rsidRPr="00E74310">
        <w:rPr>
          <w:b/>
        </w:rPr>
        <w:t>ORDER</w:t>
      </w:r>
    </w:p>
    <w:p w:rsidR="00A81EFB" w:rsidRDefault="00A81EFB" w:rsidP="00A81EFB">
      <w:pPr>
        <w:widowControl/>
        <w:jc w:val="center"/>
        <w:rPr>
          <w:b/>
        </w:rPr>
      </w:pPr>
    </w:p>
    <w:p w:rsidR="003A7866" w:rsidRPr="00993860" w:rsidRDefault="003A7866" w:rsidP="003A7866">
      <w:pPr>
        <w:tabs>
          <w:tab w:val="left" w:pos="720"/>
          <w:tab w:val="right" w:pos="9360"/>
        </w:tabs>
        <w:suppressAutoHyphens/>
        <w:spacing w:line="228" w:lineRule="auto"/>
        <w:rPr>
          <w:b/>
          <w:spacing w:val="-2"/>
          <w:szCs w:val="22"/>
        </w:rPr>
      </w:pPr>
      <w:r w:rsidRPr="00993860">
        <w:rPr>
          <w:b/>
          <w:spacing w:val="-2"/>
          <w:szCs w:val="22"/>
        </w:rPr>
        <w:t xml:space="preserve">Adopted:  </w:t>
      </w:r>
      <w:r w:rsidR="00131424" w:rsidRPr="00131424">
        <w:rPr>
          <w:b/>
          <w:spacing w:val="-2"/>
          <w:szCs w:val="22"/>
        </w:rPr>
        <w:t>February 3</w:t>
      </w:r>
      <w:r w:rsidR="00AE49C7">
        <w:rPr>
          <w:b/>
          <w:spacing w:val="-2"/>
          <w:szCs w:val="22"/>
        </w:rPr>
        <w:t>, 2016</w:t>
      </w:r>
      <w:r w:rsidRPr="00993860">
        <w:rPr>
          <w:b/>
          <w:spacing w:val="-2"/>
          <w:szCs w:val="22"/>
        </w:rPr>
        <w:tab/>
        <w:t xml:space="preserve">Released:  </w:t>
      </w:r>
      <w:r w:rsidR="00131424" w:rsidRPr="00131424">
        <w:rPr>
          <w:b/>
          <w:spacing w:val="-2"/>
          <w:szCs w:val="22"/>
        </w:rPr>
        <w:t>February 3</w:t>
      </w:r>
      <w:r w:rsidR="00AE49C7">
        <w:rPr>
          <w:b/>
          <w:spacing w:val="-2"/>
          <w:szCs w:val="22"/>
        </w:rPr>
        <w:t>, 2016</w:t>
      </w:r>
    </w:p>
    <w:p w:rsidR="00A81EFB" w:rsidRDefault="00A81EFB" w:rsidP="00A81EFB">
      <w:pPr>
        <w:widowControl/>
        <w:spacing w:before="60"/>
        <w:rPr>
          <w:b/>
        </w:rPr>
      </w:pPr>
    </w:p>
    <w:p w:rsidR="00A81EFB" w:rsidRPr="00993860" w:rsidRDefault="00A81EFB" w:rsidP="00A81EFB">
      <w:pPr>
        <w:tabs>
          <w:tab w:val="left" w:pos="5760"/>
        </w:tabs>
        <w:rPr>
          <w:szCs w:val="22"/>
        </w:rPr>
      </w:pPr>
      <w:r w:rsidRPr="00993860">
        <w:rPr>
          <w:szCs w:val="22"/>
        </w:rPr>
        <w:t xml:space="preserve">By the </w:t>
      </w:r>
      <w:r w:rsidRPr="00993860">
        <w:rPr>
          <w:spacing w:val="-2"/>
          <w:szCs w:val="22"/>
        </w:rPr>
        <w:t>Chief, Wireless Telecommunications Bureau:</w:t>
      </w:r>
    </w:p>
    <w:p w:rsidR="00A81EFB" w:rsidRPr="00C60499" w:rsidRDefault="00A81EFB" w:rsidP="00A81EFB">
      <w:pPr>
        <w:widowControl/>
        <w:spacing w:before="60"/>
        <w:rPr>
          <w:b/>
        </w:rPr>
      </w:pPr>
    </w:p>
    <w:p w:rsidR="00A81EFB" w:rsidRDefault="00A81EFB" w:rsidP="00A81EFB">
      <w:pPr>
        <w:pStyle w:val="Heading1"/>
        <w:numPr>
          <w:ilvl w:val="0"/>
          <w:numId w:val="23"/>
        </w:numPr>
        <w:tabs>
          <w:tab w:val="left" w:pos="720"/>
        </w:tabs>
        <w:spacing w:after="120"/>
        <w:jc w:val="left"/>
      </w:pPr>
      <w:r>
        <w:t>INTRODUCTION</w:t>
      </w:r>
    </w:p>
    <w:p w:rsidR="003B1B7F" w:rsidRPr="00FF34BA" w:rsidRDefault="007408FC" w:rsidP="009D53EC">
      <w:pPr>
        <w:pStyle w:val="ParaNum"/>
        <w:tabs>
          <w:tab w:val="clear" w:pos="1440"/>
        </w:tabs>
        <w:jc w:val="left"/>
      </w:pPr>
      <w:r w:rsidRPr="00FA1BC3">
        <w:t xml:space="preserve">In this Order we </w:t>
      </w:r>
      <w:r w:rsidRPr="009332AF">
        <w:t>dismiss</w:t>
      </w:r>
      <w:r w:rsidRPr="00FA1BC3">
        <w:t xml:space="preserve"> </w:t>
      </w:r>
      <w:r>
        <w:t xml:space="preserve">two petitions for reconsideration of </w:t>
      </w:r>
      <w:r w:rsidRPr="000D02AA">
        <w:t xml:space="preserve">the Wireless Telecommunications Bureau’s (Bureau) </w:t>
      </w:r>
      <w:r w:rsidRPr="007408FC">
        <w:rPr>
          <w:i/>
        </w:rPr>
        <w:t>Application Procedures</w:t>
      </w:r>
      <w:r w:rsidRPr="000D02AA">
        <w:t xml:space="preserve"> </w:t>
      </w:r>
      <w:r w:rsidRPr="007408FC">
        <w:rPr>
          <w:i/>
        </w:rPr>
        <w:t>for Broadcast Incentive Auction Public Notice (Application Procedures P</w:t>
      </w:r>
      <w:r w:rsidR="0031458C">
        <w:rPr>
          <w:i/>
        </w:rPr>
        <w:t xml:space="preserve">ublic </w:t>
      </w:r>
      <w:r w:rsidRPr="007408FC">
        <w:rPr>
          <w:i/>
        </w:rPr>
        <w:t>N</w:t>
      </w:r>
      <w:r w:rsidR="0031458C">
        <w:rPr>
          <w:i/>
        </w:rPr>
        <w:t>otice</w:t>
      </w:r>
      <w:r w:rsidRPr="007408FC">
        <w:rPr>
          <w:i/>
        </w:rPr>
        <w:t>)</w:t>
      </w:r>
      <w:r>
        <w:t>.</w:t>
      </w:r>
      <w:r>
        <w:rPr>
          <w:rStyle w:val="FootnoteReference"/>
          <w:szCs w:val="22"/>
        </w:rPr>
        <w:footnoteReference w:id="2"/>
      </w:r>
      <w:r w:rsidRPr="000D02AA">
        <w:t xml:space="preserve"> </w:t>
      </w:r>
      <w:r>
        <w:t xml:space="preserve"> </w:t>
      </w:r>
      <w:r w:rsidRPr="000D02AA">
        <w:t xml:space="preserve">PBP Group, LLC, Bulloch Cellular, Inc., Pineland Cellular, Inc., and Planters Rural Cellular, Inc. (collectively </w:t>
      </w:r>
      <w:r w:rsidR="00984DF5">
        <w:t>PBP</w:t>
      </w:r>
      <w:r w:rsidRPr="000D02AA">
        <w:t xml:space="preserve">) seek reconsideration </w:t>
      </w:r>
      <w:r>
        <w:t xml:space="preserve">of </w:t>
      </w:r>
      <w:r w:rsidRPr="000D02AA">
        <w:t>the eligibility requirements for a rural service provider bidding credit.</w:t>
      </w:r>
      <w:r w:rsidRPr="00FA1BC3">
        <w:rPr>
          <w:rStyle w:val="FootnoteReference"/>
          <w:szCs w:val="22"/>
        </w:rPr>
        <w:footnoteReference w:id="3"/>
      </w:r>
      <w:r w:rsidRPr="000D02AA">
        <w:t xml:space="preserve">  </w:t>
      </w:r>
      <w:r>
        <w:t xml:space="preserve">T-Mobile USA, Inc. (T-Mobile) requests that the </w:t>
      </w:r>
      <w:r w:rsidR="0078584A">
        <w:t>Commission</w:t>
      </w:r>
      <w:r>
        <w:t xml:space="preserve"> reconsider the </w:t>
      </w:r>
      <w:r w:rsidRPr="007408FC">
        <w:rPr>
          <w:i/>
        </w:rPr>
        <w:t xml:space="preserve">Application Procedures </w:t>
      </w:r>
      <w:r w:rsidR="0031458C" w:rsidRPr="0031458C">
        <w:rPr>
          <w:i/>
        </w:rPr>
        <w:t>Public Notice</w:t>
      </w:r>
      <w:r w:rsidRPr="007408FC">
        <w:rPr>
          <w:i/>
        </w:rPr>
        <w:t xml:space="preserve"> </w:t>
      </w:r>
      <w:r w:rsidRPr="00FF34BA">
        <w:t>by</w:t>
      </w:r>
      <w:r>
        <w:t xml:space="preserve"> declaring that certain identified entities are considered “former defaulters” under the Commission’s </w:t>
      </w:r>
      <w:r w:rsidR="0055090B">
        <w:t xml:space="preserve">Part 1 </w:t>
      </w:r>
      <w:r>
        <w:t xml:space="preserve">competitive bidding rules that require a 50 percent </w:t>
      </w:r>
      <w:r w:rsidR="005E7F01">
        <w:t>larger</w:t>
      </w:r>
      <w:r>
        <w:t xml:space="preserve"> upfront payment from former defaulters participating in Commission spectrum auctions.</w:t>
      </w:r>
      <w:r>
        <w:rPr>
          <w:rStyle w:val="FootnoteReference"/>
          <w:szCs w:val="22"/>
        </w:rPr>
        <w:footnoteReference w:id="4"/>
      </w:r>
      <w:r>
        <w:t xml:space="preserve">  </w:t>
      </w:r>
      <w:r w:rsidR="008F2DB2">
        <w:t>T-Mobile requests in the alternativ</w:t>
      </w:r>
      <w:r w:rsidR="0078584A">
        <w:t>e that</w:t>
      </w:r>
      <w:r w:rsidR="003226EA">
        <w:t xml:space="preserve"> the Commission issue a declaratory ruling</w:t>
      </w:r>
      <w:r w:rsidR="0078584A">
        <w:t xml:space="preserve"> </w:t>
      </w:r>
      <w:r w:rsidR="003226EA">
        <w:t xml:space="preserve">that </w:t>
      </w:r>
      <w:r w:rsidR="00C04E49">
        <w:t>those e</w:t>
      </w:r>
      <w:r w:rsidR="003226EA">
        <w:t>ntities are “former defaulters” under the Commission’s competitive bidding rules</w:t>
      </w:r>
      <w:r w:rsidR="0055090B">
        <w:t>.</w:t>
      </w:r>
      <w:r w:rsidR="0078584A">
        <w:t xml:space="preserve">  </w:t>
      </w:r>
      <w:r w:rsidRPr="007408FC">
        <w:rPr>
          <w:rFonts w:ascii="TimesNewRoman" w:hAnsi="TimesNewRoman" w:cs="TimesNewRoman"/>
          <w:snapToGrid/>
          <w:color w:val="010101"/>
          <w:kern w:val="0"/>
        </w:rPr>
        <w:t xml:space="preserve">For the reasons stated below, we </w:t>
      </w:r>
      <w:r w:rsidR="00067338">
        <w:rPr>
          <w:rFonts w:ascii="TimesNewRoman" w:hAnsi="TimesNewRoman" w:cs="TimesNewRoman"/>
          <w:snapToGrid/>
          <w:color w:val="010101"/>
          <w:kern w:val="0"/>
        </w:rPr>
        <w:t xml:space="preserve">dismiss </w:t>
      </w:r>
      <w:r w:rsidRPr="007408FC">
        <w:rPr>
          <w:rFonts w:ascii="TimesNewRoman" w:hAnsi="TimesNewRoman" w:cs="TimesNewRoman"/>
          <w:snapToGrid/>
          <w:color w:val="010101"/>
          <w:kern w:val="0"/>
        </w:rPr>
        <w:t xml:space="preserve">the PBP Petition and the </w:t>
      </w:r>
      <w:r w:rsidRPr="005F5B39">
        <w:t>T-Mobile Petition</w:t>
      </w:r>
      <w:r w:rsidRPr="007408FC">
        <w:rPr>
          <w:rFonts w:ascii="TimesNewRoman" w:hAnsi="TimesNewRoman" w:cs="TimesNewRoman"/>
          <w:snapToGrid/>
          <w:color w:val="010101"/>
          <w:kern w:val="0"/>
        </w:rPr>
        <w:t xml:space="preserve">.  </w:t>
      </w:r>
      <w:r w:rsidR="00C30EBD">
        <w:rPr>
          <w:rFonts w:ascii="TimesNewRoman" w:hAnsi="TimesNewRoman" w:cs="TimesNewRoman"/>
          <w:snapToGrid/>
          <w:color w:val="010101"/>
          <w:kern w:val="0"/>
        </w:rPr>
        <w:t xml:space="preserve">We also deny T-Mobile’s alternative request for a declaratory ruling. </w:t>
      </w:r>
    </w:p>
    <w:p w:rsidR="00A81EFB" w:rsidRPr="00770D9B" w:rsidRDefault="00A81EFB" w:rsidP="00A81EFB">
      <w:pPr>
        <w:pStyle w:val="Heading1"/>
        <w:numPr>
          <w:ilvl w:val="0"/>
          <w:numId w:val="23"/>
        </w:numPr>
        <w:tabs>
          <w:tab w:val="left" w:pos="720"/>
        </w:tabs>
        <w:spacing w:after="120"/>
        <w:jc w:val="left"/>
      </w:pPr>
      <w:r w:rsidRPr="00770D9B">
        <w:lastRenderedPageBreak/>
        <w:t xml:space="preserve">Background </w:t>
      </w:r>
    </w:p>
    <w:p w:rsidR="00EF06A4" w:rsidRPr="00212880" w:rsidRDefault="00A81EFB" w:rsidP="00212880">
      <w:pPr>
        <w:pStyle w:val="ParaNum"/>
        <w:widowControl/>
        <w:numPr>
          <w:ilvl w:val="0"/>
          <w:numId w:val="22"/>
        </w:numPr>
        <w:tabs>
          <w:tab w:val="clear" w:pos="1080"/>
        </w:tabs>
        <w:spacing w:after="120"/>
        <w:jc w:val="left"/>
        <w:rPr>
          <w:szCs w:val="22"/>
        </w:rPr>
      </w:pPr>
      <w:r w:rsidRPr="00212880">
        <w:rPr>
          <w:szCs w:val="22"/>
        </w:rPr>
        <w:t xml:space="preserve"> </w:t>
      </w:r>
      <w:r w:rsidR="0039205B" w:rsidRPr="00212880">
        <w:rPr>
          <w:szCs w:val="22"/>
        </w:rPr>
        <w:t>I</w:t>
      </w:r>
      <w:r w:rsidRPr="00212880">
        <w:rPr>
          <w:szCs w:val="22"/>
        </w:rPr>
        <w:t xml:space="preserve">n July </w:t>
      </w:r>
      <w:r w:rsidR="0039205B" w:rsidRPr="00212880">
        <w:rPr>
          <w:szCs w:val="22"/>
        </w:rPr>
        <w:t>2</w:t>
      </w:r>
      <w:r w:rsidRPr="00212880">
        <w:rPr>
          <w:szCs w:val="22"/>
        </w:rPr>
        <w:t xml:space="preserve">015, the Commission released the </w:t>
      </w:r>
      <w:r w:rsidRPr="00212880">
        <w:rPr>
          <w:i/>
          <w:szCs w:val="22"/>
        </w:rPr>
        <w:t>Part 1 R</w:t>
      </w:r>
      <w:r w:rsidR="003F13DF" w:rsidRPr="00212880">
        <w:rPr>
          <w:i/>
          <w:szCs w:val="22"/>
        </w:rPr>
        <w:t xml:space="preserve">eport and </w:t>
      </w:r>
      <w:r w:rsidRPr="00212880">
        <w:rPr>
          <w:i/>
          <w:szCs w:val="22"/>
        </w:rPr>
        <w:t>O</w:t>
      </w:r>
      <w:r w:rsidR="003F13DF" w:rsidRPr="00212880">
        <w:rPr>
          <w:i/>
          <w:szCs w:val="22"/>
        </w:rPr>
        <w:t>rder</w:t>
      </w:r>
      <w:r w:rsidRPr="00212880">
        <w:rPr>
          <w:szCs w:val="22"/>
        </w:rPr>
        <w:t xml:space="preserve">, </w:t>
      </w:r>
      <w:r w:rsidR="005B185D" w:rsidRPr="00212880">
        <w:rPr>
          <w:szCs w:val="22"/>
        </w:rPr>
        <w:t xml:space="preserve">in </w:t>
      </w:r>
      <w:r w:rsidRPr="00212880">
        <w:rPr>
          <w:szCs w:val="22"/>
        </w:rPr>
        <w:t xml:space="preserve">which </w:t>
      </w:r>
      <w:r w:rsidR="005B185D" w:rsidRPr="00212880">
        <w:rPr>
          <w:szCs w:val="22"/>
        </w:rPr>
        <w:t xml:space="preserve">it </w:t>
      </w:r>
      <w:r w:rsidRPr="00212880">
        <w:rPr>
          <w:szCs w:val="22"/>
        </w:rPr>
        <w:t>modernized and reformed the Commission’s Part 1 competitive bidding rules to reflect changes in the wireless industry over the last decade.</w:t>
      </w:r>
      <w:r>
        <w:rPr>
          <w:rStyle w:val="FootnoteReference"/>
          <w:szCs w:val="22"/>
        </w:rPr>
        <w:footnoteReference w:id="5"/>
      </w:r>
      <w:r w:rsidRPr="00212880">
        <w:rPr>
          <w:szCs w:val="22"/>
        </w:rPr>
        <w:t xml:space="preserve">  Among</w:t>
      </w:r>
      <w:r w:rsidR="00E774F8" w:rsidRPr="00212880">
        <w:rPr>
          <w:szCs w:val="22"/>
        </w:rPr>
        <w:t xml:space="preserve"> </w:t>
      </w:r>
      <w:r w:rsidR="00AD399C">
        <w:rPr>
          <w:szCs w:val="22"/>
        </w:rPr>
        <w:t>other steps</w:t>
      </w:r>
      <w:r w:rsidRPr="00212880">
        <w:rPr>
          <w:szCs w:val="22"/>
        </w:rPr>
        <w:t xml:space="preserve">, the </w:t>
      </w:r>
      <w:r w:rsidR="008B0A57" w:rsidRPr="00212880">
        <w:rPr>
          <w:szCs w:val="22"/>
        </w:rPr>
        <w:t xml:space="preserve">Commission </w:t>
      </w:r>
      <w:r w:rsidR="001D64C1" w:rsidRPr="00212880">
        <w:rPr>
          <w:szCs w:val="22"/>
        </w:rPr>
        <w:t xml:space="preserve">adopted for the first time </w:t>
      </w:r>
      <w:r w:rsidRPr="00212880">
        <w:rPr>
          <w:szCs w:val="22"/>
        </w:rPr>
        <w:t>a bidding credit for eligible rural service providers.</w:t>
      </w:r>
      <w:r>
        <w:rPr>
          <w:rStyle w:val="FootnoteReference"/>
          <w:szCs w:val="22"/>
        </w:rPr>
        <w:footnoteReference w:id="6"/>
      </w:r>
      <w:r w:rsidRPr="00212880">
        <w:rPr>
          <w:szCs w:val="22"/>
        </w:rPr>
        <w:t xml:space="preserve">  </w:t>
      </w:r>
      <w:r w:rsidR="00320532" w:rsidRPr="00212880">
        <w:rPr>
          <w:szCs w:val="22"/>
        </w:rPr>
        <w:t>T</w:t>
      </w:r>
      <w:r w:rsidR="000E032A" w:rsidRPr="00212880">
        <w:rPr>
          <w:szCs w:val="22"/>
        </w:rPr>
        <w:t xml:space="preserve">o be eligible for a rural service provider bidding credit, an applicant </w:t>
      </w:r>
      <w:r w:rsidR="00320532" w:rsidRPr="00212880">
        <w:rPr>
          <w:szCs w:val="22"/>
        </w:rPr>
        <w:t>“</w:t>
      </w:r>
      <w:r w:rsidR="000E032A" w:rsidRPr="00212880">
        <w:rPr>
          <w:szCs w:val="22"/>
        </w:rPr>
        <w:t>must be in the business of providing commercial communications services to a customer base of fewer than 250,000 combined wireless, wireline, broadband, and cable subscribers and must also serve predominantly rural areas.”</w:t>
      </w:r>
      <w:r w:rsidR="000E032A" w:rsidRPr="00B86A27">
        <w:rPr>
          <w:rStyle w:val="FootnoteReference"/>
          <w:szCs w:val="22"/>
        </w:rPr>
        <w:footnoteReference w:id="7"/>
      </w:r>
      <w:r w:rsidR="000E032A" w:rsidRPr="00212880">
        <w:rPr>
          <w:szCs w:val="22"/>
        </w:rPr>
        <w:t xml:space="preserve"> </w:t>
      </w:r>
    </w:p>
    <w:p w:rsidR="00A81EFB" w:rsidRPr="00094D28" w:rsidRDefault="00A81EFB" w:rsidP="00212880">
      <w:pPr>
        <w:pStyle w:val="ParaNum"/>
        <w:widowControl/>
        <w:numPr>
          <w:ilvl w:val="0"/>
          <w:numId w:val="22"/>
        </w:numPr>
        <w:tabs>
          <w:tab w:val="clear" w:pos="1080"/>
          <w:tab w:val="clear" w:pos="1440"/>
          <w:tab w:val="left" w:pos="1530"/>
        </w:tabs>
        <w:spacing w:after="120"/>
        <w:jc w:val="left"/>
        <w:rPr>
          <w:szCs w:val="22"/>
        </w:rPr>
      </w:pPr>
      <w:r w:rsidRPr="00094D28">
        <w:rPr>
          <w:szCs w:val="22"/>
        </w:rPr>
        <w:t xml:space="preserve">In the </w:t>
      </w:r>
      <w:r w:rsidRPr="00094D28">
        <w:rPr>
          <w:i/>
          <w:szCs w:val="22"/>
        </w:rPr>
        <w:t xml:space="preserve">Part </w:t>
      </w:r>
      <w:r w:rsidR="00AD399C">
        <w:rPr>
          <w:i/>
          <w:szCs w:val="22"/>
        </w:rPr>
        <w:t>1</w:t>
      </w:r>
      <w:r w:rsidR="00AD399C" w:rsidRPr="00094D28">
        <w:rPr>
          <w:i/>
          <w:szCs w:val="22"/>
        </w:rPr>
        <w:t xml:space="preserve"> </w:t>
      </w:r>
      <w:r w:rsidRPr="00094D28">
        <w:rPr>
          <w:i/>
          <w:szCs w:val="22"/>
        </w:rPr>
        <w:t>R</w:t>
      </w:r>
      <w:r w:rsidR="001B08D6">
        <w:rPr>
          <w:i/>
          <w:szCs w:val="22"/>
        </w:rPr>
        <w:t xml:space="preserve">eport and </w:t>
      </w:r>
      <w:r w:rsidRPr="00094D28">
        <w:rPr>
          <w:i/>
          <w:szCs w:val="22"/>
        </w:rPr>
        <w:t>O</w:t>
      </w:r>
      <w:r w:rsidR="001B08D6">
        <w:rPr>
          <w:i/>
          <w:szCs w:val="22"/>
        </w:rPr>
        <w:t>rder</w:t>
      </w:r>
      <w:r w:rsidR="00212880">
        <w:rPr>
          <w:szCs w:val="22"/>
        </w:rPr>
        <w:t>,</w:t>
      </w:r>
      <w:r w:rsidRPr="00094D28">
        <w:rPr>
          <w:szCs w:val="22"/>
        </w:rPr>
        <w:t xml:space="preserve"> </w:t>
      </w:r>
      <w:r w:rsidR="00480366">
        <w:rPr>
          <w:szCs w:val="22"/>
        </w:rPr>
        <w:t xml:space="preserve">the Commission </w:t>
      </w:r>
      <w:r w:rsidR="00480366" w:rsidRPr="00EE2FB0">
        <w:rPr>
          <w:szCs w:val="22"/>
        </w:rPr>
        <w:t>also modified its co</w:t>
      </w:r>
      <w:r w:rsidR="006A529B">
        <w:rPr>
          <w:szCs w:val="22"/>
        </w:rPr>
        <w:t>mpetitive bidding rules in certain other respects</w:t>
      </w:r>
      <w:r w:rsidR="00480366">
        <w:rPr>
          <w:szCs w:val="22"/>
        </w:rPr>
        <w:t>.</w:t>
      </w:r>
      <w:r w:rsidR="00480366">
        <w:rPr>
          <w:rStyle w:val="FootnoteReference"/>
          <w:szCs w:val="22"/>
        </w:rPr>
        <w:footnoteReference w:id="8"/>
      </w:r>
      <w:r w:rsidR="00480366">
        <w:rPr>
          <w:szCs w:val="22"/>
        </w:rPr>
        <w:t xml:space="preserve"> </w:t>
      </w:r>
      <w:r w:rsidR="008200DB">
        <w:rPr>
          <w:szCs w:val="22"/>
        </w:rPr>
        <w:t xml:space="preserve"> Among these modifications were changes to the </w:t>
      </w:r>
      <w:r w:rsidRPr="00094D28">
        <w:rPr>
          <w:szCs w:val="22"/>
        </w:rPr>
        <w:t>rule governing former defaulters</w:t>
      </w:r>
      <w:r w:rsidR="008200DB">
        <w:rPr>
          <w:szCs w:val="22"/>
        </w:rPr>
        <w:t>.</w:t>
      </w:r>
      <w:r>
        <w:rPr>
          <w:rStyle w:val="FootnoteReference"/>
          <w:szCs w:val="22"/>
        </w:rPr>
        <w:footnoteReference w:id="9"/>
      </w:r>
      <w:r w:rsidRPr="00094D28">
        <w:rPr>
          <w:szCs w:val="22"/>
        </w:rPr>
        <w:t xml:space="preserve">  </w:t>
      </w:r>
      <w:r w:rsidR="00823603">
        <w:rPr>
          <w:szCs w:val="22"/>
        </w:rPr>
        <w:t>F</w:t>
      </w:r>
      <w:r>
        <w:rPr>
          <w:szCs w:val="22"/>
        </w:rPr>
        <w:t xml:space="preserve">ormer defaulters are required by </w:t>
      </w:r>
      <w:r w:rsidR="004B29B9">
        <w:rPr>
          <w:szCs w:val="22"/>
        </w:rPr>
        <w:t>S</w:t>
      </w:r>
      <w:r>
        <w:rPr>
          <w:szCs w:val="22"/>
        </w:rPr>
        <w:t>ection 1.2106 t</w:t>
      </w:r>
      <w:r w:rsidRPr="00094D28">
        <w:rPr>
          <w:szCs w:val="22"/>
        </w:rPr>
        <w:t>o pay a 50</w:t>
      </w:r>
      <w:r>
        <w:rPr>
          <w:szCs w:val="22"/>
        </w:rPr>
        <w:t xml:space="preserve"> percent </w:t>
      </w:r>
      <w:r w:rsidR="005E7F01">
        <w:rPr>
          <w:szCs w:val="22"/>
        </w:rPr>
        <w:t>larger</w:t>
      </w:r>
      <w:r w:rsidRPr="00094D28">
        <w:rPr>
          <w:szCs w:val="22"/>
        </w:rPr>
        <w:t xml:space="preserve"> upfront payment to participate in </w:t>
      </w:r>
      <w:r>
        <w:rPr>
          <w:szCs w:val="22"/>
        </w:rPr>
        <w:t xml:space="preserve">an </w:t>
      </w:r>
      <w:r w:rsidRPr="00094D28">
        <w:rPr>
          <w:szCs w:val="22"/>
        </w:rPr>
        <w:t>auction</w:t>
      </w:r>
      <w:r w:rsidR="00823603">
        <w:rPr>
          <w:szCs w:val="22"/>
        </w:rPr>
        <w:t>.</w:t>
      </w:r>
      <w:r>
        <w:rPr>
          <w:rStyle w:val="FootnoteReference"/>
          <w:szCs w:val="22"/>
        </w:rPr>
        <w:footnoteReference w:id="10"/>
      </w:r>
      <w:r>
        <w:rPr>
          <w:szCs w:val="22"/>
        </w:rPr>
        <w:t xml:space="preserve">  T</w:t>
      </w:r>
      <w:r w:rsidRPr="00094D28">
        <w:rPr>
          <w:szCs w:val="22"/>
        </w:rPr>
        <w:t xml:space="preserve">he Commission narrowed the </w:t>
      </w:r>
      <w:r w:rsidR="002B0AC7">
        <w:rPr>
          <w:szCs w:val="22"/>
        </w:rPr>
        <w:t xml:space="preserve">application of the </w:t>
      </w:r>
      <w:r>
        <w:rPr>
          <w:szCs w:val="22"/>
        </w:rPr>
        <w:t xml:space="preserve">existing </w:t>
      </w:r>
      <w:r w:rsidRPr="00094D28">
        <w:rPr>
          <w:szCs w:val="22"/>
        </w:rPr>
        <w:t xml:space="preserve">rule by </w:t>
      </w:r>
      <w:r>
        <w:rPr>
          <w:szCs w:val="22"/>
        </w:rPr>
        <w:t xml:space="preserve">allowing applicants to </w:t>
      </w:r>
      <w:r w:rsidRPr="00094D28">
        <w:rPr>
          <w:szCs w:val="22"/>
        </w:rPr>
        <w:t>exclud</w:t>
      </w:r>
      <w:r>
        <w:rPr>
          <w:szCs w:val="22"/>
        </w:rPr>
        <w:t xml:space="preserve">e </w:t>
      </w:r>
      <w:r w:rsidR="00CF5861">
        <w:rPr>
          <w:szCs w:val="22"/>
        </w:rPr>
        <w:t xml:space="preserve">from this requirement </w:t>
      </w:r>
      <w:r w:rsidRPr="00094D28">
        <w:rPr>
          <w:szCs w:val="22"/>
        </w:rPr>
        <w:t>any cured default on a Commission license or delinquency on a non-tax debt owed to a federal agency that met any of four criteria.</w:t>
      </w:r>
      <w:r>
        <w:rPr>
          <w:rStyle w:val="FootnoteReference"/>
          <w:szCs w:val="22"/>
        </w:rPr>
        <w:footnoteReference w:id="11"/>
      </w:r>
      <w:r w:rsidRPr="00094D28">
        <w:rPr>
          <w:szCs w:val="22"/>
        </w:rPr>
        <w:t xml:space="preserve">  The Commission </w:t>
      </w:r>
      <w:r>
        <w:rPr>
          <w:szCs w:val="22"/>
        </w:rPr>
        <w:t>expressly stated</w:t>
      </w:r>
      <w:r w:rsidRPr="00094D28">
        <w:rPr>
          <w:szCs w:val="22"/>
        </w:rPr>
        <w:t xml:space="preserve"> that </w:t>
      </w:r>
      <w:r w:rsidR="002B0AC7">
        <w:rPr>
          <w:szCs w:val="22"/>
        </w:rPr>
        <w:t>its</w:t>
      </w:r>
      <w:r>
        <w:rPr>
          <w:szCs w:val="22"/>
        </w:rPr>
        <w:t xml:space="preserve"> </w:t>
      </w:r>
      <w:r w:rsidRPr="00094D28">
        <w:rPr>
          <w:szCs w:val="22"/>
        </w:rPr>
        <w:t xml:space="preserve">revisions to the Part 1 rules were intended to </w:t>
      </w:r>
      <w:r>
        <w:rPr>
          <w:szCs w:val="22"/>
        </w:rPr>
        <w:t xml:space="preserve">be effective for </w:t>
      </w:r>
      <w:r w:rsidRPr="00094D28">
        <w:rPr>
          <w:szCs w:val="22"/>
        </w:rPr>
        <w:t>the broadcast incentive auction.</w:t>
      </w:r>
      <w:r>
        <w:rPr>
          <w:rStyle w:val="FootnoteReference"/>
          <w:szCs w:val="22"/>
        </w:rPr>
        <w:footnoteReference w:id="12"/>
      </w:r>
    </w:p>
    <w:p w:rsidR="00A81EFB" w:rsidRPr="0019581F" w:rsidRDefault="00A81EFB" w:rsidP="007D4545">
      <w:pPr>
        <w:pStyle w:val="ParaNum"/>
        <w:widowControl/>
        <w:numPr>
          <w:ilvl w:val="0"/>
          <w:numId w:val="22"/>
        </w:numPr>
        <w:tabs>
          <w:tab w:val="clear" w:pos="1080"/>
          <w:tab w:val="num" w:pos="1440"/>
        </w:tabs>
        <w:spacing w:after="120"/>
        <w:jc w:val="left"/>
      </w:pPr>
      <w:r w:rsidRPr="008746C2">
        <w:rPr>
          <w:szCs w:val="22"/>
        </w:rPr>
        <w:t>Subsequently, the Commission and the Bureau released various public notices to establish final procedures for the broadcast incentive auction.</w:t>
      </w:r>
      <w:r w:rsidR="00D973E7">
        <w:rPr>
          <w:rStyle w:val="FootnoteReference"/>
          <w:szCs w:val="22"/>
        </w:rPr>
        <w:footnoteReference w:id="13"/>
      </w:r>
      <w:r w:rsidRPr="008746C2">
        <w:rPr>
          <w:szCs w:val="22"/>
        </w:rPr>
        <w:t xml:space="preserve">  </w:t>
      </w:r>
      <w:r w:rsidR="008746C2">
        <w:rPr>
          <w:szCs w:val="22"/>
        </w:rPr>
        <w:t>One such notice was</w:t>
      </w:r>
      <w:r w:rsidRPr="008746C2">
        <w:rPr>
          <w:szCs w:val="22"/>
        </w:rPr>
        <w:t xml:space="preserve"> the </w:t>
      </w:r>
      <w:r w:rsidRPr="008746C2">
        <w:rPr>
          <w:i/>
          <w:szCs w:val="22"/>
        </w:rPr>
        <w:t>Application Procedures</w:t>
      </w:r>
      <w:r w:rsidRPr="008746C2">
        <w:rPr>
          <w:szCs w:val="22"/>
        </w:rPr>
        <w:t xml:space="preserve"> </w:t>
      </w:r>
      <w:r w:rsidR="0031458C" w:rsidRPr="0031458C">
        <w:rPr>
          <w:i/>
          <w:szCs w:val="22"/>
        </w:rPr>
        <w:t>Public Notice</w:t>
      </w:r>
      <w:r w:rsidR="008746C2">
        <w:rPr>
          <w:szCs w:val="22"/>
        </w:rPr>
        <w:t>, which was released</w:t>
      </w:r>
      <w:r w:rsidR="008746C2" w:rsidRPr="008746C2">
        <w:rPr>
          <w:szCs w:val="22"/>
        </w:rPr>
        <w:t xml:space="preserve"> </w:t>
      </w:r>
      <w:r w:rsidR="008746C2">
        <w:rPr>
          <w:szCs w:val="22"/>
        </w:rPr>
        <w:t>o</w:t>
      </w:r>
      <w:r w:rsidR="008746C2" w:rsidRPr="008746C2">
        <w:rPr>
          <w:szCs w:val="22"/>
        </w:rPr>
        <w:t>n October 15, 2015</w:t>
      </w:r>
      <w:r w:rsidRPr="008746C2">
        <w:rPr>
          <w:i/>
          <w:szCs w:val="22"/>
        </w:rPr>
        <w:t>.</w:t>
      </w:r>
      <w:r w:rsidRPr="005F581A">
        <w:rPr>
          <w:rStyle w:val="FootnoteReference"/>
          <w:szCs w:val="22"/>
        </w:rPr>
        <w:footnoteReference w:id="14"/>
      </w:r>
      <w:r w:rsidRPr="008746C2">
        <w:rPr>
          <w:i/>
          <w:szCs w:val="22"/>
        </w:rPr>
        <w:t xml:space="preserve"> </w:t>
      </w:r>
      <w:r w:rsidRPr="008746C2">
        <w:rPr>
          <w:szCs w:val="22"/>
        </w:rPr>
        <w:t xml:space="preserve"> Pursuant to the Commission’s direction, the </w:t>
      </w:r>
      <w:r w:rsidRPr="008746C2">
        <w:rPr>
          <w:i/>
          <w:szCs w:val="22"/>
        </w:rPr>
        <w:t xml:space="preserve">Application Procedures </w:t>
      </w:r>
      <w:r w:rsidR="0031458C" w:rsidRPr="0031458C">
        <w:rPr>
          <w:i/>
          <w:szCs w:val="22"/>
        </w:rPr>
        <w:t>Public Notice</w:t>
      </w:r>
      <w:r w:rsidRPr="008746C2">
        <w:rPr>
          <w:szCs w:val="22"/>
        </w:rPr>
        <w:t xml:space="preserve"> established final application procedures for the </w:t>
      </w:r>
      <w:r w:rsidRPr="008746C2">
        <w:rPr>
          <w:szCs w:val="22"/>
        </w:rPr>
        <w:lastRenderedPageBreak/>
        <w:t>reverse and forward auctions, provided detailed information, instructions, and deadlines for filing applications, and finalized certain post-auction procedures established by the Commission’s prior orders.</w:t>
      </w:r>
      <w:r w:rsidRPr="001A7F99">
        <w:rPr>
          <w:rStyle w:val="FootnoteReference"/>
        </w:rPr>
        <w:footnoteReference w:id="15"/>
      </w:r>
      <w:r w:rsidRPr="008746C2">
        <w:rPr>
          <w:szCs w:val="22"/>
        </w:rPr>
        <w:t xml:space="preserve">  With respect to the forward auction application, the </w:t>
      </w:r>
      <w:r w:rsidR="004867B6" w:rsidRPr="008746C2">
        <w:rPr>
          <w:i/>
          <w:szCs w:val="22"/>
        </w:rPr>
        <w:t>Application Procedures</w:t>
      </w:r>
      <w:r w:rsidR="004867B6" w:rsidRPr="008746C2">
        <w:rPr>
          <w:szCs w:val="22"/>
        </w:rPr>
        <w:t xml:space="preserve"> </w:t>
      </w:r>
      <w:r w:rsidR="0031458C" w:rsidRPr="0031458C">
        <w:rPr>
          <w:i/>
          <w:szCs w:val="22"/>
        </w:rPr>
        <w:t>Public Notice</w:t>
      </w:r>
      <w:r w:rsidRPr="008746C2">
        <w:rPr>
          <w:szCs w:val="22"/>
        </w:rPr>
        <w:t xml:space="preserve"> </w:t>
      </w:r>
      <w:r w:rsidR="00AD399C">
        <w:rPr>
          <w:szCs w:val="22"/>
        </w:rPr>
        <w:t xml:space="preserve">stated </w:t>
      </w:r>
      <w:r w:rsidRPr="008746C2">
        <w:rPr>
          <w:szCs w:val="22"/>
        </w:rPr>
        <w:t xml:space="preserve">the Commission’s rule regarding eligibility for the </w:t>
      </w:r>
      <w:r w:rsidR="00086422">
        <w:rPr>
          <w:szCs w:val="22"/>
        </w:rPr>
        <w:t xml:space="preserve">new </w:t>
      </w:r>
      <w:r w:rsidRPr="008746C2">
        <w:rPr>
          <w:szCs w:val="22"/>
        </w:rPr>
        <w:t>rural service provider bidding credit and explained the disclosures required in the application.</w:t>
      </w:r>
      <w:r>
        <w:rPr>
          <w:rStyle w:val="FootnoteReference"/>
          <w:szCs w:val="22"/>
        </w:rPr>
        <w:footnoteReference w:id="16"/>
      </w:r>
      <w:r w:rsidRPr="008746C2">
        <w:rPr>
          <w:szCs w:val="22"/>
        </w:rPr>
        <w:t xml:space="preserve">  </w:t>
      </w:r>
      <w:r w:rsidR="004867B6" w:rsidRPr="004867B6">
        <w:rPr>
          <w:szCs w:val="22"/>
        </w:rPr>
        <w:t>T</w:t>
      </w:r>
      <w:r w:rsidRPr="004867B6">
        <w:rPr>
          <w:szCs w:val="22"/>
        </w:rPr>
        <w:t xml:space="preserve">he </w:t>
      </w:r>
      <w:r w:rsidRPr="004867B6">
        <w:rPr>
          <w:i/>
          <w:szCs w:val="22"/>
        </w:rPr>
        <w:t xml:space="preserve">Application Procedures </w:t>
      </w:r>
      <w:r w:rsidR="0031458C" w:rsidRPr="0031458C">
        <w:rPr>
          <w:i/>
          <w:szCs w:val="22"/>
        </w:rPr>
        <w:t>Public Notice</w:t>
      </w:r>
      <w:r w:rsidR="0013239D" w:rsidRPr="00893EE3">
        <w:rPr>
          <w:szCs w:val="22"/>
        </w:rPr>
        <w:t xml:space="preserve"> </w:t>
      </w:r>
      <w:r w:rsidR="00BE766B" w:rsidRPr="00893EE3">
        <w:rPr>
          <w:szCs w:val="22"/>
        </w:rPr>
        <w:t xml:space="preserve">also </w:t>
      </w:r>
      <w:r w:rsidR="0013239D" w:rsidRPr="00893EE3">
        <w:rPr>
          <w:szCs w:val="22"/>
        </w:rPr>
        <w:t>indicat</w:t>
      </w:r>
      <w:r w:rsidRPr="00893EE3">
        <w:rPr>
          <w:szCs w:val="22"/>
        </w:rPr>
        <w:t>e</w:t>
      </w:r>
      <w:r w:rsidR="008746C2" w:rsidRPr="00893EE3">
        <w:rPr>
          <w:szCs w:val="22"/>
        </w:rPr>
        <w:t>d</w:t>
      </w:r>
      <w:r w:rsidRPr="00893EE3">
        <w:rPr>
          <w:szCs w:val="22"/>
        </w:rPr>
        <w:t xml:space="preserve"> </w:t>
      </w:r>
      <w:r w:rsidR="0013239D" w:rsidRPr="00893EE3">
        <w:rPr>
          <w:szCs w:val="22"/>
        </w:rPr>
        <w:t xml:space="preserve">that </w:t>
      </w:r>
      <w:r w:rsidRPr="00893EE3">
        <w:rPr>
          <w:szCs w:val="22"/>
        </w:rPr>
        <w:t xml:space="preserve">each forward auction applicant </w:t>
      </w:r>
      <w:r w:rsidR="0013239D" w:rsidRPr="00893EE3">
        <w:rPr>
          <w:szCs w:val="22"/>
        </w:rPr>
        <w:t>must</w:t>
      </w:r>
      <w:r w:rsidRPr="00893EE3">
        <w:rPr>
          <w:szCs w:val="22"/>
        </w:rPr>
        <w:t xml:space="preserve"> certif</w:t>
      </w:r>
      <w:r w:rsidR="003F64CC" w:rsidRPr="00893EE3">
        <w:rPr>
          <w:szCs w:val="22"/>
        </w:rPr>
        <w:t>y</w:t>
      </w:r>
      <w:r w:rsidRPr="00893EE3">
        <w:rPr>
          <w:szCs w:val="22"/>
        </w:rPr>
        <w:t xml:space="preserve"> whether it is a current or former</w:t>
      </w:r>
      <w:r w:rsidRPr="008746C2">
        <w:rPr>
          <w:szCs w:val="22"/>
        </w:rPr>
        <w:t xml:space="preserve"> defaulter or delinquent under the Commission’s rules</w:t>
      </w:r>
      <w:r w:rsidR="003102F7">
        <w:rPr>
          <w:szCs w:val="22"/>
        </w:rPr>
        <w:t xml:space="preserve"> </w:t>
      </w:r>
      <w:r w:rsidR="00EE67C5">
        <w:rPr>
          <w:szCs w:val="22"/>
        </w:rPr>
        <w:t xml:space="preserve">and </w:t>
      </w:r>
      <w:r w:rsidR="003102F7">
        <w:rPr>
          <w:szCs w:val="22"/>
        </w:rPr>
        <w:t xml:space="preserve">notified prospective bidders of the Commission’s revisions to the former defaulter rule </w:t>
      </w:r>
      <w:r w:rsidR="001C1AE5">
        <w:rPr>
          <w:szCs w:val="22"/>
        </w:rPr>
        <w:t>in the</w:t>
      </w:r>
      <w:r w:rsidR="003102F7" w:rsidRPr="008746C2">
        <w:rPr>
          <w:szCs w:val="22"/>
        </w:rPr>
        <w:t xml:space="preserve"> </w:t>
      </w:r>
      <w:r w:rsidR="003102F7" w:rsidRPr="008746C2">
        <w:rPr>
          <w:i/>
          <w:szCs w:val="22"/>
        </w:rPr>
        <w:t>Part 1 R</w:t>
      </w:r>
      <w:r w:rsidR="003102F7">
        <w:rPr>
          <w:i/>
          <w:szCs w:val="22"/>
        </w:rPr>
        <w:t xml:space="preserve">eport and </w:t>
      </w:r>
      <w:r w:rsidR="003102F7" w:rsidRPr="008746C2">
        <w:rPr>
          <w:i/>
          <w:szCs w:val="22"/>
        </w:rPr>
        <w:t>O</w:t>
      </w:r>
      <w:r w:rsidR="003102F7">
        <w:rPr>
          <w:i/>
          <w:szCs w:val="22"/>
        </w:rPr>
        <w:t>rder</w:t>
      </w:r>
      <w:r w:rsidRPr="008746C2">
        <w:rPr>
          <w:szCs w:val="22"/>
        </w:rPr>
        <w:t>.</w:t>
      </w:r>
      <w:r>
        <w:rPr>
          <w:rStyle w:val="FootnoteReference"/>
          <w:szCs w:val="22"/>
        </w:rPr>
        <w:footnoteReference w:id="17"/>
      </w:r>
      <w:r w:rsidRPr="008746C2">
        <w:rPr>
          <w:szCs w:val="22"/>
        </w:rPr>
        <w:t xml:space="preserve">  </w:t>
      </w:r>
      <w:r w:rsidR="00C940C3">
        <w:rPr>
          <w:szCs w:val="22"/>
        </w:rPr>
        <w:t>The Bureau’s Public Notice did not purport</w:t>
      </w:r>
      <w:r w:rsidR="00C940C3" w:rsidRPr="008746C2">
        <w:rPr>
          <w:szCs w:val="22"/>
        </w:rPr>
        <w:t xml:space="preserve"> </w:t>
      </w:r>
      <w:r w:rsidRPr="008746C2">
        <w:rPr>
          <w:szCs w:val="22"/>
        </w:rPr>
        <w:t xml:space="preserve">to modify the </w:t>
      </w:r>
      <w:r w:rsidR="00C940C3">
        <w:rPr>
          <w:szCs w:val="22"/>
        </w:rPr>
        <w:t xml:space="preserve">Commission’s </w:t>
      </w:r>
      <w:r w:rsidRPr="008746C2">
        <w:rPr>
          <w:szCs w:val="22"/>
        </w:rPr>
        <w:t xml:space="preserve">former defaulter rule or apply it to particular circumstances.  </w:t>
      </w:r>
    </w:p>
    <w:p w:rsidR="00833432" w:rsidRPr="006E37C0" w:rsidRDefault="00833432" w:rsidP="00833432">
      <w:pPr>
        <w:pStyle w:val="ParaNum"/>
        <w:widowControl/>
        <w:numPr>
          <w:ilvl w:val="0"/>
          <w:numId w:val="0"/>
        </w:numPr>
        <w:tabs>
          <w:tab w:val="clear" w:pos="1440"/>
        </w:tabs>
        <w:spacing w:after="120"/>
        <w:ind w:left="720"/>
        <w:jc w:val="left"/>
      </w:pPr>
    </w:p>
    <w:p w:rsidR="006E37C0" w:rsidRPr="00770D9B" w:rsidRDefault="006E37C0" w:rsidP="006E37C0">
      <w:pPr>
        <w:pStyle w:val="Heading1"/>
        <w:numPr>
          <w:ilvl w:val="0"/>
          <w:numId w:val="23"/>
        </w:numPr>
        <w:tabs>
          <w:tab w:val="left" w:pos="720"/>
        </w:tabs>
        <w:spacing w:after="120"/>
        <w:jc w:val="left"/>
      </w:pPr>
      <w:r w:rsidRPr="00770D9B">
        <w:t>d</w:t>
      </w:r>
      <w:r>
        <w:t>ISCUSSION</w:t>
      </w:r>
      <w:r w:rsidRPr="00770D9B">
        <w:t xml:space="preserve"> </w:t>
      </w:r>
    </w:p>
    <w:p w:rsidR="00D37680" w:rsidRPr="009C4DD7" w:rsidRDefault="007376EF" w:rsidP="00D37680">
      <w:pPr>
        <w:pStyle w:val="Heading2"/>
        <w:widowControl/>
        <w:spacing w:after="120"/>
        <w:jc w:val="left"/>
        <w:rPr>
          <w:b w:val="0"/>
        </w:rPr>
      </w:pPr>
      <w:r w:rsidRPr="000D02AA">
        <w:rPr>
          <w:szCs w:val="22"/>
        </w:rPr>
        <w:t xml:space="preserve">PBP Group, LLC </w:t>
      </w:r>
      <w:r w:rsidR="00D37680">
        <w:rPr>
          <w:szCs w:val="22"/>
        </w:rPr>
        <w:t xml:space="preserve">Petition for Reconsideration </w:t>
      </w:r>
    </w:p>
    <w:p w:rsidR="00837E24" w:rsidRPr="000D02AA" w:rsidRDefault="00837E24" w:rsidP="00513B3F">
      <w:pPr>
        <w:pStyle w:val="ParaNum"/>
        <w:numPr>
          <w:ilvl w:val="0"/>
          <w:numId w:val="22"/>
        </w:numPr>
        <w:tabs>
          <w:tab w:val="clear" w:pos="1080"/>
          <w:tab w:val="num" w:pos="720"/>
          <w:tab w:val="num" w:pos="1440"/>
        </w:tabs>
        <w:spacing w:after="120"/>
        <w:jc w:val="left"/>
        <w:rPr>
          <w:szCs w:val="22"/>
        </w:rPr>
      </w:pPr>
      <w:r>
        <w:rPr>
          <w:szCs w:val="22"/>
        </w:rPr>
        <w:t>In its Petition for Reconsideration,</w:t>
      </w:r>
      <w:r w:rsidRPr="00FA1BC3">
        <w:rPr>
          <w:rStyle w:val="FootnoteReference"/>
          <w:szCs w:val="22"/>
        </w:rPr>
        <w:footnoteReference w:id="18"/>
      </w:r>
      <w:r>
        <w:rPr>
          <w:szCs w:val="22"/>
        </w:rPr>
        <w:t xml:space="preserve"> </w:t>
      </w:r>
      <w:r w:rsidRPr="000D02AA">
        <w:rPr>
          <w:szCs w:val="22"/>
        </w:rPr>
        <w:t>P</w:t>
      </w:r>
      <w:r>
        <w:rPr>
          <w:szCs w:val="22"/>
        </w:rPr>
        <w:t>BP</w:t>
      </w:r>
      <w:r w:rsidRPr="000D02AA">
        <w:rPr>
          <w:szCs w:val="22"/>
        </w:rPr>
        <w:t xml:space="preserve"> maintain</w:t>
      </w:r>
      <w:r>
        <w:rPr>
          <w:szCs w:val="22"/>
        </w:rPr>
        <w:t>s</w:t>
      </w:r>
      <w:r w:rsidRPr="000D02AA">
        <w:rPr>
          <w:szCs w:val="22"/>
        </w:rPr>
        <w:t xml:space="preserve"> that the </w:t>
      </w:r>
      <w:r>
        <w:rPr>
          <w:szCs w:val="22"/>
        </w:rPr>
        <w:t xml:space="preserve">Bureau’s </w:t>
      </w:r>
      <w:r w:rsidRPr="000D02AA">
        <w:rPr>
          <w:i/>
          <w:szCs w:val="22"/>
        </w:rPr>
        <w:t xml:space="preserve">Application Procedures </w:t>
      </w:r>
      <w:r w:rsidR="0031458C" w:rsidRPr="0031458C">
        <w:rPr>
          <w:i/>
          <w:szCs w:val="22"/>
        </w:rPr>
        <w:t>Public Notice</w:t>
      </w:r>
      <w:r w:rsidRPr="000D02AA">
        <w:rPr>
          <w:szCs w:val="22"/>
        </w:rPr>
        <w:t xml:space="preserve"> limits eligibility for the rural service provider bidding credit to applicants that are “service provider[s]…in the business of providing commercial communications services,” </w:t>
      </w:r>
      <w:r>
        <w:rPr>
          <w:szCs w:val="22"/>
        </w:rPr>
        <w:t xml:space="preserve">thus making ineligible </w:t>
      </w:r>
      <w:r w:rsidRPr="000D02AA">
        <w:rPr>
          <w:szCs w:val="22"/>
        </w:rPr>
        <w:t xml:space="preserve">an entity that </w:t>
      </w:r>
      <w:r>
        <w:rPr>
          <w:szCs w:val="22"/>
        </w:rPr>
        <w:t xml:space="preserve">is </w:t>
      </w:r>
      <w:r w:rsidRPr="000D02AA">
        <w:rPr>
          <w:szCs w:val="22"/>
        </w:rPr>
        <w:t>wholly owned by rural service provider</w:t>
      </w:r>
      <w:r>
        <w:rPr>
          <w:szCs w:val="22"/>
        </w:rPr>
        <w:t>s, but not a service provider itself</w:t>
      </w:r>
      <w:r w:rsidRPr="000D02AA">
        <w:rPr>
          <w:szCs w:val="22"/>
        </w:rPr>
        <w:t>.</w:t>
      </w:r>
      <w:r w:rsidRPr="00FA1BC3">
        <w:rPr>
          <w:rStyle w:val="FootnoteReference"/>
          <w:szCs w:val="22"/>
        </w:rPr>
        <w:footnoteReference w:id="19"/>
      </w:r>
      <w:r w:rsidRPr="000D02AA">
        <w:rPr>
          <w:szCs w:val="22"/>
        </w:rPr>
        <w:t xml:space="preserve">  </w:t>
      </w:r>
      <w:r>
        <w:rPr>
          <w:szCs w:val="22"/>
        </w:rPr>
        <w:t>PBP</w:t>
      </w:r>
      <w:r w:rsidRPr="00FA1BC3">
        <w:rPr>
          <w:szCs w:val="22"/>
        </w:rPr>
        <w:t xml:space="preserve"> </w:t>
      </w:r>
      <w:r>
        <w:rPr>
          <w:szCs w:val="22"/>
        </w:rPr>
        <w:t xml:space="preserve">further </w:t>
      </w:r>
      <w:r w:rsidRPr="00FA1BC3">
        <w:rPr>
          <w:szCs w:val="22"/>
        </w:rPr>
        <w:t>contend</w:t>
      </w:r>
      <w:r>
        <w:rPr>
          <w:szCs w:val="22"/>
        </w:rPr>
        <w:t>s</w:t>
      </w:r>
      <w:r w:rsidRPr="000D02AA">
        <w:rPr>
          <w:szCs w:val="22"/>
        </w:rPr>
        <w:t xml:space="preserve"> that extending eligibility for </w:t>
      </w:r>
      <w:r>
        <w:rPr>
          <w:szCs w:val="22"/>
        </w:rPr>
        <w:t xml:space="preserve">a rural service provider </w:t>
      </w:r>
      <w:r w:rsidRPr="000D02AA">
        <w:rPr>
          <w:szCs w:val="22"/>
        </w:rPr>
        <w:t>bidding credit to such entities would be consistent with the Commission’s objectives in adopting the rule,</w:t>
      </w:r>
      <w:r>
        <w:t xml:space="preserve"> </w:t>
      </w:r>
      <w:r>
        <w:rPr>
          <w:szCs w:val="22"/>
        </w:rPr>
        <w:t>and recommend</w:t>
      </w:r>
      <w:r w:rsidRPr="000D02AA">
        <w:rPr>
          <w:szCs w:val="22"/>
        </w:rPr>
        <w:t xml:space="preserve"> that the Bureau issue a new public notice revising the language regarding eligibility for </w:t>
      </w:r>
      <w:r>
        <w:rPr>
          <w:szCs w:val="22"/>
        </w:rPr>
        <w:t>the</w:t>
      </w:r>
      <w:r w:rsidRPr="000D02AA">
        <w:rPr>
          <w:szCs w:val="22"/>
        </w:rPr>
        <w:t xml:space="preserve"> bidding credit</w:t>
      </w:r>
      <w:r>
        <w:rPr>
          <w:szCs w:val="22"/>
        </w:rPr>
        <w:t xml:space="preserve"> as specifically suggested by PBP</w:t>
      </w:r>
      <w:r w:rsidRPr="000D02AA">
        <w:rPr>
          <w:szCs w:val="22"/>
        </w:rPr>
        <w:t>.</w:t>
      </w:r>
      <w:r w:rsidRPr="00FA1BC3">
        <w:rPr>
          <w:rStyle w:val="FootnoteReference"/>
          <w:szCs w:val="22"/>
        </w:rPr>
        <w:footnoteReference w:id="20"/>
      </w:r>
      <w:r w:rsidRPr="000D02AA">
        <w:rPr>
          <w:szCs w:val="22"/>
        </w:rPr>
        <w:t xml:space="preserve">  </w:t>
      </w:r>
    </w:p>
    <w:p w:rsidR="00837E24" w:rsidRPr="00485E2A" w:rsidRDefault="00837E24" w:rsidP="00837E24">
      <w:pPr>
        <w:pStyle w:val="ParaNum"/>
        <w:widowControl/>
        <w:numPr>
          <w:ilvl w:val="0"/>
          <w:numId w:val="22"/>
        </w:numPr>
        <w:tabs>
          <w:tab w:val="clear" w:pos="1080"/>
          <w:tab w:val="num" w:pos="1440"/>
        </w:tabs>
        <w:spacing w:after="120"/>
        <w:jc w:val="left"/>
        <w:rPr>
          <w:szCs w:val="22"/>
        </w:rPr>
      </w:pPr>
      <w:r>
        <w:rPr>
          <w:szCs w:val="22"/>
        </w:rPr>
        <w:t>T</w:t>
      </w:r>
      <w:r w:rsidRPr="000D02AA">
        <w:rPr>
          <w:szCs w:val="22"/>
        </w:rPr>
        <w:t xml:space="preserve">he law firm of Blooston, Mordkofsky, Dickens, Duffy &amp; Prendergast, LLP filed comments </w:t>
      </w:r>
      <w:r>
        <w:rPr>
          <w:szCs w:val="22"/>
        </w:rPr>
        <w:t xml:space="preserve">on behalf of its clients </w:t>
      </w:r>
      <w:r w:rsidRPr="000D02AA">
        <w:rPr>
          <w:szCs w:val="22"/>
        </w:rPr>
        <w:t xml:space="preserve">(the </w:t>
      </w:r>
      <w:r>
        <w:rPr>
          <w:szCs w:val="22"/>
        </w:rPr>
        <w:t>“</w:t>
      </w:r>
      <w:r w:rsidRPr="000D02AA">
        <w:rPr>
          <w:szCs w:val="22"/>
        </w:rPr>
        <w:t>Blooston Rural Carriers</w:t>
      </w:r>
      <w:r>
        <w:rPr>
          <w:szCs w:val="22"/>
        </w:rPr>
        <w:t>”</w:t>
      </w:r>
      <w:r w:rsidRPr="000D02AA">
        <w:rPr>
          <w:szCs w:val="22"/>
        </w:rPr>
        <w:t>)</w:t>
      </w:r>
      <w:r>
        <w:rPr>
          <w:szCs w:val="22"/>
        </w:rPr>
        <w:t xml:space="preserve"> supporting </w:t>
      </w:r>
      <w:r w:rsidRPr="000D02AA">
        <w:rPr>
          <w:szCs w:val="22"/>
        </w:rPr>
        <w:t xml:space="preserve">the </w:t>
      </w:r>
      <w:r w:rsidR="0031458C" w:rsidRPr="0031458C">
        <w:rPr>
          <w:szCs w:val="22"/>
        </w:rPr>
        <w:t>PBP Petition</w:t>
      </w:r>
      <w:r>
        <w:rPr>
          <w:szCs w:val="22"/>
        </w:rPr>
        <w:t>.</w:t>
      </w:r>
      <w:r>
        <w:rPr>
          <w:rStyle w:val="FootnoteReference"/>
          <w:szCs w:val="22"/>
        </w:rPr>
        <w:footnoteReference w:id="21"/>
      </w:r>
      <w:r>
        <w:rPr>
          <w:szCs w:val="22"/>
        </w:rPr>
        <w:t xml:space="preserve">  The Blooston Rural Carriers urge the Commission to issue an explicit clarification that an applicant seeking a rural service provider bidding credit “does not itself need to be in the business of providing commercial communications services, so long as its owners are providers of commercial communication services, and so long as the applicant otherwise meets the eligibility criteria for the credit</w:t>
      </w:r>
      <w:r w:rsidRPr="000D02AA">
        <w:rPr>
          <w:szCs w:val="22"/>
        </w:rPr>
        <w:t>.</w:t>
      </w:r>
      <w:r>
        <w:rPr>
          <w:szCs w:val="22"/>
        </w:rPr>
        <w:t>”</w:t>
      </w:r>
      <w:r w:rsidRPr="00E92D15">
        <w:rPr>
          <w:rStyle w:val="FootnoteReference"/>
          <w:szCs w:val="22"/>
        </w:rPr>
        <w:footnoteReference w:id="22"/>
      </w:r>
      <w:r w:rsidRPr="000D02AA">
        <w:rPr>
          <w:szCs w:val="22"/>
        </w:rPr>
        <w:t xml:space="preserve">  NTCA </w:t>
      </w:r>
      <w:r>
        <w:rPr>
          <w:szCs w:val="22"/>
        </w:rPr>
        <w:t xml:space="preserve">also </w:t>
      </w:r>
      <w:r w:rsidRPr="000D02AA">
        <w:rPr>
          <w:szCs w:val="22"/>
        </w:rPr>
        <w:t xml:space="preserve">filed a reply in support of the </w:t>
      </w:r>
      <w:r w:rsidR="0031458C" w:rsidRPr="0031458C">
        <w:rPr>
          <w:szCs w:val="22"/>
        </w:rPr>
        <w:t>PBP Petition</w:t>
      </w:r>
      <w:r w:rsidRPr="000D02AA">
        <w:rPr>
          <w:szCs w:val="22"/>
        </w:rPr>
        <w:t>.</w:t>
      </w:r>
      <w:r w:rsidRPr="00E92D15">
        <w:rPr>
          <w:rStyle w:val="FootnoteReference"/>
          <w:szCs w:val="22"/>
        </w:rPr>
        <w:footnoteReference w:id="23"/>
      </w:r>
      <w:r w:rsidRPr="000D02AA">
        <w:rPr>
          <w:szCs w:val="22"/>
        </w:rPr>
        <w:t xml:space="preserve"> </w:t>
      </w:r>
    </w:p>
    <w:p w:rsidR="00513B3F" w:rsidRDefault="00513B3F" w:rsidP="009105EF">
      <w:pPr>
        <w:pStyle w:val="ParaNum"/>
        <w:numPr>
          <w:ilvl w:val="0"/>
          <w:numId w:val="22"/>
        </w:numPr>
        <w:tabs>
          <w:tab w:val="clear" w:pos="1080"/>
          <w:tab w:val="num" w:pos="1440"/>
        </w:tabs>
        <w:spacing w:after="120"/>
        <w:jc w:val="left"/>
        <w:rPr>
          <w:szCs w:val="22"/>
        </w:rPr>
      </w:pPr>
      <w:r>
        <w:rPr>
          <w:szCs w:val="22"/>
        </w:rPr>
        <w:t xml:space="preserve">We dismiss the </w:t>
      </w:r>
      <w:r w:rsidR="0031458C" w:rsidRPr="0031458C">
        <w:rPr>
          <w:szCs w:val="22"/>
        </w:rPr>
        <w:t>PBP Petition</w:t>
      </w:r>
      <w:r>
        <w:rPr>
          <w:szCs w:val="22"/>
        </w:rPr>
        <w:t xml:space="preserve"> as procedurally defective.  PBP asserts that the </w:t>
      </w:r>
      <w:r>
        <w:rPr>
          <w:i/>
          <w:szCs w:val="22"/>
        </w:rPr>
        <w:t>Application</w:t>
      </w:r>
      <w:r w:rsidRPr="000D02AA">
        <w:rPr>
          <w:i/>
          <w:szCs w:val="22"/>
        </w:rPr>
        <w:t xml:space="preserve"> Procedures </w:t>
      </w:r>
      <w:r w:rsidR="0031458C" w:rsidRPr="0031458C">
        <w:rPr>
          <w:i/>
          <w:szCs w:val="22"/>
        </w:rPr>
        <w:t>Public Notice</w:t>
      </w:r>
      <w:r>
        <w:rPr>
          <w:szCs w:val="22"/>
        </w:rPr>
        <w:t xml:space="preserve"> limits eligibility for the rural service provider bidding credit.</w:t>
      </w:r>
      <w:r>
        <w:rPr>
          <w:rStyle w:val="FootnoteReference"/>
          <w:szCs w:val="22"/>
        </w:rPr>
        <w:footnoteReference w:id="24"/>
      </w:r>
      <w:r>
        <w:rPr>
          <w:szCs w:val="22"/>
        </w:rPr>
        <w:t xml:space="preserve">  PBP bases this assertion on its claim that the </w:t>
      </w:r>
      <w:r>
        <w:rPr>
          <w:i/>
          <w:szCs w:val="22"/>
        </w:rPr>
        <w:t>Application</w:t>
      </w:r>
      <w:r w:rsidRPr="000D02AA">
        <w:rPr>
          <w:i/>
          <w:szCs w:val="22"/>
        </w:rPr>
        <w:t xml:space="preserve"> Procedures </w:t>
      </w:r>
      <w:r w:rsidR="0031458C" w:rsidRPr="0031458C">
        <w:rPr>
          <w:i/>
          <w:szCs w:val="22"/>
        </w:rPr>
        <w:t>Public Notice</w:t>
      </w:r>
      <w:r>
        <w:rPr>
          <w:szCs w:val="22"/>
        </w:rPr>
        <w:t>, contrary to the Commission’s expressed intent in adopting the rural service provider bidding credit, prevents applicants that are not service providers from qualifying for the credit even if they are wholly owned by eligible service providers.</w:t>
      </w:r>
      <w:r>
        <w:rPr>
          <w:rStyle w:val="FootnoteReference"/>
          <w:szCs w:val="22"/>
        </w:rPr>
        <w:footnoteReference w:id="25"/>
      </w:r>
      <w:r>
        <w:rPr>
          <w:szCs w:val="22"/>
        </w:rPr>
        <w:t xml:space="preserve">  Although</w:t>
      </w:r>
      <w:r w:rsidRPr="00B4548C">
        <w:rPr>
          <w:szCs w:val="22"/>
        </w:rPr>
        <w:t xml:space="preserve"> the </w:t>
      </w:r>
      <w:r w:rsidRPr="00B4548C">
        <w:rPr>
          <w:i/>
          <w:szCs w:val="22"/>
        </w:rPr>
        <w:t xml:space="preserve">Application Procedures </w:t>
      </w:r>
      <w:r w:rsidR="0031458C" w:rsidRPr="0031458C">
        <w:rPr>
          <w:i/>
          <w:szCs w:val="22"/>
        </w:rPr>
        <w:t>Public Notice</w:t>
      </w:r>
      <w:r>
        <w:rPr>
          <w:i/>
          <w:szCs w:val="22"/>
        </w:rPr>
        <w:t xml:space="preserve"> </w:t>
      </w:r>
      <w:r w:rsidRPr="002E4CEE">
        <w:rPr>
          <w:szCs w:val="22"/>
        </w:rPr>
        <w:t>discussed</w:t>
      </w:r>
      <w:r w:rsidRPr="00B4548C">
        <w:rPr>
          <w:szCs w:val="22"/>
        </w:rPr>
        <w:t xml:space="preserve"> the Commission’s revised Part 1 competitive bidding rules,</w:t>
      </w:r>
      <w:r w:rsidRPr="00FA1BC3">
        <w:rPr>
          <w:rStyle w:val="FootnoteReference"/>
          <w:szCs w:val="22"/>
        </w:rPr>
        <w:footnoteReference w:id="26"/>
      </w:r>
      <w:r>
        <w:rPr>
          <w:szCs w:val="22"/>
        </w:rPr>
        <w:t xml:space="preserve"> </w:t>
      </w:r>
      <w:r w:rsidRPr="00B4548C">
        <w:rPr>
          <w:szCs w:val="22"/>
        </w:rPr>
        <w:t xml:space="preserve">including the eligibility </w:t>
      </w:r>
      <w:r>
        <w:rPr>
          <w:szCs w:val="22"/>
        </w:rPr>
        <w:t xml:space="preserve">requirements for </w:t>
      </w:r>
      <w:r w:rsidRPr="00B4548C">
        <w:rPr>
          <w:szCs w:val="22"/>
        </w:rPr>
        <w:t xml:space="preserve">an applicant </w:t>
      </w:r>
      <w:r>
        <w:rPr>
          <w:szCs w:val="22"/>
        </w:rPr>
        <w:t xml:space="preserve">seeking </w:t>
      </w:r>
      <w:r w:rsidRPr="00B4548C">
        <w:rPr>
          <w:szCs w:val="22"/>
        </w:rPr>
        <w:t>a rural service provider bidding credit</w:t>
      </w:r>
      <w:r>
        <w:rPr>
          <w:szCs w:val="22"/>
        </w:rPr>
        <w:t>,</w:t>
      </w:r>
      <w:r w:rsidRPr="00FA1BC3">
        <w:rPr>
          <w:rStyle w:val="FootnoteReference"/>
          <w:szCs w:val="22"/>
        </w:rPr>
        <w:footnoteReference w:id="27"/>
      </w:r>
      <w:r w:rsidRPr="00B4548C">
        <w:rPr>
          <w:szCs w:val="22"/>
        </w:rPr>
        <w:t xml:space="preserve"> the </w:t>
      </w:r>
      <w:r w:rsidRPr="00B4548C">
        <w:rPr>
          <w:i/>
          <w:szCs w:val="22"/>
        </w:rPr>
        <w:t xml:space="preserve">Application Procedures </w:t>
      </w:r>
      <w:r w:rsidR="0031458C" w:rsidRPr="0031458C">
        <w:rPr>
          <w:i/>
          <w:szCs w:val="22"/>
        </w:rPr>
        <w:t>Public Notice</w:t>
      </w:r>
      <w:r>
        <w:rPr>
          <w:i/>
          <w:szCs w:val="22"/>
        </w:rPr>
        <w:t xml:space="preserve"> </w:t>
      </w:r>
      <w:r w:rsidRPr="00485E2A">
        <w:rPr>
          <w:color w:val="252525"/>
          <w:szCs w:val="22"/>
        </w:rPr>
        <w:t xml:space="preserve">did not </w:t>
      </w:r>
      <w:r>
        <w:rPr>
          <w:szCs w:val="22"/>
        </w:rPr>
        <w:t>expand</w:t>
      </w:r>
      <w:r w:rsidRPr="00485E2A">
        <w:rPr>
          <w:szCs w:val="22"/>
        </w:rPr>
        <w:t xml:space="preserve">, limit, or </w:t>
      </w:r>
      <w:r>
        <w:rPr>
          <w:szCs w:val="22"/>
        </w:rPr>
        <w:t xml:space="preserve">otherwise change </w:t>
      </w:r>
      <w:r w:rsidRPr="00485E2A">
        <w:rPr>
          <w:szCs w:val="22"/>
        </w:rPr>
        <w:t xml:space="preserve">any </w:t>
      </w:r>
      <w:r>
        <w:rPr>
          <w:szCs w:val="22"/>
        </w:rPr>
        <w:t xml:space="preserve">Part 1 rules or the </w:t>
      </w:r>
      <w:r w:rsidRPr="00485E2A">
        <w:rPr>
          <w:szCs w:val="22"/>
        </w:rPr>
        <w:t>rights of applicants under the Commission’s rules</w:t>
      </w:r>
      <w:r>
        <w:rPr>
          <w:szCs w:val="22"/>
        </w:rPr>
        <w:t xml:space="preserve">, as amended in the </w:t>
      </w:r>
      <w:r w:rsidRPr="00D80A7C">
        <w:rPr>
          <w:i/>
          <w:szCs w:val="22"/>
        </w:rPr>
        <w:t>Part 1 Report and Order</w:t>
      </w:r>
      <w:r w:rsidRPr="00485E2A">
        <w:rPr>
          <w:szCs w:val="22"/>
        </w:rPr>
        <w:t xml:space="preserve">. </w:t>
      </w:r>
    </w:p>
    <w:p w:rsidR="00D37680" w:rsidRDefault="009105EF" w:rsidP="00A81EFB">
      <w:pPr>
        <w:pStyle w:val="ParaNum"/>
        <w:widowControl/>
        <w:numPr>
          <w:ilvl w:val="0"/>
          <w:numId w:val="22"/>
        </w:numPr>
        <w:tabs>
          <w:tab w:val="clear" w:pos="1080"/>
          <w:tab w:val="num" w:pos="1440"/>
        </w:tabs>
        <w:spacing w:after="120"/>
        <w:jc w:val="left"/>
      </w:pPr>
      <w:r w:rsidRPr="00485E2A">
        <w:rPr>
          <w:szCs w:val="22"/>
        </w:rPr>
        <w:t xml:space="preserve">The </w:t>
      </w:r>
      <w:r w:rsidRPr="00485E2A">
        <w:rPr>
          <w:i/>
          <w:szCs w:val="22"/>
        </w:rPr>
        <w:t xml:space="preserve">Application Procedures </w:t>
      </w:r>
      <w:r w:rsidR="0031458C" w:rsidRPr="0031458C">
        <w:rPr>
          <w:i/>
          <w:szCs w:val="22"/>
        </w:rPr>
        <w:t>Public Notice</w:t>
      </w:r>
      <w:r w:rsidRPr="00485E2A">
        <w:rPr>
          <w:i/>
          <w:szCs w:val="22"/>
        </w:rPr>
        <w:t xml:space="preserve"> </w:t>
      </w:r>
      <w:r w:rsidRPr="00485E2A">
        <w:rPr>
          <w:szCs w:val="22"/>
        </w:rPr>
        <w:t>provide</w:t>
      </w:r>
      <w:r>
        <w:rPr>
          <w:szCs w:val="22"/>
        </w:rPr>
        <w:t>d</w:t>
      </w:r>
      <w:r w:rsidRPr="00485E2A">
        <w:rPr>
          <w:szCs w:val="22"/>
        </w:rPr>
        <w:t xml:space="preserve"> detailed information and instructions for potential</w:t>
      </w:r>
      <w:r w:rsidR="00041D82" w:rsidRPr="00041D82">
        <w:rPr>
          <w:szCs w:val="22"/>
        </w:rPr>
        <w:t xml:space="preserve"> </w:t>
      </w:r>
      <w:r w:rsidR="00041D82" w:rsidRPr="00485E2A">
        <w:rPr>
          <w:szCs w:val="22"/>
        </w:rPr>
        <w:t>auction applicants.</w:t>
      </w:r>
      <w:r w:rsidR="00041D82">
        <w:rPr>
          <w:rStyle w:val="FootnoteReference"/>
          <w:szCs w:val="22"/>
        </w:rPr>
        <w:footnoteReference w:id="28"/>
      </w:r>
      <w:r w:rsidR="00041D82" w:rsidRPr="004441B4">
        <w:rPr>
          <w:i/>
          <w:szCs w:val="22"/>
        </w:rPr>
        <w:t xml:space="preserve"> </w:t>
      </w:r>
      <w:r w:rsidR="00041D82" w:rsidRPr="004441B4">
        <w:rPr>
          <w:szCs w:val="22"/>
        </w:rPr>
        <w:t xml:space="preserve"> In the paragraphs cited by PBP, the Bureau </w:t>
      </w:r>
      <w:r w:rsidR="00AD399C">
        <w:rPr>
          <w:szCs w:val="22"/>
        </w:rPr>
        <w:t xml:space="preserve">stated </w:t>
      </w:r>
      <w:r w:rsidR="00041D82" w:rsidRPr="004441B4">
        <w:rPr>
          <w:szCs w:val="22"/>
        </w:rPr>
        <w:t>the Commission’s new rule regarding eligibility for the rural service provider bidding credit, and explained the disclosures required in the application.</w:t>
      </w:r>
      <w:r w:rsidR="00041D82" w:rsidRPr="00B71B84">
        <w:rPr>
          <w:rStyle w:val="FootnoteReference"/>
          <w:szCs w:val="22"/>
        </w:rPr>
        <w:footnoteReference w:id="29"/>
      </w:r>
      <w:r w:rsidR="00041D82" w:rsidRPr="00485E2A">
        <w:rPr>
          <w:szCs w:val="22"/>
        </w:rPr>
        <w:t xml:space="preserve">  The Bureau did not modify the Commission’s definition of an eligible rural service provider.  Nor did the Bureau apply the eligibility requirements to any factual circumstances, such as those proposed in the </w:t>
      </w:r>
      <w:r w:rsidR="0031458C" w:rsidRPr="0031458C">
        <w:rPr>
          <w:szCs w:val="22"/>
        </w:rPr>
        <w:t>PBP Petition</w:t>
      </w:r>
      <w:r w:rsidR="00041D82">
        <w:rPr>
          <w:szCs w:val="22"/>
        </w:rPr>
        <w:t xml:space="preserve">.  </w:t>
      </w:r>
      <w:r w:rsidR="00041D82" w:rsidRPr="00485E2A">
        <w:rPr>
          <w:szCs w:val="22"/>
        </w:rPr>
        <w:t xml:space="preserve">Indeed, since the </w:t>
      </w:r>
      <w:r w:rsidR="00041D82" w:rsidRPr="00485E2A">
        <w:rPr>
          <w:i/>
          <w:szCs w:val="22"/>
        </w:rPr>
        <w:t xml:space="preserve">Application Procedures </w:t>
      </w:r>
      <w:r w:rsidR="0031458C" w:rsidRPr="0031458C">
        <w:rPr>
          <w:i/>
          <w:szCs w:val="22"/>
        </w:rPr>
        <w:t>Public Notice</w:t>
      </w:r>
      <w:r w:rsidR="00041D82" w:rsidRPr="00485E2A">
        <w:rPr>
          <w:szCs w:val="22"/>
        </w:rPr>
        <w:t xml:space="preserve"> addressed auction issues typically handled by the Bureau on delegated authority</w:t>
      </w:r>
      <w:r w:rsidR="00041D82" w:rsidRPr="00485E2A">
        <w:rPr>
          <w:i/>
          <w:szCs w:val="22"/>
        </w:rPr>
        <w:t>,</w:t>
      </w:r>
      <w:r w:rsidR="00041D82" w:rsidRPr="00485E2A">
        <w:rPr>
          <w:szCs w:val="22"/>
        </w:rPr>
        <w:t xml:space="preserve"> any rule changes would have been beyond the scope of the </w:t>
      </w:r>
      <w:r w:rsidR="00041D82">
        <w:rPr>
          <w:szCs w:val="22"/>
        </w:rPr>
        <w:t>public notice</w:t>
      </w:r>
      <w:r w:rsidR="00041D82" w:rsidRPr="00485E2A">
        <w:rPr>
          <w:szCs w:val="22"/>
        </w:rPr>
        <w:t>.</w:t>
      </w:r>
      <w:r w:rsidR="00041D82">
        <w:rPr>
          <w:rStyle w:val="FootnoteReference"/>
          <w:szCs w:val="22"/>
        </w:rPr>
        <w:footnoteReference w:id="30"/>
      </w:r>
      <w:r w:rsidR="00041D82" w:rsidRPr="00485E2A">
        <w:rPr>
          <w:szCs w:val="22"/>
        </w:rPr>
        <w:t xml:space="preserve">  </w:t>
      </w:r>
      <w:r w:rsidR="00041D82" w:rsidRPr="004441B4">
        <w:rPr>
          <w:szCs w:val="22"/>
        </w:rPr>
        <w:t xml:space="preserve">Accordingly, the </w:t>
      </w:r>
      <w:r w:rsidR="0031458C" w:rsidRPr="0031458C">
        <w:rPr>
          <w:szCs w:val="22"/>
        </w:rPr>
        <w:t>PBP Petition</w:t>
      </w:r>
      <w:r w:rsidR="00041D82" w:rsidRPr="004441B4">
        <w:rPr>
          <w:szCs w:val="22"/>
        </w:rPr>
        <w:t xml:space="preserve"> amounts to a late-filed petition for reconsideration of the </w:t>
      </w:r>
      <w:r w:rsidR="00041D82" w:rsidRPr="004441B4">
        <w:rPr>
          <w:i/>
          <w:szCs w:val="22"/>
        </w:rPr>
        <w:t xml:space="preserve">Part 1 Report and Order, </w:t>
      </w:r>
      <w:r w:rsidR="00041D82" w:rsidRPr="004441B4">
        <w:rPr>
          <w:szCs w:val="22"/>
        </w:rPr>
        <w:t xml:space="preserve">which adopted the </w:t>
      </w:r>
      <w:r w:rsidR="00041D82">
        <w:rPr>
          <w:szCs w:val="22"/>
        </w:rPr>
        <w:t xml:space="preserve">rules on </w:t>
      </w:r>
      <w:r w:rsidR="00041D82" w:rsidRPr="004441B4">
        <w:rPr>
          <w:szCs w:val="22"/>
        </w:rPr>
        <w:t xml:space="preserve">eligibility for </w:t>
      </w:r>
      <w:r w:rsidR="00041D82">
        <w:rPr>
          <w:szCs w:val="22"/>
        </w:rPr>
        <w:t xml:space="preserve">a </w:t>
      </w:r>
      <w:r w:rsidR="00041D82" w:rsidRPr="004441B4">
        <w:rPr>
          <w:szCs w:val="22"/>
        </w:rPr>
        <w:t>rural service provider bidding credit</w:t>
      </w:r>
      <w:r w:rsidR="00041D82" w:rsidRPr="003C680F">
        <w:rPr>
          <w:szCs w:val="22"/>
        </w:rPr>
        <w:t>.</w:t>
      </w:r>
      <w:r w:rsidR="00041D82">
        <w:rPr>
          <w:rStyle w:val="FootnoteReference"/>
          <w:szCs w:val="22"/>
        </w:rPr>
        <w:footnoteReference w:id="31"/>
      </w:r>
      <w:r w:rsidR="00041D82" w:rsidRPr="004441B4">
        <w:rPr>
          <w:szCs w:val="22"/>
        </w:rPr>
        <w:t xml:space="preserve">  </w:t>
      </w:r>
    </w:p>
    <w:p w:rsidR="00041D82" w:rsidRPr="002D2DCC" w:rsidRDefault="00041D82" w:rsidP="00041D82">
      <w:pPr>
        <w:pStyle w:val="ParaNum"/>
        <w:widowControl/>
        <w:numPr>
          <w:ilvl w:val="0"/>
          <w:numId w:val="22"/>
        </w:numPr>
        <w:tabs>
          <w:tab w:val="clear" w:pos="1080"/>
          <w:tab w:val="num" w:pos="1440"/>
        </w:tabs>
        <w:spacing w:after="120"/>
        <w:jc w:val="left"/>
      </w:pPr>
      <w:r>
        <w:rPr>
          <w:szCs w:val="22"/>
        </w:rPr>
        <w:t xml:space="preserve">Petitions for reconsideration of the </w:t>
      </w:r>
      <w:r>
        <w:rPr>
          <w:i/>
          <w:szCs w:val="22"/>
        </w:rPr>
        <w:t>Part 1 Report and Order</w:t>
      </w:r>
      <w:r>
        <w:rPr>
          <w:szCs w:val="22"/>
        </w:rPr>
        <w:t xml:space="preserve"> were due by October 19, 2015.</w:t>
      </w:r>
      <w:r>
        <w:rPr>
          <w:rStyle w:val="FootnoteReference"/>
          <w:szCs w:val="22"/>
        </w:rPr>
        <w:footnoteReference w:id="32"/>
      </w:r>
      <w:r>
        <w:rPr>
          <w:szCs w:val="22"/>
        </w:rPr>
        <w:t xml:space="preserve">  Consistent with long-standing </w:t>
      </w:r>
      <w:r w:rsidRPr="00662CD5">
        <w:rPr>
          <w:color w:val="252525"/>
          <w:szCs w:val="22"/>
        </w:rPr>
        <w:t xml:space="preserve">Commission </w:t>
      </w:r>
      <w:r>
        <w:rPr>
          <w:color w:val="252525"/>
          <w:szCs w:val="22"/>
        </w:rPr>
        <w:t>precedent, we find that the PBP Petition, filed on November 30, 2015, is an indirect challenge</w:t>
      </w:r>
      <w:r w:rsidRPr="00662CD5">
        <w:rPr>
          <w:color w:val="252525"/>
          <w:szCs w:val="22"/>
        </w:rPr>
        <w:t xml:space="preserve"> to </w:t>
      </w:r>
      <w:r>
        <w:rPr>
          <w:color w:val="252525"/>
          <w:szCs w:val="22"/>
        </w:rPr>
        <w:t>a decision</w:t>
      </w:r>
      <w:r w:rsidRPr="00662CD5">
        <w:rPr>
          <w:color w:val="252525"/>
          <w:szCs w:val="22"/>
        </w:rPr>
        <w:t xml:space="preserve"> that </w:t>
      </w:r>
      <w:r w:rsidR="00532106">
        <w:rPr>
          <w:rFonts w:eastAsia="Calibri"/>
          <w:vanish/>
          <w:color w:val="2525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r>
        <w:rPr>
          <w:color w:val="252525"/>
          <w:szCs w:val="22"/>
        </w:rPr>
        <w:t>was</w:t>
      </w:r>
      <w:r w:rsidRPr="00662CD5">
        <w:rPr>
          <w:color w:val="252525"/>
          <w:szCs w:val="22"/>
        </w:rPr>
        <w:t xml:space="preserve"> adopted in proceedings in which the right to review has expired</w:t>
      </w:r>
      <w:r>
        <w:rPr>
          <w:color w:val="252525"/>
          <w:szCs w:val="22"/>
        </w:rPr>
        <w:t>,</w:t>
      </w:r>
      <w:r w:rsidRPr="00662CD5">
        <w:rPr>
          <w:color w:val="252525"/>
          <w:szCs w:val="22"/>
        </w:rPr>
        <w:t xml:space="preserve"> </w:t>
      </w:r>
      <w:r>
        <w:rPr>
          <w:color w:val="252525"/>
          <w:szCs w:val="22"/>
        </w:rPr>
        <w:t>and is</w:t>
      </w:r>
      <w:r w:rsidRPr="00662CD5">
        <w:rPr>
          <w:color w:val="252525"/>
          <w:szCs w:val="22"/>
        </w:rPr>
        <w:t xml:space="preserve"> </w:t>
      </w:r>
      <w:r>
        <w:rPr>
          <w:color w:val="252525"/>
          <w:szCs w:val="22"/>
        </w:rPr>
        <w:t xml:space="preserve">therefore an </w:t>
      </w:r>
      <w:r w:rsidRPr="00662CD5">
        <w:rPr>
          <w:color w:val="252525"/>
          <w:szCs w:val="22"/>
        </w:rPr>
        <w:t xml:space="preserve">impermissible </w:t>
      </w:r>
      <w:r w:rsidRPr="00306586">
        <w:rPr>
          <w:bCs/>
          <w:color w:val="252525"/>
          <w:szCs w:val="22"/>
        </w:rPr>
        <w:t>collateral</w:t>
      </w:r>
      <w:r w:rsidRPr="00306586">
        <w:rPr>
          <w:color w:val="252525"/>
          <w:szCs w:val="22"/>
        </w:rPr>
        <w:t xml:space="preserve"> </w:t>
      </w:r>
      <w:r>
        <w:rPr>
          <w:bCs/>
          <w:color w:val="252525"/>
          <w:szCs w:val="22"/>
        </w:rPr>
        <w:t>attack</w:t>
      </w:r>
      <w:r w:rsidRPr="00662CD5">
        <w:rPr>
          <w:color w:val="252525"/>
          <w:szCs w:val="22"/>
        </w:rPr>
        <w:t xml:space="preserve"> and </w:t>
      </w:r>
      <w:r>
        <w:rPr>
          <w:color w:val="252525"/>
          <w:szCs w:val="22"/>
        </w:rPr>
        <w:t>is</w:t>
      </w:r>
      <w:r w:rsidRPr="00662CD5">
        <w:rPr>
          <w:color w:val="252525"/>
          <w:szCs w:val="22"/>
        </w:rPr>
        <w:t xml:space="preserve"> properly </w:t>
      </w:r>
      <w:r>
        <w:rPr>
          <w:color w:val="252525"/>
          <w:szCs w:val="22"/>
        </w:rPr>
        <w:t>rejected</w:t>
      </w:r>
      <w:r>
        <w:rPr>
          <w:szCs w:val="22"/>
        </w:rPr>
        <w:t>.</w:t>
      </w:r>
      <w:r>
        <w:rPr>
          <w:rStyle w:val="FootnoteReference"/>
          <w:szCs w:val="22"/>
        </w:rPr>
        <w:footnoteReference w:id="33"/>
      </w:r>
      <w:r>
        <w:rPr>
          <w:szCs w:val="22"/>
        </w:rPr>
        <w:t xml:space="preserve"> Accordingly, we dismiss the </w:t>
      </w:r>
      <w:r w:rsidR="0031458C" w:rsidRPr="0031458C">
        <w:rPr>
          <w:szCs w:val="22"/>
        </w:rPr>
        <w:t>PBP Petition</w:t>
      </w:r>
      <w:r>
        <w:rPr>
          <w:szCs w:val="22"/>
        </w:rPr>
        <w:t xml:space="preserve">.   </w:t>
      </w:r>
    </w:p>
    <w:p w:rsidR="003229C9" w:rsidRDefault="0094327B" w:rsidP="0094327B">
      <w:pPr>
        <w:pStyle w:val="ParaNum"/>
        <w:widowControl/>
        <w:numPr>
          <w:ilvl w:val="0"/>
          <w:numId w:val="22"/>
        </w:numPr>
        <w:tabs>
          <w:tab w:val="clear" w:pos="1080"/>
          <w:tab w:val="num" w:pos="1440"/>
        </w:tabs>
        <w:spacing w:after="120"/>
        <w:jc w:val="left"/>
      </w:pPr>
      <w:r>
        <w:t>Further,</w:t>
      </w:r>
      <w:r w:rsidRPr="0094327B">
        <w:rPr>
          <w:szCs w:val="22"/>
        </w:rPr>
        <w:t xml:space="preserve"> </w:t>
      </w:r>
      <w:r>
        <w:rPr>
          <w:szCs w:val="22"/>
        </w:rPr>
        <w:t xml:space="preserve">to the extent that PBP suggests that we should rule </w:t>
      </w:r>
      <w:r w:rsidR="00A71575">
        <w:rPr>
          <w:szCs w:val="22"/>
        </w:rPr>
        <w:t xml:space="preserve">at this stage </w:t>
      </w:r>
      <w:r>
        <w:rPr>
          <w:szCs w:val="22"/>
        </w:rPr>
        <w:t xml:space="preserve">on the eligibility of any hypothetical applications for the rural service provider bidding credit, we decline to do so.  </w:t>
      </w:r>
      <w:r w:rsidR="001B38E0">
        <w:rPr>
          <w:szCs w:val="22"/>
        </w:rPr>
        <w:t>Consistent with established precedent,</w:t>
      </w:r>
      <w:r w:rsidR="001B38E0" w:rsidRPr="00D92E77">
        <w:rPr>
          <w:szCs w:val="22"/>
        </w:rPr>
        <w:t xml:space="preserve"> </w:t>
      </w:r>
      <w:r w:rsidR="001B38E0">
        <w:rPr>
          <w:szCs w:val="22"/>
        </w:rPr>
        <w:t xml:space="preserve">final </w:t>
      </w:r>
      <w:r w:rsidR="001B38E0" w:rsidRPr="00D92E77">
        <w:rPr>
          <w:szCs w:val="22"/>
        </w:rPr>
        <w:t>determination</w:t>
      </w:r>
      <w:r w:rsidR="001B38E0">
        <w:rPr>
          <w:szCs w:val="22"/>
        </w:rPr>
        <w:t>s</w:t>
      </w:r>
      <w:r w:rsidR="001B38E0" w:rsidRPr="00D92E77">
        <w:rPr>
          <w:szCs w:val="22"/>
        </w:rPr>
        <w:t xml:space="preserve"> of eligibility for a designated entity bidding credit </w:t>
      </w:r>
      <w:r w:rsidR="001B38E0">
        <w:rPr>
          <w:szCs w:val="22"/>
        </w:rPr>
        <w:t xml:space="preserve">are </w:t>
      </w:r>
      <w:r w:rsidR="001B38E0" w:rsidRPr="00D92E77">
        <w:rPr>
          <w:szCs w:val="22"/>
        </w:rPr>
        <w:t>made during t</w:t>
      </w:r>
      <w:r w:rsidR="001B38E0">
        <w:rPr>
          <w:szCs w:val="22"/>
        </w:rPr>
        <w:t xml:space="preserve">he post-auction application review process when winning bidders must demonstrate their qualifications on FCC Form 601, </w:t>
      </w:r>
      <w:r w:rsidR="00680979">
        <w:rPr>
          <w:szCs w:val="22"/>
        </w:rPr>
        <w:t xml:space="preserve">based on </w:t>
      </w:r>
      <w:r w:rsidR="0057470B">
        <w:rPr>
          <w:szCs w:val="22"/>
        </w:rPr>
        <w:t>S</w:t>
      </w:r>
      <w:r w:rsidR="00680979">
        <w:rPr>
          <w:szCs w:val="22"/>
        </w:rPr>
        <w:t xml:space="preserve">ection 1.2110 of the Commission’s rules </w:t>
      </w:r>
      <w:r w:rsidR="00285ABB">
        <w:rPr>
          <w:szCs w:val="22"/>
        </w:rPr>
        <w:t xml:space="preserve">and </w:t>
      </w:r>
      <w:r w:rsidR="001B38E0">
        <w:rPr>
          <w:szCs w:val="22"/>
        </w:rPr>
        <w:t xml:space="preserve">in light of all of the facts and circumstances of their </w:t>
      </w:r>
      <w:r w:rsidR="00032F17">
        <w:rPr>
          <w:szCs w:val="22"/>
        </w:rPr>
        <w:t xml:space="preserve">business </w:t>
      </w:r>
      <w:r w:rsidR="001B38E0">
        <w:rPr>
          <w:szCs w:val="22"/>
        </w:rPr>
        <w:t>structure and related agreements.</w:t>
      </w:r>
      <w:r w:rsidR="001B38E0">
        <w:rPr>
          <w:rStyle w:val="FootnoteReference"/>
          <w:szCs w:val="22"/>
        </w:rPr>
        <w:footnoteReference w:id="34"/>
      </w:r>
      <w:r w:rsidR="001B38E0">
        <w:rPr>
          <w:szCs w:val="22"/>
        </w:rPr>
        <w:t xml:space="preserve">  </w:t>
      </w:r>
      <w:r w:rsidR="00032F17">
        <w:rPr>
          <w:szCs w:val="22"/>
        </w:rPr>
        <w:t>PBP is concerned that</w:t>
      </w:r>
      <w:r w:rsidR="00C22987">
        <w:rPr>
          <w:szCs w:val="22"/>
        </w:rPr>
        <w:t>,</w:t>
      </w:r>
      <w:r w:rsidR="00032F17">
        <w:rPr>
          <w:szCs w:val="22"/>
        </w:rPr>
        <w:t xml:space="preserve"> as a threshold matter to claim eligibility for a rural service provider bidding credit, an applicant seeking the credit must itself directly provide service and have its own subscribers</w:t>
      </w:r>
      <w:r w:rsidR="009A169F">
        <w:rPr>
          <w:szCs w:val="22"/>
        </w:rPr>
        <w:t>.</w:t>
      </w:r>
      <w:r w:rsidR="00032F17">
        <w:rPr>
          <w:rStyle w:val="FootnoteReference"/>
          <w:szCs w:val="22"/>
        </w:rPr>
        <w:footnoteReference w:id="35"/>
      </w:r>
      <w:r w:rsidR="00032F17">
        <w:rPr>
          <w:szCs w:val="22"/>
        </w:rPr>
        <w:t xml:space="preserve"> </w:t>
      </w:r>
      <w:r w:rsidR="009A169F">
        <w:rPr>
          <w:szCs w:val="22"/>
        </w:rPr>
        <w:t xml:space="preserve"> </w:t>
      </w:r>
      <w:r w:rsidR="001B38E0">
        <w:rPr>
          <w:szCs w:val="22"/>
        </w:rPr>
        <w:t>We note that whether or not they are affiliated, rural service providers seeking a rural service provider bidding credit may also bid as a single applicant by forming a consortium or joint venture, so long as the consortium or joint venture meets the Part 1 eligibility requirements.</w:t>
      </w:r>
      <w:r w:rsidR="001B38E0">
        <w:rPr>
          <w:rStyle w:val="FootnoteReference"/>
          <w:szCs w:val="22"/>
        </w:rPr>
        <w:footnoteReference w:id="36"/>
      </w:r>
      <w:r w:rsidR="001B38E0">
        <w:rPr>
          <w:szCs w:val="22"/>
        </w:rPr>
        <w:t xml:space="preserve">  </w:t>
      </w:r>
      <w:r w:rsidR="00680979">
        <w:rPr>
          <w:szCs w:val="22"/>
        </w:rPr>
        <w:t xml:space="preserve">PBP </w:t>
      </w:r>
      <w:r w:rsidR="001B38E0">
        <w:rPr>
          <w:szCs w:val="22"/>
        </w:rPr>
        <w:t>would also be free to rely on “many [other] options to structure [its] business[] in a manner that complies with our eligibility rules.”</w:t>
      </w:r>
      <w:r w:rsidR="001B38E0">
        <w:rPr>
          <w:rStyle w:val="FootnoteReference"/>
          <w:szCs w:val="22"/>
        </w:rPr>
        <w:footnoteReference w:id="37"/>
      </w:r>
      <w:r w:rsidR="001B38E0">
        <w:rPr>
          <w:szCs w:val="22"/>
        </w:rPr>
        <w:t xml:space="preserve">  </w:t>
      </w:r>
      <w:r w:rsidR="009A169F">
        <w:rPr>
          <w:szCs w:val="22"/>
        </w:rPr>
        <w:t>W</w:t>
      </w:r>
      <w:r w:rsidR="00945F7F">
        <w:rPr>
          <w:szCs w:val="22"/>
        </w:rPr>
        <w:t>hether a specific entity wholly owned by qualified rural service providers may demonstrate that it is “in the business of providing commercial communications services” will d</w:t>
      </w:r>
      <w:r w:rsidR="001B38E0">
        <w:rPr>
          <w:szCs w:val="22"/>
        </w:rPr>
        <w:t>epend upon the facts and circumstances, and the application of the updated rules on bidding credit eligibility, including their application to spectrum use agreements</w:t>
      </w:r>
      <w:r>
        <w:rPr>
          <w:szCs w:val="22"/>
        </w:rPr>
        <w:t>.</w:t>
      </w:r>
      <w:r>
        <w:rPr>
          <w:rStyle w:val="FootnoteReference"/>
          <w:szCs w:val="22"/>
        </w:rPr>
        <w:footnoteReference w:id="38"/>
      </w:r>
      <w:r>
        <w:rPr>
          <w:szCs w:val="22"/>
        </w:rPr>
        <w:t xml:space="preserve">  </w:t>
      </w:r>
      <w:r w:rsidR="00EC58CA">
        <w:rPr>
          <w:color w:val="000000"/>
        </w:rPr>
        <w:t>In determining eligibility for the rural service provider bidding credit, the Commission stated that it would follow an approach similar to the approach used to attribute revenues in the small business bidding credit context.</w:t>
      </w:r>
      <w:r w:rsidR="00EC58CA">
        <w:rPr>
          <w:rStyle w:val="FootnoteReference"/>
          <w:color w:val="000000"/>
        </w:rPr>
        <w:footnoteReference w:id="39"/>
      </w:r>
      <w:r w:rsidR="00EC58CA" w:rsidRPr="00EC58CA">
        <w:rPr>
          <w:color w:val="000000"/>
        </w:rPr>
        <w:t xml:space="preserve"> </w:t>
      </w:r>
      <w:r w:rsidR="00EC58CA">
        <w:rPr>
          <w:color w:val="000000"/>
        </w:rPr>
        <w:t xml:space="preserve"> The rural service provider rules provide for aggregating the subscribers of the applicant, its affiliates, its controlling interests, and the affiliates of its controlling interests for determining eligibility.</w:t>
      </w:r>
      <w:r w:rsidR="00EC58CA">
        <w:rPr>
          <w:rStyle w:val="FootnoteReference"/>
          <w:color w:val="000000"/>
        </w:rPr>
        <w:footnoteReference w:id="40"/>
      </w:r>
      <w:r w:rsidR="00EC58CA">
        <w:rPr>
          <w:color w:val="000000"/>
        </w:rPr>
        <w:t xml:space="preserve">  Typically, those with interests in an applicant that are affiliates of each other are treated as one and aggregated with each other to determine eligibility.</w:t>
      </w:r>
      <w:r w:rsidR="00EC58CA">
        <w:rPr>
          <w:rStyle w:val="FootnoteReference"/>
          <w:color w:val="000000"/>
        </w:rPr>
        <w:footnoteReference w:id="41"/>
      </w:r>
      <w:r w:rsidR="00EC58CA">
        <w:rPr>
          <w:color w:val="000000"/>
        </w:rPr>
        <w:t xml:space="preserve">  </w:t>
      </w:r>
    </w:p>
    <w:p w:rsidR="003229C9" w:rsidRPr="009C4DD7" w:rsidRDefault="007376EF" w:rsidP="003229C9">
      <w:pPr>
        <w:pStyle w:val="Heading2"/>
        <w:widowControl/>
        <w:spacing w:after="120"/>
        <w:jc w:val="left"/>
        <w:rPr>
          <w:b w:val="0"/>
        </w:rPr>
      </w:pPr>
      <w:r>
        <w:rPr>
          <w:szCs w:val="22"/>
        </w:rPr>
        <w:t xml:space="preserve">T-Mobile </w:t>
      </w:r>
      <w:r w:rsidR="003229C9">
        <w:rPr>
          <w:szCs w:val="22"/>
        </w:rPr>
        <w:t xml:space="preserve">Petition for Reconsideration </w:t>
      </w:r>
      <w:r>
        <w:rPr>
          <w:szCs w:val="22"/>
        </w:rPr>
        <w:t>or Request for Declaratory Ruling</w:t>
      </w:r>
    </w:p>
    <w:p w:rsidR="00593CC5" w:rsidRPr="00427B65" w:rsidRDefault="00782CF2" w:rsidP="002F3B7E">
      <w:pPr>
        <w:pStyle w:val="ParaNum"/>
        <w:widowControl/>
        <w:numPr>
          <w:ilvl w:val="0"/>
          <w:numId w:val="22"/>
        </w:numPr>
        <w:tabs>
          <w:tab w:val="clear" w:pos="1080"/>
          <w:tab w:val="num" w:pos="1440"/>
        </w:tabs>
        <w:spacing w:after="120"/>
        <w:jc w:val="left"/>
      </w:pPr>
      <w:r>
        <w:t>T-Mobile</w:t>
      </w:r>
      <w:r w:rsidR="00213F29">
        <w:t>’s</w:t>
      </w:r>
      <w:r>
        <w:t xml:space="preserve"> petition </w:t>
      </w:r>
      <w:r w:rsidR="00213F29">
        <w:t>seeks</w:t>
      </w:r>
      <w:r>
        <w:t xml:space="preserve"> reconsideration</w:t>
      </w:r>
      <w:r w:rsidR="00085D4C">
        <w:t xml:space="preserve"> of the </w:t>
      </w:r>
      <w:r w:rsidR="00085D4C" w:rsidRPr="008746C2">
        <w:rPr>
          <w:i/>
          <w:szCs w:val="22"/>
        </w:rPr>
        <w:t>Application Procedures</w:t>
      </w:r>
      <w:r w:rsidR="00085D4C" w:rsidRPr="008746C2">
        <w:rPr>
          <w:szCs w:val="22"/>
        </w:rPr>
        <w:t xml:space="preserve"> </w:t>
      </w:r>
      <w:r w:rsidR="0031458C" w:rsidRPr="0031458C">
        <w:rPr>
          <w:i/>
          <w:szCs w:val="22"/>
        </w:rPr>
        <w:t>Public Notice</w:t>
      </w:r>
      <w:r>
        <w:t xml:space="preserve">, </w:t>
      </w:r>
      <w:r w:rsidR="00213F29">
        <w:t xml:space="preserve">and </w:t>
      </w:r>
      <w:r>
        <w:t xml:space="preserve">in the alternative, </w:t>
      </w:r>
      <w:r w:rsidR="00213F29">
        <w:t xml:space="preserve">requests </w:t>
      </w:r>
      <w:r>
        <w:t>a declaratory ruling</w:t>
      </w:r>
      <w:r w:rsidRPr="00081CB2">
        <w:rPr>
          <w:szCs w:val="22"/>
        </w:rPr>
        <w:t>.</w:t>
      </w:r>
      <w:r w:rsidRPr="00081CB2">
        <w:rPr>
          <w:rStyle w:val="FootnoteReference"/>
          <w:szCs w:val="22"/>
        </w:rPr>
        <w:footnoteReference w:id="42"/>
      </w:r>
      <w:r w:rsidRPr="00081CB2">
        <w:rPr>
          <w:szCs w:val="22"/>
        </w:rPr>
        <w:t xml:space="preserve">  I</w:t>
      </w:r>
      <w:r w:rsidRPr="00D700C3">
        <w:rPr>
          <w:szCs w:val="22"/>
        </w:rPr>
        <w:t xml:space="preserve">n its </w:t>
      </w:r>
      <w:r>
        <w:rPr>
          <w:szCs w:val="22"/>
        </w:rPr>
        <w:t>p</w:t>
      </w:r>
      <w:r w:rsidRPr="00D700C3">
        <w:rPr>
          <w:szCs w:val="22"/>
        </w:rPr>
        <w:t xml:space="preserve">etition, T-Mobile asks the Commission to </w:t>
      </w:r>
      <w:r>
        <w:t>declare DISH Network Corporation (DISH) and the two entities that the Commission previously found it controlled</w:t>
      </w:r>
      <w:r w:rsidR="00B21439">
        <w:t>,</w:t>
      </w:r>
      <w:r>
        <w:t xml:space="preserve"> Northstar Wireless, LLC</w:t>
      </w:r>
      <w:r w:rsidR="00B21439">
        <w:t xml:space="preserve"> (Northstar)</w:t>
      </w:r>
      <w:r>
        <w:t xml:space="preserve"> and SNR Wireless LicenseCo, LLC </w:t>
      </w:r>
      <w:r w:rsidR="003C71FB">
        <w:t>(SNR),</w:t>
      </w:r>
      <w:r>
        <w:t xml:space="preserve"> to be “former defaulters” under the Commission’s rule and therefore require them to pay 50 percent larger upfront payments to participate in the broadcast incentive auction.</w:t>
      </w:r>
      <w:r>
        <w:rPr>
          <w:rStyle w:val="FootnoteReference"/>
        </w:rPr>
        <w:footnoteReference w:id="43"/>
      </w:r>
      <w:r>
        <w:t xml:space="preserve">  T-Mobile argues that DISH</w:t>
      </w:r>
      <w:r w:rsidR="00B21439">
        <w:t>,</w:t>
      </w:r>
      <w:r>
        <w:t xml:space="preserve"> </w:t>
      </w:r>
      <w:r w:rsidR="0067725E">
        <w:t>SNR</w:t>
      </w:r>
      <w:r w:rsidR="003C71FB">
        <w:t xml:space="preserve">, </w:t>
      </w:r>
      <w:r>
        <w:t xml:space="preserve">and </w:t>
      </w:r>
      <w:r w:rsidR="003C71FB">
        <w:t>N</w:t>
      </w:r>
      <w:r w:rsidR="0067725E">
        <w:t>orthstar</w:t>
      </w:r>
      <w:r>
        <w:t xml:space="preserve"> </w:t>
      </w:r>
      <w:r w:rsidR="00BA31F1">
        <w:t>(</w:t>
      </w:r>
      <w:r w:rsidR="00BA31F1" w:rsidRPr="003B736C">
        <w:t>collectively, the</w:t>
      </w:r>
      <w:r w:rsidR="00BA31F1">
        <w:t xml:space="preserve"> DISH entities) </w:t>
      </w:r>
      <w:r>
        <w:t>engaged in practices in the AWS-3 auction that are contrary to the Commission’s rules and policies.</w:t>
      </w:r>
      <w:r>
        <w:rPr>
          <w:rStyle w:val="FootnoteReference"/>
        </w:rPr>
        <w:footnoteReference w:id="44"/>
      </w:r>
      <w:r>
        <w:t xml:space="preserve">  In particular, T-Mobile focuses on </w:t>
      </w:r>
      <w:r w:rsidR="0067725E">
        <w:t>SNR’s and Northstar’s</w:t>
      </w:r>
      <w:r>
        <w:t xml:space="preserve"> decisions to selectively default on certain AWS-3 licenses after the Commission denied them small business bidding credits.</w:t>
      </w:r>
      <w:r>
        <w:rPr>
          <w:rStyle w:val="FootnoteReference"/>
        </w:rPr>
        <w:footnoteReference w:id="45"/>
      </w:r>
      <w:r>
        <w:t xml:space="preserve">  T-Mobile claims that this conduct deprived competitors of the spectrum they need to compete and allowed DISH to reap substantial economic benefits.</w:t>
      </w:r>
      <w:r>
        <w:rPr>
          <w:rStyle w:val="FootnoteReference"/>
        </w:rPr>
        <w:footnoteReference w:id="46"/>
      </w:r>
      <w:r>
        <w:t xml:space="preserve">  T-Mobile asserts that its requested relief would punish DISH for this conduct and protect the integrity of the auction process</w:t>
      </w:r>
      <w:r w:rsidRPr="00D700C3">
        <w:rPr>
          <w:szCs w:val="22"/>
        </w:rPr>
        <w:t>.</w:t>
      </w:r>
      <w:r>
        <w:rPr>
          <w:rStyle w:val="FootnoteReference"/>
          <w:szCs w:val="22"/>
        </w:rPr>
        <w:footnoteReference w:id="47"/>
      </w:r>
      <w:r w:rsidRPr="00D700C3">
        <w:rPr>
          <w:szCs w:val="22"/>
        </w:rPr>
        <w:t xml:space="preserve">  </w:t>
      </w:r>
    </w:p>
    <w:p w:rsidR="00427B65" w:rsidRPr="006A7097" w:rsidRDefault="00427B65" w:rsidP="00427B65">
      <w:pPr>
        <w:pStyle w:val="ParaNum"/>
        <w:widowControl/>
        <w:numPr>
          <w:ilvl w:val="0"/>
          <w:numId w:val="22"/>
        </w:numPr>
        <w:tabs>
          <w:tab w:val="clear" w:pos="1080"/>
          <w:tab w:val="num" w:pos="1440"/>
        </w:tabs>
        <w:spacing w:after="120"/>
        <w:jc w:val="left"/>
      </w:pPr>
      <w:r>
        <w:rPr>
          <w:szCs w:val="22"/>
        </w:rPr>
        <w:t xml:space="preserve">On December 28, 2015, </w:t>
      </w:r>
      <w:r w:rsidR="00BA31F1">
        <w:rPr>
          <w:szCs w:val="22"/>
        </w:rPr>
        <w:t xml:space="preserve">the </w:t>
      </w:r>
      <w:r>
        <w:rPr>
          <w:szCs w:val="22"/>
        </w:rPr>
        <w:t xml:space="preserve">DISH </w:t>
      </w:r>
      <w:r w:rsidR="00BA31F1">
        <w:rPr>
          <w:szCs w:val="22"/>
        </w:rPr>
        <w:t xml:space="preserve">entities </w:t>
      </w:r>
      <w:r>
        <w:rPr>
          <w:szCs w:val="22"/>
        </w:rPr>
        <w:t xml:space="preserve">filed a joint opposition to T-Mobile’s petition.  </w:t>
      </w:r>
      <w:r w:rsidR="00BA31F1">
        <w:rPr>
          <w:szCs w:val="22"/>
        </w:rPr>
        <w:t xml:space="preserve">The </w:t>
      </w:r>
      <w:r>
        <w:rPr>
          <w:szCs w:val="22"/>
        </w:rPr>
        <w:t xml:space="preserve">DISH </w:t>
      </w:r>
      <w:r w:rsidR="00BA31F1">
        <w:rPr>
          <w:szCs w:val="22"/>
        </w:rPr>
        <w:t>entities a</w:t>
      </w:r>
      <w:r>
        <w:rPr>
          <w:szCs w:val="22"/>
        </w:rPr>
        <w:t xml:space="preserve">rgue that T-Mobile’s petition is an untimely challenge to the Commission’s new former defaulter policies and prior Commission findings relating to the </w:t>
      </w:r>
      <w:r w:rsidR="00985300">
        <w:rPr>
          <w:szCs w:val="22"/>
        </w:rPr>
        <w:t>SNR and Northstar’</w:t>
      </w:r>
      <w:r>
        <w:rPr>
          <w:szCs w:val="22"/>
        </w:rPr>
        <w:t>s conduct in the AWS-3 auction.</w:t>
      </w:r>
      <w:r>
        <w:rPr>
          <w:rStyle w:val="FootnoteReference"/>
          <w:szCs w:val="22"/>
        </w:rPr>
        <w:footnoteReference w:id="48"/>
      </w:r>
      <w:r>
        <w:rPr>
          <w:szCs w:val="22"/>
        </w:rPr>
        <w:t xml:space="preserve">  </w:t>
      </w:r>
      <w:r w:rsidR="00205368">
        <w:rPr>
          <w:szCs w:val="22"/>
        </w:rPr>
        <w:t xml:space="preserve">The </w:t>
      </w:r>
      <w:r>
        <w:rPr>
          <w:szCs w:val="22"/>
        </w:rPr>
        <w:t xml:space="preserve">DISH </w:t>
      </w:r>
      <w:r w:rsidR="00205368">
        <w:rPr>
          <w:szCs w:val="22"/>
        </w:rPr>
        <w:t xml:space="preserve">entities </w:t>
      </w:r>
      <w:r>
        <w:rPr>
          <w:szCs w:val="22"/>
        </w:rPr>
        <w:t>claim that in any event, they are not former defaulters under the Commission’s rule since they paid all default payments due to the Commission within the relevant six-month window.</w:t>
      </w:r>
      <w:r>
        <w:rPr>
          <w:rStyle w:val="FootnoteReference"/>
          <w:szCs w:val="22"/>
        </w:rPr>
        <w:footnoteReference w:id="49"/>
      </w:r>
      <w:r>
        <w:rPr>
          <w:szCs w:val="22"/>
        </w:rPr>
        <w:t xml:space="preserve">  Furthermore, the DISH </w:t>
      </w:r>
      <w:r w:rsidR="00205368">
        <w:rPr>
          <w:szCs w:val="22"/>
        </w:rPr>
        <w:t xml:space="preserve">entities </w:t>
      </w:r>
      <w:r>
        <w:rPr>
          <w:szCs w:val="22"/>
        </w:rPr>
        <w:t>accuse T-Mobile of seeking an unfair advantage over potentially competing bidders in the broadcast incentive auction.</w:t>
      </w:r>
      <w:r>
        <w:rPr>
          <w:rStyle w:val="FootnoteReference"/>
          <w:szCs w:val="22"/>
        </w:rPr>
        <w:footnoteReference w:id="50"/>
      </w:r>
    </w:p>
    <w:p w:rsidR="00DF1204" w:rsidRDefault="00DF1204" w:rsidP="00DF1204">
      <w:pPr>
        <w:pStyle w:val="ParaNum"/>
        <w:widowControl/>
        <w:numPr>
          <w:ilvl w:val="0"/>
          <w:numId w:val="22"/>
        </w:numPr>
        <w:tabs>
          <w:tab w:val="clear" w:pos="1080"/>
          <w:tab w:val="num" w:pos="1440"/>
        </w:tabs>
        <w:spacing w:after="120"/>
        <w:jc w:val="left"/>
      </w:pPr>
      <w:r>
        <w:rPr>
          <w:szCs w:val="22"/>
        </w:rPr>
        <w:t>AT&amp;T filed a reply in support of T-Mobile’s alternative request for a declaratory ruling.</w:t>
      </w:r>
      <w:r w:rsidR="00902C02">
        <w:rPr>
          <w:rStyle w:val="FootnoteReference"/>
          <w:szCs w:val="22"/>
        </w:rPr>
        <w:footnoteReference w:id="51"/>
      </w:r>
      <w:r>
        <w:rPr>
          <w:szCs w:val="22"/>
        </w:rPr>
        <w:t xml:space="preserve">  AT&amp;T asserts that the Commission should declare </w:t>
      </w:r>
      <w:r w:rsidR="00205368">
        <w:rPr>
          <w:szCs w:val="22"/>
        </w:rPr>
        <w:t xml:space="preserve">the </w:t>
      </w:r>
      <w:r>
        <w:rPr>
          <w:szCs w:val="22"/>
        </w:rPr>
        <w:t>DISH</w:t>
      </w:r>
      <w:r w:rsidR="00205368">
        <w:rPr>
          <w:szCs w:val="22"/>
        </w:rPr>
        <w:t xml:space="preserve"> entities </w:t>
      </w:r>
      <w:r>
        <w:rPr>
          <w:szCs w:val="22"/>
        </w:rPr>
        <w:t>to be former defaulters under the Commission’s rule.</w:t>
      </w:r>
      <w:r>
        <w:rPr>
          <w:rStyle w:val="FootnoteReference"/>
          <w:szCs w:val="22"/>
        </w:rPr>
        <w:footnoteReference w:id="52"/>
      </w:r>
      <w:r>
        <w:rPr>
          <w:szCs w:val="22"/>
        </w:rPr>
        <w:t xml:space="preserve">  However, AT&amp;T essentially opposes T-Mobile’s request for reconsideration, arguing that an Order on Reconsideration of the </w:t>
      </w:r>
      <w:r w:rsidRPr="00D700C3">
        <w:rPr>
          <w:i/>
          <w:szCs w:val="22"/>
        </w:rPr>
        <w:t xml:space="preserve">Application Procedures </w:t>
      </w:r>
      <w:r w:rsidR="0031458C" w:rsidRPr="0031458C">
        <w:rPr>
          <w:i/>
          <w:szCs w:val="22"/>
        </w:rPr>
        <w:t>Public Notice</w:t>
      </w:r>
      <w:r>
        <w:rPr>
          <w:szCs w:val="22"/>
        </w:rPr>
        <w:t xml:space="preserve"> is not necessary or appropriate because that public notice did not alter the former defaulter rule nor apply the rule to DISH</w:t>
      </w:r>
      <w:r w:rsidR="007A7979">
        <w:rPr>
          <w:szCs w:val="22"/>
        </w:rPr>
        <w:t xml:space="preserve">, </w:t>
      </w:r>
      <w:r w:rsidR="009F5D6A">
        <w:rPr>
          <w:szCs w:val="22"/>
        </w:rPr>
        <w:t>S</w:t>
      </w:r>
      <w:r w:rsidR="007A7979">
        <w:rPr>
          <w:szCs w:val="22"/>
        </w:rPr>
        <w:t>N</w:t>
      </w:r>
      <w:r w:rsidR="009F5D6A">
        <w:rPr>
          <w:szCs w:val="22"/>
        </w:rPr>
        <w:t>R</w:t>
      </w:r>
      <w:r>
        <w:rPr>
          <w:szCs w:val="22"/>
        </w:rPr>
        <w:t xml:space="preserve"> or </w:t>
      </w:r>
      <w:r w:rsidR="007A7979">
        <w:rPr>
          <w:szCs w:val="22"/>
        </w:rPr>
        <w:t>N</w:t>
      </w:r>
      <w:r w:rsidR="009F5D6A">
        <w:rPr>
          <w:szCs w:val="22"/>
        </w:rPr>
        <w:t>orthstar</w:t>
      </w:r>
      <w:r>
        <w:rPr>
          <w:szCs w:val="22"/>
        </w:rPr>
        <w:t>.</w:t>
      </w:r>
      <w:r>
        <w:rPr>
          <w:rStyle w:val="FootnoteReference"/>
          <w:szCs w:val="22"/>
        </w:rPr>
        <w:footnoteReference w:id="53"/>
      </w:r>
      <w:r w:rsidRPr="00E6231F">
        <w:t xml:space="preserve"> </w:t>
      </w:r>
    </w:p>
    <w:p w:rsidR="00427B65" w:rsidRPr="00593CC5" w:rsidRDefault="00C22E56" w:rsidP="002F3B7E">
      <w:pPr>
        <w:pStyle w:val="ParaNum"/>
        <w:widowControl/>
        <w:numPr>
          <w:ilvl w:val="0"/>
          <w:numId w:val="22"/>
        </w:numPr>
        <w:tabs>
          <w:tab w:val="clear" w:pos="1080"/>
          <w:tab w:val="num" w:pos="1440"/>
        </w:tabs>
        <w:spacing w:after="120"/>
        <w:jc w:val="left"/>
      </w:pPr>
      <w:r>
        <w:t>On January 7, 2</w:t>
      </w:r>
      <w:r w:rsidR="00DF1204">
        <w:t xml:space="preserve">016, T-Mobile filed a reply to </w:t>
      </w:r>
      <w:r w:rsidR="000B5E64">
        <w:t xml:space="preserve">the </w:t>
      </w:r>
      <w:r w:rsidR="000B5E64">
        <w:rPr>
          <w:szCs w:val="22"/>
        </w:rPr>
        <w:t>DISH entities’</w:t>
      </w:r>
      <w:r w:rsidR="00DF1204">
        <w:t xml:space="preserve"> opposition.</w:t>
      </w:r>
      <w:r w:rsidR="00770BDF">
        <w:rPr>
          <w:rStyle w:val="FootnoteReference"/>
        </w:rPr>
        <w:footnoteReference w:id="54"/>
      </w:r>
      <w:r w:rsidR="00DF1204">
        <w:t xml:space="preserve">  While acknowledging that the Commission need not reconsider the </w:t>
      </w:r>
      <w:r w:rsidR="00DF1204" w:rsidRPr="00DF1204">
        <w:rPr>
          <w:i/>
          <w:szCs w:val="22"/>
        </w:rPr>
        <w:t xml:space="preserve">Application Procedures </w:t>
      </w:r>
      <w:r w:rsidR="0031458C" w:rsidRPr="0031458C">
        <w:rPr>
          <w:i/>
          <w:szCs w:val="22"/>
        </w:rPr>
        <w:t>Public Notice</w:t>
      </w:r>
      <w:r w:rsidR="00DF1204" w:rsidRPr="00DF1204">
        <w:rPr>
          <w:szCs w:val="22"/>
        </w:rPr>
        <w:t xml:space="preserve"> to provide relief,</w:t>
      </w:r>
      <w:r w:rsidR="00DF1204">
        <w:t xml:space="preserve"> T-Mobile argues that a declaratory ruling clarifying how the former defaulter rule applies in the context of </w:t>
      </w:r>
      <w:r w:rsidR="00F0473C">
        <w:t xml:space="preserve">SNR’s and </w:t>
      </w:r>
      <w:r w:rsidR="007A7979">
        <w:t xml:space="preserve">Northstar’s </w:t>
      </w:r>
      <w:r w:rsidR="00DF1204">
        <w:t>selective default</w:t>
      </w:r>
      <w:r w:rsidR="00036FA0">
        <w:t>s</w:t>
      </w:r>
      <w:r w:rsidR="00DF1204">
        <w:t xml:space="preserve"> and other conduct in the AWS-3 auction would serve the public interest, “[w]hether or not [such conduct] resulted in any technical violations of the Commission’s prior auction rules.”</w:t>
      </w:r>
      <w:r w:rsidR="00DF1204">
        <w:rPr>
          <w:rStyle w:val="FootnoteReference"/>
          <w:szCs w:val="22"/>
        </w:rPr>
        <w:footnoteReference w:id="55"/>
      </w:r>
      <w:r w:rsidR="00DF1204" w:rsidRPr="00DF1204">
        <w:rPr>
          <w:szCs w:val="22"/>
        </w:rPr>
        <w:t xml:space="preserve">  T-Mobile further contends that the declaratory ruling should address whether entities in which DISH has a disclosable ownership interest should also be considered former defaulters.</w:t>
      </w:r>
      <w:r w:rsidR="00DF1204">
        <w:rPr>
          <w:rStyle w:val="FootnoteReference"/>
          <w:szCs w:val="22"/>
        </w:rPr>
        <w:footnoteReference w:id="56"/>
      </w:r>
      <w:r w:rsidR="00DF1204" w:rsidRPr="00DF1204">
        <w:rPr>
          <w:szCs w:val="22"/>
        </w:rPr>
        <w:t xml:space="preserve">  </w:t>
      </w:r>
      <w:r w:rsidR="00784099">
        <w:rPr>
          <w:szCs w:val="22"/>
        </w:rPr>
        <w:t xml:space="preserve">Also on January 7, 2016, </w:t>
      </w:r>
      <w:r w:rsidR="000B5E64">
        <w:rPr>
          <w:szCs w:val="22"/>
        </w:rPr>
        <w:t xml:space="preserve">the DISH entities </w:t>
      </w:r>
      <w:r w:rsidR="00DF1204" w:rsidRPr="00DF1204">
        <w:rPr>
          <w:szCs w:val="22"/>
        </w:rPr>
        <w:t xml:space="preserve">filed a reply to AT&amp;T’s </w:t>
      </w:r>
      <w:r w:rsidR="0084464D">
        <w:rPr>
          <w:szCs w:val="22"/>
        </w:rPr>
        <w:t>reply</w:t>
      </w:r>
      <w:r w:rsidR="00DF1204" w:rsidRPr="00DF1204">
        <w:rPr>
          <w:szCs w:val="22"/>
        </w:rPr>
        <w:t xml:space="preserve">, opposing AT&amp;T’s support for a declaratory ruling and asserting that </w:t>
      </w:r>
      <w:r w:rsidR="00771667">
        <w:rPr>
          <w:szCs w:val="22"/>
        </w:rPr>
        <w:t xml:space="preserve">neither </w:t>
      </w:r>
      <w:r w:rsidR="00DF1204" w:rsidRPr="00DF1204">
        <w:rPr>
          <w:szCs w:val="22"/>
        </w:rPr>
        <w:t xml:space="preserve">controversy </w:t>
      </w:r>
      <w:r w:rsidR="00771667">
        <w:rPr>
          <w:szCs w:val="22"/>
        </w:rPr>
        <w:t>n</w:t>
      </w:r>
      <w:r w:rsidR="00DF1204" w:rsidRPr="00DF1204">
        <w:rPr>
          <w:szCs w:val="22"/>
        </w:rPr>
        <w:t xml:space="preserve">or uncertainty </w:t>
      </w:r>
      <w:r w:rsidR="00A562A7">
        <w:rPr>
          <w:szCs w:val="22"/>
        </w:rPr>
        <w:t xml:space="preserve">that </w:t>
      </w:r>
      <w:r w:rsidR="00453C8B">
        <w:rPr>
          <w:szCs w:val="22"/>
        </w:rPr>
        <w:t>r</w:t>
      </w:r>
      <w:r w:rsidR="00DF1204" w:rsidRPr="00DF1204">
        <w:rPr>
          <w:szCs w:val="22"/>
        </w:rPr>
        <w:t>equir</w:t>
      </w:r>
      <w:r w:rsidR="00A562A7">
        <w:rPr>
          <w:szCs w:val="22"/>
        </w:rPr>
        <w:t>es</w:t>
      </w:r>
      <w:r w:rsidR="00DF1204" w:rsidRPr="00DF1204">
        <w:rPr>
          <w:szCs w:val="22"/>
        </w:rPr>
        <w:t xml:space="preserve"> a declaratory ruling</w:t>
      </w:r>
      <w:r w:rsidR="00A562A7">
        <w:rPr>
          <w:szCs w:val="22"/>
        </w:rPr>
        <w:t xml:space="preserve"> </w:t>
      </w:r>
      <w:r w:rsidR="007A2D8B">
        <w:rPr>
          <w:szCs w:val="22"/>
        </w:rPr>
        <w:t>is present</w:t>
      </w:r>
      <w:r w:rsidR="00DF1204" w:rsidRPr="00DF1204">
        <w:rPr>
          <w:szCs w:val="22"/>
        </w:rPr>
        <w:t>.</w:t>
      </w:r>
      <w:r w:rsidR="00DF1204">
        <w:rPr>
          <w:rStyle w:val="FootnoteReference"/>
          <w:szCs w:val="22"/>
        </w:rPr>
        <w:footnoteReference w:id="57"/>
      </w:r>
      <w:r w:rsidR="00DF1204" w:rsidRPr="00DF1204">
        <w:rPr>
          <w:szCs w:val="22"/>
        </w:rPr>
        <w:t xml:space="preserve">  </w:t>
      </w:r>
    </w:p>
    <w:p w:rsidR="003229C9" w:rsidRDefault="00B63820" w:rsidP="00BB7F13">
      <w:pPr>
        <w:pStyle w:val="ParaNum"/>
        <w:widowControl/>
        <w:numPr>
          <w:ilvl w:val="0"/>
          <w:numId w:val="22"/>
        </w:numPr>
        <w:tabs>
          <w:tab w:val="clear" w:pos="1080"/>
          <w:tab w:val="num" w:pos="1440"/>
        </w:tabs>
        <w:spacing w:after="120"/>
        <w:jc w:val="left"/>
      </w:pPr>
      <w:r>
        <w:rPr>
          <w:szCs w:val="22"/>
        </w:rPr>
        <w:t>For the reasons set forth below, w</w:t>
      </w:r>
      <w:r w:rsidR="00F37EDF">
        <w:rPr>
          <w:szCs w:val="22"/>
        </w:rPr>
        <w:t xml:space="preserve">e </w:t>
      </w:r>
      <w:r w:rsidR="00F37EDF" w:rsidRPr="00B62E67">
        <w:rPr>
          <w:szCs w:val="22"/>
        </w:rPr>
        <w:t>dismiss</w:t>
      </w:r>
      <w:r w:rsidR="00F37EDF">
        <w:rPr>
          <w:szCs w:val="22"/>
        </w:rPr>
        <w:t xml:space="preserve"> the T-Mobile’s Petition as procedurally defective and </w:t>
      </w:r>
      <w:r w:rsidR="00F37EDF" w:rsidRPr="00B62E67">
        <w:rPr>
          <w:szCs w:val="22"/>
        </w:rPr>
        <w:t>deny</w:t>
      </w:r>
      <w:r w:rsidR="00F37EDF">
        <w:rPr>
          <w:szCs w:val="22"/>
        </w:rPr>
        <w:t xml:space="preserve"> its request for a declaratory ruling.  </w:t>
      </w:r>
      <w:r w:rsidR="00A07C7D">
        <w:t xml:space="preserve">  </w:t>
      </w:r>
    </w:p>
    <w:p w:rsidR="00C4002B" w:rsidRPr="00C4002B" w:rsidRDefault="00614C9E" w:rsidP="00BB7F13">
      <w:pPr>
        <w:pStyle w:val="ParaNum"/>
        <w:widowControl/>
        <w:numPr>
          <w:ilvl w:val="0"/>
          <w:numId w:val="22"/>
        </w:numPr>
        <w:tabs>
          <w:tab w:val="clear" w:pos="1080"/>
          <w:tab w:val="num" w:pos="1440"/>
        </w:tabs>
        <w:spacing w:after="120"/>
        <w:jc w:val="left"/>
      </w:pPr>
      <w:r>
        <w:rPr>
          <w:szCs w:val="22"/>
        </w:rPr>
        <w:t xml:space="preserve">SNR and Northstar were </w:t>
      </w:r>
      <w:r w:rsidRPr="00AC43C0">
        <w:t xml:space="preserve">winning bidders </w:t>
      </w:r>
      <w:r w:rsidR="00955CD4">
        <w:t xml:space="preserve">in Auction 97 </w:t>
      </w:r>
      <w:r w:rsidR="00B019EC">
        <w:t>on licenses for AWS-3 spectrum</w:t>
      </w:r>
      <w:r w:rsidR="00955CD4">
        <w:t>.</w:t>
      </w:r>
      <w:r w:rsidR="0054394E">
        <w:rPr>
          <w:rStyle w:val="FootnoteReference"/>
        </w:rPr>
        <w:footnoteReference w:id="58"/>
      </w:r>
      <w:r w:rsidR="00955CD4">
        <w:t xml:space="preserve">  </w:t>
      </w:r>
      <w:r w:rsidR="0054394E" w:rsidRPr="00AC43C0">
        <w:t xml:space="preserve">SNR and Northstar </w:t>
      </w:r>
      <w:r w:rsidR="0054394E">
        <w:t>each a</w:t>
      </w:r>
      <w:r w:rsidR="0054394E" w:rsidRPr="00AC43C0">
        <w:t xml:space="preserve">sserted that </w:t>
      </w:r>
      <w:r w:rsidR="0054394E">
        <w:t xml:space="preserve">it </w:t>
      </w:r>
      <w:r w:rsidR="0054394E" w:rsidRPr="00AC43C0">
        <w:t xml:space="preserve">had </w:t>
      </w:r>
      <w:r w:rsidR="005A14E2">
        <w:t xml:space="preserve">average gross revenues of less than </w:t>
      </w:r>
      <w:r w:rsidR="0054394E" w:rsidRPr="00AC43C0">
        <w:t>$15 million over the past three years and therefore qualif</w:t>
      </w:r>
      <w:r w:rsidR="0054394E">
        <w:t>ie</w:t>
      </w:r>
      <w:r w:rsidR="005A14E2">
        <w:t>d</w:t>
      </w:r>
      <w:r w:rsidR="0054394E" w:rsidRPr="00AC43C0">
        <w:t xml:space="preserve"> as </w:t>
      </w:r>
      <w:r w:rsidR="0054394E">
        <w:t xml:space="preserve">a </w:t>
      </w:r>
      <w:r w:rsidR="0054394E" w:rsidRPr="00AC43C0">
        <w:t>“very small business” under the rules adopted for Auction 97</w:t>
      </w:r>
      <w:r w:rsidR="0054394E">
        <w:t>.</w:t>
      </w:r>
      <w:bookmarkStart w:id="1" w:name="_Ref426039828"/>
      <w:r w:rsidR="0054394E">
        <w:rPr>
          <w:rStyle w:val="FootnoteReference"/>
        </w:rPr>
        <w:footnoteReference w:id="59"/>
      </w:r>
      <w:bookmarkEnd w:id="1"/>
      <w:r w:rsidR="0054394E" w:rsidRPr="00AC43C0">
        <w:t xml:space="preserve">  </w:t>
      </w:r>
      <w:r w:rsidR="008A6AA7">
        <w:rPr>
          <w:szCs w:val="22"/>
        </w:rPr>
        <w:t xml:space="preserve">In a </w:t>
      </w:r>
      <w:r w:rsidR="008A6AA7" w:rsidRPr="007F1156">
        <w:rPr>
          <w:szCs w:val="22"/>
        </w:rPr>
        <w:t xml:space="preserve">Memorandum </w:t>
      </w:r>
      <w:r w:rsidR="008A6AA7" w:rsidRPr="001E3035">
        <w:t>Opinion</w:t>
      </w:r>
      <w:r w:rsidR="008A6AA7" w:rsidRPr="007F1156">
        <w:rPr>
          <w:szCs w:val="22"/>
        </w:rPr>
        <w:t xml:space="preserve"> and Order</w:t>
      </w:r>
      <w:r w:rsidR="008A6AA7" w:rsidRPr="00BD4A69">
        <w:rPr>
          <w:i/>
          <w:szCs w:val="22"/>
        </w:rPr>
        <w:t xml:space="preserve"> </w:t>
      </w:r>
      <w:r w:rsidR="008A6AA7" w:rsidRPr="00BD4A69">
        <w:rPr>
          <w:szCs w:val="22"/>
        </w:rPr>
        <w:t>(</w:t>
      </w:r>
      <w:r w:rsidR="008A6AA7" w:rsidRPr="00BD4A69">
        <w:rPr>
          <w:i/>
          <w:szCs w:val="22"/>
        </w:rPr>
        <w:t>MO&amp;O</w:t>
      </w:r>
      <w:r w:rsidR="008A6AA7" w:rsidRPr="00BD4A69">
        <w:rPr>
          <w:szCs w:val="22"/>
        </w:rPr>
        <w:t>)</w:t>
      </w:r>
      <w:r w:rsidR="008A6AA7">
        <w:rPr>
          <w:szCs w:val="22"/>
        </w:rPr>
        <w:t xml:space="preserve"> released o</w:t>
      </w:r>
      <w:r w:rsidR="008A6AA7" w:rsidRPr="00BD4A69">
        <w:rPr>
          <w:szCs w:val="22"/>
        </w:rPr>
        <w:t>n August 18, 2015, the Commission found</w:t>
      </w:r>
      <w:r w:rsidR="00F35A4C">
        <w:rPr>
          <w:szCs w:val="22"/>
        </w:rPr>
        <w:t>,</w:t>
      </w:r>
      <w:r w:rsidR="008A6AA7" w:rsidRPr="00BD4A69">
        <w:rPr>
          <w:szCs w:val="22"/>
        </w:rPr>
        <w:t xml:space="preserve"> </w:t>
      </w:r>
      <w:r w:rsidR="00B62E67">
        <w:rPr>
          <w:i/>
          <w:szCs w:val="22"/>
        </w:rPr>
        <w:t>inter alia</w:t>
      </w:r>
      <w:r w:rsidR="00F35A4C">
        <w:rPr>
          <w:szCs w:val="22"/>
        </w:rPr>
        <w:t>,</w:t>
      </w:r>
      <w:r w:rsidR="00B62E67">
        <w:rPr>
          <w:i/>
          <w:szCs w:val="22"/>
        </w:rPr>
        <w:t xml:space="preserve"> </w:t>
      </w:r>
      <w:r w:rsidR="008A6AA7" w:rsidRPr="00BD4A69">
        <w:rPr>
          <w:szCs w:val="22"/>
        </w:rPr>
        <w:t xml:space="preserve">that </w:t>
      </w:r>
      <w:r w:rsidR="002E49D1" w:rsidRPr="006061C1">
        <w:rPr>
          <w:snapToGrid/>
        </w:rPr>
        <w:t>DISH has a controlling interest in and is an affiliate of SNR and Northstar under the Commission’s rules governing eligibility for small business bidding credits.</w:t>
      </w:r>
      <w:r w:rsidR="00575C7E" w:rsidRPr="00575C7E">
        <w:rPr>
          <w:rStyle w:val="FootnoteReference"/>
          <w:szCs w:val="22"/>
        </w:rPr>
        <w:t xml:space="preserve"> </w:t>
      </w:r>
      <w:r w:rsidR="00575C7E" w:rsidRPr="00BD4A69">
        <w:rPr>
          <w:rStyle w:val="FootnoteReference"/>
          <w:szCs w:val="22"/>
        </w:rPr>
        <w:footnoteReference w:id="60"/>
      </w:r>
      <w:r w:rsidR="002E49D1">
        <w:rPr>
          <w:snapToGrid/>
        </w:rPr>
        <w:t xml:space="preserve"> </w:t>
      </w:r>
      <w:r w:rsidR="00205FDC">
        <w:rPr>
          <w:snapToGrid/>
        </w:rPr>
        <w:t xml:space="preserve"> Based on this finding, the Commi</w:t>
      </w:r>
      <w:r w:rsidR="00575C7E">
        <w:rPr>
          <w:snapToGrid/>
        </w:rPr>
        <w:t>s</w:t>
      </w:r>
      <w:r w:rsidR="00205FDC">
        <w:rPr>
          <w:snapToGrid/>
        </w:rPr>
        <w:t>sion</w:t>
      </w:r>
      <w:r w:rsidR="00575C7E">
        <w:rPr>
          <w:snapToGrid/>
        </w:rPr>
        <w:t xml:space="preserve"> concluded that </w:t>
      </w:r>
      <w:r w:rsidR="008A6AA7">
        <w:rPr>
          <w:szCs w:val="22"/>
        </w:rPr>
        <w:t xml:space="preserve">SNR and </w:t>
      </w:r>
      <w:r w:rsidR="008A6AA7" w:rsidRPr="00BD4A69">
        <w:rPr>
          <w:szCs w:val="22"/>
        </w:rPr>
        <w:t xml:space="preserve">Northstar </w:t>
      </w:r>
      <w:r w:rsidR="008A6AA7">
        <w:rPr>
          <w:szCs w:val="22"/>
        </w:rPr>
        <w:t xml:space="preserve">were </w:t>
      </w:r>
      <w:r w:rsidR="008A6AA7" w:rsidRPr="00BD4A69">
        <w:rPr>
          <w:szCs w:val="22"/>
        </w:rPr>
        <w:t xml:space="preserve">not eligible for a very small business bidding credit and that </w:t>
      </w:r>
      <w:r w:rsidR="008A6AA7">
        <w:rPr>
          <w:szCs w:val="22"/>
        </w:rPr>
        <w:t xml:space="preserve">they were </w:t>
      </w:r>
      <w:r w:rsidR="008A6AA7" w:rsidRPr="00BD4A69">
        <w:rPr>
          <w:szCs w:val="22"/>
        </w:rPr>
        <w:t xml:space="preserve">required to pay the full amount of </w:t>
      </w:r>
      <w:r w:rsidR="00104BA9">
        <w:rPr>
          <w:szCs w:val="22"/>
        </w:rPr>
        <w:t>their</w:t>
      </w:r>
      <w:r w:rsidR="008A6AA7" w:rsidRPr="00BD4A69">
        <w:rPr>
          <w:szCs w:val="22"/>
        </w:rPr>
        <w:t xml:space="preserve"> winning bids.</w:t>
      </w:r>
      <w:r w:rsidR="008A6AA7" w:rsidRPr="00BD4A69">
        <w:rPr>
          <w:rStyle w:val="FootnoteReference"/>
          <w:szCs w:val="22"/>
        </w:rPr>
        <w:footnoteReference w:id="61"/>
      </w:r>
      <w:r w:rsidR="008A6AA7" w:rsidRPr="00BD4A69">
        <w:rPr>
          <w:szCs w:val="22"/>
        </w:rPr>
        <w:t xml:space="preserve">  </w:t>
      </w:r>
    </w:p>
    <w:p w:rsidR="002D1184" w:rsidRPr="002D1184" w:rsidRDefault="00104BA9" w:rsidP="00BB7F13">
      <w:pPr>
        <w:pStyle w:val="ParaNum"/>
        <w:widowControl/>
        <w:numPr>
          <w:ilvl w:val="0"/>
          <w:numId w:val="22"/>
        </w:numPr>
        <w:tabs>
          <w:tab w:val="clear" w:pos="1080"/>
          <w:tab w:val="num" w:pos="1440"/>
        </w:tabs>
        <w:spacing w:after="120"/>
        <w:jc w:val="left"/>
      </w:pPr>
      <w:r w:rsidRPr="00421EFA">
        <w:rPr>
          <w:szCs w:val="22"/>
        </w:rPr>
        <w:t xml:space="preserve">SNR </w:t>
      </w:r>
      <w:r w:rsidR="002278A2">
        <w:rPr>
          <w:szCs w:val="22"/>
        </w:rPr>
        <w:t>and Northstar subsequently</w:t>
      </w:r>
      <w:r w:rsidRPr="00421EFA">
        <w:rPr>
          <w:szCs w:val="22"/>
        </w:rPr>
        <w:t xml:space="preserve"> notifi</w:t>
      </w:r>
      <w:r w:rsidR="002278A2">
        <w:rPr>
          <w:szCs w:val="22"/>
        </w:rPr>
        <w:t>ed</w:t>
      </w:r>
      <w:r w:rsidRPr="00421EFA">
        <w:rPr>
          <w:szCs w:val="22"/>
        </w:rPr>
        <w:t xml:space="preserve"> the Commission that </w:t>
      </w:r>
      <w:r w:rsidR="00F010B3">
        <w:rPr>
          <w:szCs w:val="22"/>
        </w:rPr>
        <w:t xml:space="preserve">they </w:t>
      </w:r>
      <w:r w:rsidR="00F130FC">
        <w:rPr>
          <w:szCs w:val="22"/>
        </w:rPr>
        <w:t xml:space="preserve">would be paying the full bid amount for some of the licenses they won </w:t>
      </w:r>
      <w:r w:rsidR="008D3DC7" w:rsidRPr="00421EFA">
        <w:rPr>
          <w:szCs w:val="22"/>
        </w:rPr>
        <w:t>in Auction 97</w:t>
      </w:r>
      <w:r w:rsidR="008D3DC7">
        <w:rPr>
          <w:szCs w:val="22"/>
        </w:rPr>
        <w:t xml:space="preserve"> </w:t>
      </w:r>
      <w:r w:rsidR="00F130FC">
        <w:rPr>
          <w:szCs w:val="22"/>
        </w:rPr>
        <w:t>and defaulting on others</w:t>
      </w:r>
      <w:r w:rsidRPr="00421EFA">
        <w:rPr>
          <w:szCs w:val="22"/>
        </w:rPr>
        <w:t>.</w:t>
      </w:r>
      <w:r w:rsidR="002B4373">
        <w:rPr>
          <w:szCs w:val="22"/>
        </w:rPr>
        <w:t xml:space="preserve">  </w:t>
      </w:r>
      <w:r w:rsidR="0050689D" w:rsidRPr="00BD4A69">
        <w:rPr>
          <w:szCs w:val="22"/>
        </w:rPr>
        <w:t xml:space="preserve">The Commission </w:t>
      </w:r>
      <w:r w:rsidR="0050689D" w:rsidRPr="00BB7F13">
        <w:t>allows</w:t>
      </w:r>
      <w:r w:rsidR="0050689D" w:rsidRPr="00BD4A69">
        <w:rPr>
          <w:szCs w:val="22"/>
        </w:rPr>
        <w:t xml:space="preserve"> winning bidders at auction to default selectively on licenses where the applicant has a sufficient amount of money on deposit to cover the licenses the bidder wishes to retain, plus the associated interim default payment obligations</w:t>
      </w:r>
      <w:r w:rsidR="0050689D">
        <w:rPr>
          <w:szCs w:val="22"/>
        </w:rPr>
        <w:t>.</w:t>
      </w:r>
      <w:r w:rsidR="0050689D">
        <w:rPr>
          <w:rStyle w:val="FootnoteReference"/>
          <w:szCs w:val="22"/>
        </w:rPr>
        <w:footnoteReference w:id="62"/>
      </w:r>
      <w:r w:rsidR="0050689D">
        <w:rPr>
          <w:szCs w:val="22"/>
        </w:rPr>
        <w:t xml:space="preserve"> </w:t>
      </w:r>
      <w:r w:rsidR="00E349A9">
        <w:rPr>
          <w:szCs w:val="22"/>
        </w:rPr>
        <w:t xml:space="preserve"> </w:t>
      </w:r>
      <w:r w:rsidR="002B4373">
        <w:rPr>
          <w:szCs w:val="22"/>
        </w:rPr>
        <w:t xml:space="preserve">On October 1, 2015, the Commission issued letters to </w:t>
      </w:r>
      <w:r w:rsidR="002B4373" w:rsidRPr="00421EFA">
        <w:rPr>
          <w:szCs w:val="22"/>
        </w:rPr>
        <w:t xml:space="preserve">SNR </w:t>
      </w:r>
      <w:r w:rsidR="002B4373">
        <w:rPr>
          <w:szCs w:val="22"/>
        </w:rPr>
        <w:t>and Northstar</w:t>
      </w:r>
      <w:r w:rsidR="0030156B">
        <w:rPr>
          <w:szCs w:val="22"/>
        </w:rPr>
        <w:t xml:space="preserve"> </w:t>
      </w:r>
      <w:r w:rsidR="00196DFB">
        <w:rPr>
          <w:szCs w:val="22"/>
        </w:rPr>
        <w:t xml:space="preserve">notifying them </w:t>
      </w:r>
      <w:r w:rsidR="00481006">
        <w:rPr>
          <w:szCs w:val="22"/>
        </w:rPr>
        <w:t>of their interim default payment obligations.</w:t>
      </w:r>
      <w:r w:rsidR="004B23D7">
        <w:rPr>
          <w:rStyle w:val="FootnoteReference"/>
          <w:szCs w:val="22"/>
        </w:rPr>
        <w:footnoteReference w:id="63"/>
      </w:r>
      <w:r w:rsidR="00481006">
        <w:rPr>
          <w:szCs w:val="22"/>
        </w:rPr>
        <w:t xml:space="preserve"> </w:t>
      </w:r>
      <w:r w:rsidR="00C25F97">
        <w:rPr>
          <w:szCs w:val="22"/>
        </w:rPr>
        <w:t>Also on October 1, 2015,</w:t>
      </w:r>
      <w:r w:rsidR="001329D8">
        <w:rPr>
          <w:szCs w:val="22"/>
        </w:rPr>
        <w:t xml:space="preserve"> </w:t>
      </w:r>
      <w:r w:rsidR="001329D8" w:rsidRPr="00421EFA">
        <w:rPr>
          <w:szCs w:val="22"/>
        </w:rPr>
        <w:t xml:space="preserve">SNR </w:t>
      </w:r>
      <w:r w:rsidR="001329D8">
        <w:rPr>
          <w:szCs w:val="22"/>
        </w:rPr>
        <w:t>and Northstar</w:t>
      </w:r>
      <w:r w:rsidR="003B4E66">
        <w:rPr>
          <w:szCs w:val="22"/>
        </w:rPr>
        <w:t xml:space="preserve"> remitted to the Commission</w:t>
      </w:r>
      <w:r w:rsidR="00935488">
        <w:rPr>
          <w:szCs w:val="22"/>
        </w:rPr>
        <w:t xml:space="preserve"> funds </w:t>
      </w:r>
      <w:r w:rsidR="007E19F9">
        <w:rPr>
          <w:szCs w:val="22"/>
        </w:rPr>
        <w:t>which</w:t>
      </w:r>
      <w:r w:rsidR="00775C8C">
        <w:rPr>
          <w:szCs w:val="22"/>
        </w:rPr>
        <w:t>,</w:t>
      </w:r>
      <w:r w:rsidR="007E19F9">
        <w:rPr>
          <w:szCs w:val="22"/>
        </w:rPr>
        <w:t xml:space="preserve"> when added to the funds they already had on deposit with the Commis</w:t>
      </w:r>
      <w:r w:rsidR="00775C8C">
        <w:rPr>
          <w:szCs w:val="22"/>
        </w:rPr>
        <w:t>s</w:t>
      </w:r>
      <w:r w:rsidR="007E19F9">
        <w:rPr>
          <w:szCs w:val="22"/>
        </w:rPr>
        <w:t>ion</w:t>
      </w:r>
      <w:r w:rsidR="00775C8C">
        <w:rPr>
          <w:szCs w:val="22"/>
        </w:rPr>
        <w:t xml:space="preserve">, </w:t>
      </w:r>
      <w:r w:rsidR="007E19F9">
        <w:rPr>
          <w:szCs w:val="22"/>
        </w:rPr>
        <w:t xml:space="preserve">were </w:t>
      </w:r>
      <w:r w:rsidR="00775C8C">
        <w:rPr>
          <w:szCs w:val="22"/>
        </w:rPr>
        <w:t xml:space="preserve">sufficient </w:t>
      </w:r>
      <w:r w:rsidR="00935488">
        <w:rPr>
          <w:szCs w:val="22"/>
        </w:rPr>
        <w:t>to sa</w:t>
      </w:r>
      <w:r w:rsidR="007E19F9">
        <w:rPr>
          <w:szCs w:val="22"/>
        </w:rPr>
        <w:t>t</w:t>
      </w:r>
      <w:r w:rsidR="00935488">
        <w:rPr>
          <w:szCs w:val="22"/>
        </w:rPr>
        <w:t xml:space="preserve">isfy their interim default payment and </w:t>
      </w:r>
      <w:r w:rsidR="00EF5DA1">
        <w:rPr>
          <w:szCs w:val="22"/>
        </w:rPr>
        <w:t xml:space="preserve">to purchase those licenses </w:t>
      </w:r>
      <w:r w:rsidR="00E349A9">
        <w:rPr>
          <w:szCs w:val="22"/>
        </w:rPr>
        <w:t>they wished to retain.</w:t>
      </w:r>
    </w:p>
    <w:p w:rsidR="00A40DAB" w:rsidRPr="00A40DAB" w:rsidRDefault="002D1184" w:rsidP="00BB7F13">
      <w:pPr>
        <w:pStyle w:val="ParaNum"/>
        <w:widowControl/>
        <w:numPr>
          <w:ilvl w:val="0"/>
          <w:numId w:val="22"/>
        </w:numPr>
        <w:tabs>
          <w:tab w:val="clear" w:pos="1080"/>
          <w:tab w:val="num" w:pos="1440"/>
        </w:tabs>
        <w:spacing w:after="120"/>
        <w:jc w:val="left"/>
      </w:pPr>
      <w:r w:rsidRPr="002D1184">
        <w:rPr>
          <w:szCs w:val="22"/>
        </w:rPr>
        <w:t>T-Mobile’s request</w:t>
      </w:r>
      <w:r w:rsidR="00631C05">
        <w:rPr>
          <w:szCs w:val="22"/>
        </w:rPr>
        <w:t xml:space="preserve"> that </w:t>
      </w:r>
      <w:r w:rsidR="00C25456" w:rsidRPr="003B736C">
        <w:t>the DISH entities</w:t>
      </w:r>
      <w:r w:rsidR="00C25456">
        <w:t xml:space="preserve"> </w:t>
      </w:r>
      <w:r w:rsidR="00631C05">
        <w:rPr>
          <w:szCs w:val="22"/>
        </w:rPr>
        <w:t xml:space="preserve">be </w:t>
      </w:r>
      <w:r>
        <w:t xml:space="preserve">considered “former defaulters” </w:t>
      </w:r>
      <w:r w:rsidR="00C20E63" w:rsidRPr="002D1184">
        <w:rPr>
          <w:color w:val="252525"/>
        </w:rPr>
        <w:t xml:space="preserve">is premised on its claims that the conduct of </w:t>
      </w:r>
      <w:r w:rsidR="00407FAD" w:rsidRPr="003B736C">
        <w:t>the DISH entities</w:t>
      </w:r>
      <w:r w:rsidR="00DE36C4">
        <w:t xml:space="preserve"> </w:t>
      </w:r>
      <w:r w:rsidR="00DE36C4" w:rsidRPr="002D1184">
        <w:rPr>
          <w:color w:val="252525"/>
        </w:rPr>
        <w:t>in Auction 97 “disrupted” the auction, undermined the integrity of the auction process, falsely drove up prices and forced other bidders to overpay for spectrum licenses offered in that auction, and likely harmed bona-fide small businesses that desired to place bids by preventing them from competing.</w:t>
      </w:r>
      <w:r w:rsidR="004D64C3">
        <w:rPr>
          <w:rStyle w:val="FootnoteReference"/>
          <w:color w:val="252525"/>
        </w:rPr>
        <w:footnoteReference w:id="64"/>
      </w:r>
      <w:r w:rsidR="00DE36C4" w:rsidRPr="002D1184">
        <w:rPr>
          <w:color w:val="252525"/>
        </w:rPr>
        <w:t xml:space="preserve">  </w:t>
      </w:r>
      <w:r w:rsidR="004D64C3">
        <w:rPr>
          <w:color w:val="252525"/>
        </w:rPr>
        <w:t xml:space="preserve">T-Mobile </w:t>
      </w:r>
      <w:r w:rsidR="004D64C3" w:rsidRPr="00EE3E35">
        <w:rPr>
          <w:color w:val="252525"/>
        </w:rPr>
        <w:t xml:space="preserve">also asserts that </w:t>
      </w:r>
      <w:r w:rsidR="00026317">
        <w:rPr>
          <w:color w:val="252525"/>
        </w:rPr>
        <w:t xml:space="preserve">SNR’s and </w:t>
      </w:r>
      <w:r w:rsidR="00D42B03">
        <w:rPr>
          <w:color w:val="252525"/>
        </w:rPr>
        <w:t xml:space="preserve">Northstar’s </w:t>
      </w:r>
      <w:r w:rsidR="004D64C3" w:rsidRPr="00EE3E35">
        <w:rPr>
          <w:color w:val="252525"/>
        </w:rPr>
        <w:t>decision</w:t>
      </w:r>
      <w:r w:rsidR="00DC241D">
        <w:rPr>
          <w:color w:val="252525"/>
        </w:rPr>
        <w:t>s</w:t>
      </w:r>
      <w:r w:rsidR="004D64C3" w:rsidRPr="00EE3E35">
        <w:rPr>
          <w:color w:val="252525"/>
        </w:rPr>
        <w:t xml:space="preserve"> to selectively default on a portion of the licenses they won deprived other bidders of needed spectrum and delayed its deployment.</w:t>
      </w:r>
      <w:r w:rsidR="00DD2BF7">
        <w:rPr>
          <w:rStyle w:val="FootnoteReference"/>
          <w:color w:val="252525"/>
        </w:rPr>
        <w:footnoteReference w:id="65"/>
      </w:r>
      <w:r w:rsidR="004D64C3" w:rsidRPr="00EE3E35">
        <w:rPr>
          <w:color w:val="252525"/>
        </w:rPr>
        <w:t xml:space="preserve">  </w:t>
      </w:r>
      <w:r w:rsidR="00A40DAB" w:rsidRPr="00EE3E35">
        <w:rPr>
          <w:color w:val="252525"/>
        </w:rPr>
        <w:t>T-Mobile further argues that the DISH entities “gamed” the auction process such that if they ultimately acquire the defaulted licenses in a re-auction, DISH will have been provided with a substantial economic benefit.</w:t>
      </w:r>
      <w:r w:rsidR="004B2634">
        <w:rPr>
          <w:rStyle w:val="FootnoteReference"/>
          <w:color w:val="252525"/>
        </w:rPr>
        <w:footnoteReference w:id="66"/>
      </w:r>
    </w:p>
    <w:p w:rsidR="00107DA3" w:rsidRPr="00107DA3" w:rsidRDefault="00FA354C" w:rsidP="00BB7F13">
      <w:pPr>
        <w:pStyle w:val="ParaNum"/>
        <w:widowControl/>
        <w:numPr>
          <w:ilvl w:val="0"/>
          <w:numId w:val="22"/>
        </w:numPr>
        <w:tabs>
          <w:tab w:val="clear" w:pos="1080"/>
          <w:tab w:val="num" w:pos="1440"/>
        </w:tabs>
        <w:spacing w:after="120"/>
        <w:jc w:val="left"/>
      </w:pPr>
      <w:r>
        <w:rPr>
          <w:color w:val="252525"/>
        </w:rPr>
        <w:t xml:space="preserve">Based on these claims, </w:t>
      </w:r>
      <w:r w:rsidR="00A40DAB" w:rsidRPr="00EE3E35">
        <w:rPr>
          <w:color w:val="252525"/>
        </w:rPr>
        <w:t>T-Mobile</w:t>
      </w:r>
      <w:r w:rsidR="00A40DAB">
        <w:rPr>
          <w:color w:val="252525"/>
        </w:rPr>
        <w:t xml:space="preserve"> </w:t>
      </w:r>
      <w:r>
        <w:rPr>
          <w:color w:val="252525"/>
        </w:rPr>
        <w:t>urges</w:t>
      </w:r>
      <w:r w:rsidR="00A40DAB">
        <w:rPr>
          <w:color w:val="252525"/>
        </w:rPr>
        <w:t xml:space="preserve"> the Commission </w:t>
      </w:r>
      <w:r>
        <w:rPr>
          <w:color w:val="252525"/>
        </w:rPr>
        <w:t>to</w:t>
      </w:r>
      <w:r w:rsidR="00A40DAB">
        <w:rPr>
          <w:color w:val="252525"/>
        </w:rPr>
        <w:t xml:space="preserve"> declare the DISH entities to be “former defaulters” as part of its process of “finalizing the incentive auction application procedures.”</w:t>
      </w:r>
      <w:r w:rsidR="004C3CA3">
        <w:rPr>
          <w:rStyle w:val="FootnoteReference"/>
          <w:color w:val="252525"/>
        </w:rPr>
        <w:footnoteReference w:id="67"/>
      </w:r>
      <w:r w:rsidR="00A40DAB">
        <w:rPr>
          <w:color w:val="252525"/>
        </w:rPr>
        <w:t xml:space="preserve"> </w:t>
      </w:r>
      <w:r w:rsidR="004C3CA3">
        <w:rPr>
          <w:color w:val="252525"/>
        </w:rPr>
        <w:t xml:space="preserve"> </w:t>
      </w:r>
      <w:r w:rsidR="00A40DAB" w:rsidRPr="0000261D">
        <w:rPr>
          <w:color w:val="252525"/>
        </w:rPr>
        <w:t xml:space="preserve">T-Mobile argues that if the Commission finds that the </w:t>
      </w:r>
      <w:r w:rsidR="00A40DAB" w:rsidRPr="00FA7D3E">
        <w:rPr>
          <w:i/>
          <w:color w:val="252525"/>
        </w:rPr>
        <w:t xml:space="preserve">Application Procedures </w:t>
      </w:r>
      <w:r w:rsidR="0031458C" w:rsidRPr="0031458C">
        <w:rPr>
          <w:i/>
          <w:color w:val="252525"/>
        </w:rPr>
        <w:t>Public Notice</w:t>
      </w:r>
      <w:r w:rsidR="00A40DAB" w:rsidRPr="002B1A2D">
        <w:rPr>
          <w:color w:val="252525"/>
        </w:rPr>
        <w:t xml:space="preserve"> does not contemplate application of the </w:t>
      </w:r>
      <w:r w:rsidR="00A40DAB" w:rsidRPr="00BB7F13">
        <w:t>former</w:t>
      </w:r>
      <w:r w:rsidR="00A40DAB" w:rsidRPr="002B1A2D">
        <w:rPr>
          <w:color w:val="252525"/>
        </w:rPr>
        <w:t xml:space="preserve"> defaulter rule to the DISH entities</w:t>
      </w:r>
      <w:r w:rsidR="00A40DAB">
        <w:rPr>
          <w:color w:val="252525"/>
        </w:rPr>
        <w:t>’</w:t>
      </w:r>
      <w:r w:rsidR="00A40DAB" w:rsidRPr="002B1A2D">
        <w:rPr>
          <w:color w:val="252525"/>
        </w:rPr>
        <w:t xml:space="preserve"> conduct or that </w:t>
      </w:r>
      <w:r w:rsidR="00A40DAB">
        <w:rPr>
          <w:color w:val="252525"/>
        </w:rPr>
        <w:t xml:space="preserve">the </w:t>
      </w:r>
      <w:r w:rsidR="0031458C" w:rsidRPr="0031458C">
        <w:rPr>
          <w:color w:val="252525"/>
        </w:rPr>
        <w:t>Public Notice</w:t>
      </w:r>
      <w:r w:rsidR="00A40DAB">
        <w:rPr>
          <w:color w:val="252525"/>
        </w:rPr>
        <w:t xml:space="preserve"> stands in opposition to </w:t>
      </w:r>
      <w:r w:rsidR="00A40DAB" w:rsidRPr="002B1A2D">
        <w:rPr>
          <w:color w:val="252525"/>
        </w:rPr>
        <w:t>application of th</w:t>
      </w:r>
      <w:r w:rsidR="00A40DAB">
        <w:rPr>
          <w:color w:val="252525"/>
        </w:rPr>
        <w:t>at r</w:t>
      </w:r>
      <w:r w:rsidR="00A40DAB" w:rsidRPr="002B1A2D">
        <w:rPr>
          <w:color w:val="252525"/>
        </w:rPr>
        <w:t>ule to the DISH entities</w:t>
      </w:r>
      <w:r w:rsidR="00A40DAB">
        <w:rPr>
          <w:color w:val="252525"/>
        </w:rPr>
        <w:t>’</w:t>
      </w:r>
      <w:r w:rsidR="00A40DAB" w:rsidRPr="002B1A2D">
        <w:rPr>
          <w:color w:val="252525"/>
        </w:rPr>
        <w:t xml:space="preserve"> conduct</w:t>
      </w:r>
      <w:r w:rsidR="00A40DAB">
        <w:rPr>
          <w:color w:val="252525"/>
        </w:rPr>
        <w:t xml:space="preserve">, the </w:t>
      </w:r>
      <w:r w:rsidR="00A40DAB" w:rsidRPr="006A7D28">
        <w:rPr>
          <w:color w:val="252525"/>
        </w:rPr>
        <w:t>Commission</w:t>
      </w:r>
      <w:r w:rsidR="00A40DAB">
        <w:rPr>
          <w:color w:val="252525"/>
        </w:rPr>
        <w:t xml:space="preserve"> should reconsider the </w:t>
      </w:r>
      <w:r w:rsidR="0031458C" w:rsidRPr="0031458C">
        <w:rPr>
          <w:color w:val="252525"/>
        </w:rPr>
        <w:t>Public Notice</w:t>
      </w:r>
      <w:r w:rsidR="00107DA3">
        <w:rPr>
          <w:color w:val="252525"/>
        </w:rPr>
        <w:t>.</w:t>
      </w:r>
      <w:r w:rsidR="005C1847">
        <w:rPr>
          <w:rStyle w:val="FootnoteReference"/>
          <w:color w:val="252525"/>
        </w:rPr>
        <w:footnoteReference w:id="68"/>
      </w:r>
    </w:p>
    <w:p w:rsidR="00C96C7B" w:rsidRPr="00D47187" w:rsidRDefault="00BC7D0C" w:rsidP="00BB7F13">
      <w:pPr>
        <w:pStyle w:val="ParaNum"/>
        <w:widowControl/>
        <w:numPr>
          <w:ilvl w:val="0"/>
          <w:numId w:val="22"/>
        </w:numPr>
        <w:tabs>
          <w:tab w:val="clear" w:pos="1080"/>
          <w:tab w:val="num" w:pos="1440"/>
        </w:tabs>
        <w:spacing w:after="120"/>
        <w:jc w:val="left"/>
      </w:pPr>
      <w:r>
        <w:rPr>
          <w:color w:val="252525"/>
        </w:rPr>
        <w:t>We find that T-Mobile</w:t>
      </w:r>
      <w:r w:rsidR="00CB3E03">
        <w:rPr>
          <w:color w:val="252525"/>
        </w:rPr>
        <w:t xml:space="preserve">’s request </w:t>
      </w:r>
      <w:r w:rsidR="00240CE4">
        <w:rPr>
          <w:color w:val="252525"/>
        </w:rPr>
        <w:t xml:space="preserve">that we declare the </w:t>
      </w:r>
      <w:r w:rsidR="00240CE4" w:rsidRPr="003B736C">
        <w:t>DISH entities</w:t>
      </w:r>
      <w:r w:rsidR="00240CE4">
        <w:rPr>
          <w:color w:val="252525"/>
        </w:rPr>
        <w:t xml:space="preserve"> to be former defaulters </w:t>
      </w:r>
      <w:r w:rsidR="00C475EE">
        <w:rPr>
          <w:color w:val="252525"/>
        </w:rPr>
        <w:t xml:space="preserve">and require them to make a </w:t>
      </w:r>
      <w:r w:rsidR="00633BEF">
        <w:rPr>
          <w:color w:val="252525"/>
        </w:rPr>
        <w:t>larger</w:t>
      </w:r>
      <w:r w:rsidR="00C475EE">
        <w:rPr>
          <w:color w:val="252525"/>
        </w:rPr>
        <w:t xml:space="preserve"> upfront payment in the incentive auction is</w:t>
      </w:r>
      <w:r>
        <w:rPr>
          <w:color w:val="252525"/>
        </w:rPr>
        <w:t xml:space="preserve"> </w:t>
      </w:r>
      <w:r w:rsidR="00844B6A">
        <w:rPr>
          <w:color w:val="252525"/>
        </w:rPr>
        <w:t xml:space="preserve">outside </w:t>
      </w:r>
      <w:r>
        <w:rPr>
          <w:color w:val="252525"/>
        </w:rPr>
        <w:t xml:space="preserve">the </w:t>
      </w:r>
      <w:r w:rsidR="00CB3E03">
        <w:rPr>
          <w:color w:val="252525"/>
        </w:rPr>
        <w:t xml:space="preserve">scope of the </w:t>
      </w:r>
      <w:r w:rsidR="00CB3E03" w:rsidRPr="00FA0FA3">
        <w:rPr>
          <w:i/>
          <w:color w:val="252525"/>
        </w:rPr>
        <w:t xml:space="preserve">Application Procedures </w:t>
      </w:r>
      <w:r w:rsidR="0031458C" w:rsidRPr="0031458C">
        <w:rPr>
          <w:i/>
          <w:color w:val="252525"/>
        </w:rPr>
        <w:t>Public Notice</w:t>
      </w:r>
      <w:r w:rsidR="005E2F40">
        <w:rPr>
          <w:color w:val="252525"/>
        </w:rPr>
        <w:t xml:space="preserve"> and therefore </w:t>
      </w:r>
      <w:r w:rsidR="00881651">
        <w:rPr>
          <w:color w:val="252525"/>
        </w:rPr>
        <w:t xml:space="preserve">we </w:t>
      </w:r>
      <w:r w:rsidR="005E2F40">
        <w:rPr>
          <w:color w:val="252525"/>
        </w:rPr>
        <w:t>dismiss its Petition for Reconsideration</w:t>
      </w:r>
      <w:r w:rsidR="00CB3E03">
        <w:rPr>
          <w:color w:val="252525"/>
        </w:rPr>
        <w:t xml:space="preserve">.  </w:t>
      </w:r>
      <w:r w:rsidR="004B79D6" w:rsidRPr="00907754">
        <w:rPr>
          <w:color w:val="252525"/>
        </w:rPr>
        <w:t xml:space="preserve">The Auction </w:t>
      </w:r>
      <w:r w:rsidR="004B79D6" w:rsidRPr="0045497C">
        <w:rPr>
          <w:i/>
          <w:color w:val="252525"/>
        </w:rPr>
        <w:t xml:space="preserve">Application Procedures </w:t>
      </w:r>
      <w:r w:rsidR="0031458C" w:rsidRPr="0031458C">
        <w:rPr>
          <w:i/>
          <w:color w:val="252525"/>
        </w:rPr>
        <w:t>Public Notice</w:t>
      </w:r>
      <w:r w:rsidR="004B79D6" w:rsidRPr="00907754">
        <w:rPr>
          <w:color w:val="252525"/>
        </w:rPr>
        <w:t xml:space="preserve"> </w:t>
      </w:r>
      <w:r w:rsidR="004B79D6">
        <w:rPr>
          <w:color w:val="252525"/>
        </w:rPr>
        <w:t xml:space="preserve">referred to the </w:t>
      </w:r>
      <w:r w:rsidR="004B79D6" w:rsidRPr="00907754">
        <w:rPr>
          <w:color w:val="252525"/>
        </w:rPr>
        <w:t>current Part 1 former defaulter rule,</w:t>
      </w:r>
      <w:r w:rsidR="004B79D6">
        <w:rPr>
          <w:color w:val="252525"/>
        </w:rPr>
        <w:t xml:space="preserve"> and generally described what it</w:t>
      </w:r>
      <w:r w:rsidR="004B79D6" w:rsidRPr="00907754">
        <w:rPr>
          <w:color w:val="252525"/>
        </w:rPr>
        <w:t xml:space="preserve"> </w:t>
      </w:r>
      <w:r w:rsidR="00FA354C">
        <w:rPr>
          <w:color w:val="252525"/>
        </w:rPr>
        <w:t xml:space="preserve">and the accompanying </w:t>
      </w:r>
      <w:r w:rsidR="00FA354C">
        <w:rPr>
          <w:i/>
          <w:color w:val="252525"/>
        </w:rPr>
        <w:t>Part 1 R</w:t>
      </w:r>
      <w:r w:rsidR="007E1A25">
        <w:rPr>
          <w:i/>
          <w:color w:val="252525"/>
        </w:rPr>
        <w:t xml:space="preserve">eport and </w:t>
      </w:r>
      <w:r w:rsidR="00FA354C">
        <w:rPr>
          <w:i/>
          <w:color w:val="252525"/>
        </w:rPr>
        <w:t>O</w:t>
      </w:r>
      <w:r w:rsidR="007E1A25">
        <w:rPr>
          <w:i/>
          <w:color w:val="252525"/>
        </w:rPr>
        <w:t>rder</w:t>
      </w:r>
      <w:r w:rsidR="00FA354C">
        <w:rPr>
          <w:i/>
          <w:color w:val="252525"/>
        </w:rPr>
        <w:t xml:space="preserve"> </w:t>
      </w:r>
      <w:r w:rsidR="004B79D6">
        <w:rPr>
          <w:color w:val="252525"/>
        </w:rPr>
        <w:t>require</w:t>
      </w:r>
      <w:r w:rsidR="00930D6E">
        <w:rPr>
          <w:color w:val="252525"/>
        </w:rPr>
        <w:t xml:space="preserve">, but </w:t>
      </w:r>
      <w:r w:rsidR="00335900">
        <w:rPr>
          <w:color w:val="252525"/>
        </w:rPr>
        <w:t xml:space="preserve">the </w:t>
      </w:r>
      <w:r w:rsidR="0031458C" w:rsidRPr="0031458C">
        <w:rPr>
          <w:color w:val="252525"/>
        </w:rPr>
        <w:t>Public Notice</w:t>
      </w:r>
      <w:r w:rsidR="00930D6E">
        <w:rPr>
          <w:color w:val="252525"/>
        </w:rPr>
        <w:t xml:space="preserve"> did not </w:t>
      </w:r>
      <w:r w:rsidR="00930D6E" w:rsidRPr="00907754">
        <w:rPr>
          <w:color w:val="252525"/>
        </w:rPr>
        <w:t>adopt</w:t>
      </w:r>
      <w:r w:rsidR="00A938D2">
        <w:rPr>
          <w:color w:val="252525"/>
        </w:rPr>
        <w:t xml:space="preserve"> the rule</w:t>
      </w:r>
      <w:r w:rsidR="00930D6E" w:rsidRPr="00907754">
        <w:rPr>
          <w:color w:val="252525"/>
        </w:rPr>
        <w:t xml:space="preserve">, </w:t>
      </w:r>
      <w:r w:rsidR="00A86F22">
        <w:rPr>
          <w:color w:val="252525"/>
        </w:rPr>
        <w:t xml:space="preserve">or purport to </w:t>
      </w:r>
      <w:r w:rsidR="00930D6E" w:rsidRPr="00907754">
        <w:rPr>
          <w:color w:val="252525"/>
        </w:rPr>
        <w:t>amend</w:t>
      </w:r>
      <w:r w:rsidR="001F67D8">
        <w:rPr>
          <w:color w:val="252525"/>
        </w:rPr>
        <w:t xml:space="preserve"> </w:t>
      </w:r>
      <w:r w:rsidR="00A938D2">
        <w:rPr>
          <w:color w:val="252525"/>
        </w:rPr>
        <w:t>it</w:t>
      </w:r>
      <w:r w:rsidR="004B79D6">
        <w:rPr>
          <w:color w:val="252525"/>
        </w:rPr>
        <w:t xml:space="preserve">.  </w:t>
      </w:r>
      <w:r w:rsidR="00881651">
        <w:rPr>
          <w:color w:val="252525"/>
        </w:rPr>
        <w:t>Nor did t</w:t>
      </w:r>
      <w:r w:rsidR="00881651" w:rsidRPr="00907754">
        <w:rPr>
          <w:color w:val="252525"/>
        </w:rPr>
        <w:t xml:space="preserve">he </w:t>
      </w:r>
      <w:r w:rsidR="0031458C" w:rsidRPr="0031458C">
        <w:rPr>
          <w:color w:val="252525"/>
        </w:rPr>
        <w:t>Public Notice</w:t>
      </w:r>
      <w:r w:rsidR="00881651" w:rsidRPr="00907754">
        <w:rPr>
          <w:color w:val="252525"/>
        </w:rPr>
        <w:t xml:space="preserve"> ma</w:t>
      </w:r>
      <w:r w:rsidR="00881651">
        <w:rPr>
          <w:color w:val="252525"/>
        </w:rPr>
        <w:t xml:space="preserve">ke any </w:t>
      </w:r>
      <w:r w:rsidR="00881651" w:rsidRPr="00907754">
        <w:rPr>
          <w:color w:val="252525"/>
        </w:rPr>
        <w:t xml:space="preserve">determinations on whether specific </w:t>
      </w:r>
      <w:r w:rsidR="00881651">
        <w:rPr>
          <w:color w:val="252525"/>
        </w:rPr>
        <w:t xml:space="preserve">types of conduct by auction </w:t>
      </w:r>
      <w:r w:rsidR="00881651" w:rsidRPr="00907754">
        <w:rPr>
          <w:color w:val="252525"/>
        </w:rPr>
        <w:t>applicant</w:t>
      </w:r>
      <w:r w:rsidR="00881651">
        <w:rPr>
          <w:color w:val="252525"/>
        </w:rPr>
        <w:t>s</w:t>
      </w:r>
      <w:r w:rsidR="00881651" w:rsidRPr="00907754">
        <w:rPr>
          <w:color w:val="252525"/>
        </w:rPr>
        <w:t xml:space="preserve"> </w:t>
      </w:r>
      <w:r w:rsidR="00EB28E5">
        <w:rPr>
          <w:color w:val="252525"/>
        </w:rPr>
        <w:t xml:space="preserve">would </w:t>
      </w:r>
      <w:r w:rsidR="00881651" w:rsidRPr="00907754">
        <w:rPr>
          <w:color w:val="252525"/>
        </w:rPr>
        <w:t>constitute a default or on whether specific conduct, once cured, would render a</w:t>
      </w:r>
      <w:r w:rsidR="00881651">
        <w:rPr>
          <w:color w:val="252525"/>
        </w:rPr>
        <w:t xml:space="preserve"> defaulter a former defaulter.</w:t>
      </w:r>
      <w:r w:rsidR="00881651" w:rsidRPr="00907754">
        <w:rPr>
          <w:color w:val="252525"/>
        </w:rPr>
        <w:t xml:space="preserve">  </w:t>
      </w:r>
      <w:r w:rsidR="00EB28E5">
        <w:rPr>
          <w:color w:val="252525"/>
        </w:rPr>
        <w:t xml:space="preserve">Finally, </w:t>
      </w:r>
      <w:r w:rsidR="00774E2B">
        <w:rPr>
          <w:color w:val="252525"/>
        </w:rPr>
        <w:t>t</w:t>
      </w:r>
      <w:r w:rsidR="00907754" w:rsidRPr="00907754">
        <w:rPr>
          <w:color w:val="252525"/>
        </w:rPr>
        <w:t xml:space="preserve">he </w:t>
      </w:r>
      <w:r w:rsidR="00907754" w:rsidRPr="0045497C">
        <w:rPr>
          <w:i/>
          <w:color w:val="252525"/>
        </w:rPr>
        <w:t xml:space="preserve">Application Procedures </w:t>
      </w:r>
      <w:r w:rsidR="0031458C" w:rsidRPr="0031458C">
        <w:rPr>
          <w:i/>
          <w:color w:val="252525"/>
        </w:rPr>
        <w:t>Public Notice</w:t>
      </w:r>
      <w:r w:rsidR="00907754" w:rsidRPr="00907754">
        <w:rPr>
          <w:color w:val="252525"/>
        </w:rPr>
        <w:t xml:space="preserve"> </w:t>
      </w:r>
      <w:r w:rsidR="00EB28E5">
        <w:rPr>
          <w:color w:val="252525"/>
        </w:rPr>
        <w:t xml:space="preserve">did not </w:t>
      </w:r>
      <w:r w:rsidR="00907754" w:rsidRPr="00907754">
        <w:rPr>
          <w:color w:val="252525"/>
        </w:rPr>
        <w:t>apply the former defaulter rule to the factual circumstances of a</w:t>
      </w:r>
      <w:r w:rsidR="00EB28E5">
        <w:rPr>
          <w:color w:val="252525"/>
        </w:rPr>
        <w:t>ny</w:t>
      </w:r>
      <w:r w:rsidR="00907754" w:rsidRPr="00907754">
        <w:rPr>
          <w:color w:val="252525"/>
        </w:rPr>
        <w:t xml:space="preserve"> specific applicant.</w:t>
      </w:r>
      <w:r w:rsidR="00355BA4">
        <w:rPr>
          <w:rStyle w:val="FootnoteReference"/>
          <w:color w:val="252525"/>
        </w:rPr>
        <w:footnoteReference w:id="69"/>
      </w:r>
      <w:r w:rsidR="00907754" w:rsidRPr="00907754">
        <w:rPr>
          <w:color w:val="252525"/>
        </w:rPr>
        <w:t xml:space="preserve">  </w:t>
      </w:r>
      <w:r w:rsidR="00FC47C5">
        <w:rPr>
          <w:color w:val="252525"/>
        </w:rPr>
        <w:t>I</w:t>
      </w:r>
      <w:r w:rsidR="00597E84">
        <w:rPr>
          <w:color w:val="252525"/>
        </w:rPr>
        <w:t xml:space="preserve">t would be outside the scope of the </w:t>
      </w:r>
      <w:r w:rsidR="00597E84" w:rsidRPr="002D4746">
        <w:rPr>
          <w:i/>
          <w:color w:val="252525"/>
        </w:rPr>
        <w:t xml:space="preserve">Application Procedures </w:t>
      </w:r>
      <w:r w:rsidR="0031458C" w:rsidRPr="0031458C">
        <w:rPr>
          <w:i/>
          <w:color w:val="252525"/>
        </w:rPr>
        <w:t>Public Notice</w:t>
      </w:r>
      <w:r w:rsidR="00597E84" w:rsidRPr="00907754">
        <w:rPr>
          <w:color w:val="252525"/>
        </w:rPr>
        <w:t xml:space="preserve"> </w:t>
      </w:r>
      <w:r w:rsidR="00B21FF6">
        <w:rPr>
          <w:color w:val="252525"/>
        </w:rPr>
        <w:t xml:space="preserve">to make any determination </w:t>
      </w:r>
      <w:r w:rsidR="006703D4">
        <w:rPr>
          <w:color w:val="252525"/>
        </w:rPr>
        <w:t xml:space="preserve">on whether a </w:t>
      </w:r>
      <w:r w:rsidR="00B21FF6">
        <w:rPr>
          <w:color w:val="252525"/>
        </w:rPr>
        <w:t xml:space="preserve">specific </w:t>
      </w:r>
      <w:r w:rsidR="006B6C08">
        <w:rPr>
          <w:color w:val="252525"/>
        </w:rPr>
        <w:t xml:space="preserve">entity that </w:t>
      </w:r>
      <w:r w:rsidR="00A14428">
        <w:rPr>
          <w:color w:val="252525"/>
        </w:rPr>
        <w:t xml:space="preserve">might apply to participate in the auction </w:t>
      </w:r>
      <w:r w:rsidR="0079608E">
        <w:rPr>
          <w:color w:val="252525"/>
        </w:rPr>
        <w:t xml:space="preserve">would be </w:t>
      </w:r>
      <w:r w:rsidR="00A14428">
        <w:rPr>
          <w:color w:val="252525"/>
        </w:rPr>
        <w:t>subject to the requirement of the former defaulter rule</w:t>
      </w:r>
      <w:r w:rsidR="006703D4">
        <w:rPr>
          <w:color w:val="252525"/>
        </w:rPr>
        <w:t xml:space="preserve">.  </w:t>
      </w:r>
      <w:r w:rsidR="00907754" w:rsidRPr="00907754">
        <w:rPr>
          <w:color w:val="252525"/>
        </w:rPr>
        <w:t xml:space="preserve">T-Mobile cannot seek reconsideration of the </w:t>
      </w:r>
      <w:r w:rsidR="00907754" w:rsidRPr="0045497C">
        <w:rPr>
          <w:i/>
          <w:color w:val="252525"/>
        </w:rPr>
        <w:t xml:space="preserve">Application Procedures </w:t>
      </w:r>
      <w:r w:rsidR="0031458C" w:rsidRPr="0031458C">
        <w:rPr>
          <w:i/>
          <w:color w:val="252525"/>
        </w:rPr>
        <w:t>Public Notice</w:t>
      </w:r>
      <w:r w:rsidR="00907754" w:rsidRPr="00907754">
        <w:rPr>
          <w:color w:val="252525"/>
        </w:rPr>
        <w:t xml:space="preserve"> to obtain a </w:t>
      </w:r>
      <w:r w:rsidR="001D5C52">
        <w:rPr>
          <w:color w:val="252525"/>
        </w:rPr>
        <w:t xml:space="preserve">determination </w:t>
      </w:r>
      <w:r w:rsidR="00310083">
        <w:rPr>
          <w:color w:val="252525"/>
        </w:rPr>
        <w:t xml:space="preserve">on a matter </w:t>
      </w:r>
      <w:r w:rsidR="001D5C52">
        <w:rPr>
          <w:color w:val="252525"/>
        </w:rPr>
        <w:t xml:space="preserve">that is not within the scope of the </w:t>
      </w:r>
      <w:r w:rsidR="0031458C" w:rsidRPr="0031458C">
        <w:rPr>
          <w:color w:val="252525"/>
        </w:rPr>
        <w:t>Public Notice</w:t>
      </w:r>
      <w:r w:rsidR="0088773A" w:rsidRPr="0088773A">
        <w:rPr>
          <w:color w:val="252525"/>
        </w:rPr>
        <w:t xml:space="preserve"> </w:t>
      </w:r>
      <w:r w:rsidR="0088773A">
        <w:rPr>
          <w:color w:val="252525"/>
        </w:rPr>
        <w:t xml:space="preserve">because there is nothing in the </w:t>
      </w:r>
      <w:r w:rsidR="0031458C" w:rsidRPr="0031458C">
        <w:rPr>
          <w:color w:val="252525"/>
        </w:rPr>
        <w:t>Public Notice</w:t>
      </w:r>
      <w:r w:rsidR="0088773A">
        <w:rPr>
          <w:color w:val="252525"/>
        </w:rPr>
        <w:t xml:space="preserve"> as to which T-Mobile has been “aggrieved or [as to which its] interests are adversely affected.”</w:t>
      </w:r>
      <w:r w:rsidR="00FB5845">
        <w:rPr>
          <w:rStyle w:val="FootnoteReference"/>
          <w:color w:val="252525"/>
        </w:rPr>
        <w:footnoteReference w:id="70"/>
      </w:r>
      <w:r w:rsidR="00B451E5">
        <w:rPr>
          <w:color w:val="252525"/>
        </w:rPr>
        <w:t xml:space="preserve"> </w:t>
      </w:r>
    </w:p>
    <w:p w:rsidR="00EF362C" w:rsidRPr="00EF362C" w:rsidRDefault="003F7769" w:rsidP="00BB7F13">
      <w:pPr>
        <w:pStyle w:val="ParaNum"/>
        <w:widowControl/>
        <w:numPr>
          <w:ilvl w:val="0"/>
          <w:numId w:val="22"/>
        </w:numPr>
        <w:tabs>
          <w:tab w:val="clear" w:pos="1080"/>
          <w:tab w:val="num" w:pos="1440"/>
        </w:tabs>
        <w:spacing w:after="120"/>
        <w:jc w:val="left"/>
      </w:pPr>
      <w:r>
        <w:t xml:space="preserve">As an alternative </w:t>
      </w:r>
      <w:r w:rsidRPr="00476ACF">
        <w:rPr>
          <w:color w:val="252525"/>
        </w:rPr>
        <w:t xml:space="preserve">to its petition for reconsideration, T-Mobile seeks a declaratory ruling that for purposes of the DISH entities’ participation in the incentive auction, they are “former defaulters” under section 1.2106(a) of the competitive bidding rules.  </w:t>
      </w:r>
      <w:r w:rsidR="00FA354C">
        <w:rPr>
          <w:color w:val="252525"/>
        </w:rPr>
        <w:t>In its reply, T-Mobile argues that the Commission “need not consider” its petition for reconsideration, and should issue a declaratory ruling “addressing the former defaulter rule” in this context.</w:t>
      </w:r>
      <w:r w:rsidR="00FA354C">
        <w:rPr>
          <w:rStyle w:val="FootnoteReference"/>
          <w:color w:val="252525"/>
        </w:rPr>
        <w:footnoteReference w:id="71"/>
      </w:r>
      <w:r w:rsidR="00FA354C">
        <w:rPr>
          <w:color w:val="252525"/>
        </w:rPr>
        <w:t xml:space="preserve">  </w:t>
      </w:r>
      <w:r w:rsidR="007C7202" w:rsidRPr="00476ACF">
        <w:rPr>
          <w:color w:val="252525"/>
        </w:rPr>
        <w:t>We find that a declaratory ruling in</w:t>
      </w:r>
      <w:r w:rsidR="00172168" w:rsidRPr="00476ACF">
        <w:rPr>
          <w:color w:val="252525"/>
        </w:rPr>
        <w:t xml:space="preserve"> </w:t>
      </w:r>
      <w:r w:rsidR="007C7202" w:rsidRPr="00476ACF">
        <w:rPr>
          <w:color w:val="252525"/>
        </w:rPr>
        <w:t xml:space="preserve">this instance would be </w:t>
      </w:r>
      <w:r w:rsidR="00FF3EE2">
        <w:rPr>
          <w:color w:val="252525"/>
        </w:rPr>
        <w:t>inappropriate</w:t>
      </w:r>
      <w:r w:rsidR="00FA354C">
        <w:rPr>
          <w:color w:val="252525"/>
        </w:rPr>
        <w:t xml:space="preserve">.  We also find that T-Mobile’s requested declaratory ruling would be an </w:t>
      </w:r>
      <w:r w:rsidR="00FF3EE2">
        <w:rPr>
          <w:color w:val="252525"/>
        </w:rPr>
        <w:t>improper</w:t>
      </w:r>
      <w:r w:rsidR="00FA354C">
        <w:rPr>
          <w:color w:val="252525"/>
        </w:rPr>
        <w:t xml:space="preserve"> way of amending </w:t>
      </w:r>
      <w:r w:rsidR="0014753B">
        <w:rPr>
          <w:color w:val="252525"/>
        </w:rPr>
        <w:t xml:space="preserve">Section </w:t>
      </w:r>
      <w:r w:rsidR="00FA354C">
        <w:rPr>
          <w:color w:val="252525"/>
        </w:rPr>
        <w:t xml:space="preserve">1.2106(a), and in any event </w:t>
      </w:r>
      <w:r w:rsidR="000B091D">
        <w:rPr>
          <w:color w:val="252525"/>
        </w:rPr>
        <w:t xml:space="preserve">would be </w:t>
      </w:r>
      <w:r w:rsidR="00FA354C">
        <w:rPr>
          <w:color w:val="252525"/>
        </w:rPr>
        <w:t>inconsistent with the Commission’s prior findings with respect to the DISH entities’ conduct.  Accordingly,</w:t>
      </w:r>
      <w:r w:rsidR="007C7202" w:rsidRPr="00476ACF">
        <w:rPr>
          <w:color w:val="252525"/>
        </w:rPr>
        <w:t xml:space="preserve"> we decline </w:t>
      </w:r>
      <w:r w:rsidR="00476ACF" w:rsidRPr="00476ACF">
        <w:rPr>
          <w:color w:val="252525"/>
        </w:rPr>
        <w:t>to issue the declaratory ruling T-Mobile requests.</w:t>
      </w:r>
    </w:p>
    <w:p w:rsidR="00E4369D" w:rsidRDefault="00EF362C" w:rsidP="00BB7F13">
      <w:pPr>
        <w:pStyle w:val="ParaNum"/>
        <w:widowControl/>
        <w:numPr>
          <w:ilvl w:val="0"/>
          <w:numId w:val="22"/>
        </w:numPr>
        <w:tabs>
          <w:tab w:val="clear" w:pos="1080"/>
          <w:tab w:val="num" w:pos="1440"/>
        </w:tabs>
        <w:spacing w:after="120"/>
        <w:jc w:val="left"/>
      </w:pPr>
      <w:r w:rsidRPr="0043508E">
        <w:rPr>
          <w:color w:val="252525"/>
        </w:rPr>
        <w:t>The window for filing</w:t>
      </w:r>
      <w:r w:rsidR="00476ACF" w:rsidRPr="0043508E">
        <w:rPr>
          <w:color w:val="252525"/>
        </w:rPr>
        <w:t xml:space="preserve"> </w:t>
      </w:r>
      <w:r w:rsidR="00B637BC" w:rsidRPr="0043508E">
        <w:rPr>
          <w:color w:val="252525"/>
        </w:rPr>
        <w:t>short form applications to participate in the forward auction open</w:t>
      </w:r>
      <w:r w:rsidR="00F0109E">
        <w:rPr>
          <w:color w:val="252525"/>
        </w:rPr>
        <w:t>ed</w:t>
      </w:r>
      <w:r w:rsidR="00B637BC" w:rsidRPr="0043508E">
        <w:rPr>
          <w:color w:val="252525"/>
        </w:rPr>
        <w:t xml:space="preserve"> </w:t>
      </w:r>
      <w:r w:rsidR="00F0109E">
        <w:rPr>
          <w:color w:val="252525"/>
        </w:rPr>
        <w:t xml:space="preserve">on </w:t>
      </w:r>
      <w:r w:rsidR="00E048AD" w:rsidRPr="0043508E">
        <w:rPr>
          <w:color w:val="252525"/>
        </w:rPr>
        <w:t xml:space="preserve">January </w:t>
      </w:r>
      <w:r w:rsidR="00B637BC" w:rsidRPr="0025609C">
        <w:rPr>
          <w:color w:val="000000"/>
        </w:rPr>
        <w:t>2</w:t>
      </w:r>
      <w:r w:rsidR="00F0109E" w:rsidRPr="0025609C">
        <w:rPr>
          <w:color w:val="000000"/>
        </w:rPr>
        <w:t>7</w:t>
      </w:r>
      <w:r w:rsidR="00B637BC" w:rsidRPr="0025609C">
        <w:rPr>
          <w:color w:val="000000"/>
        </w:rPr>
        <w:t xml:space="preserve">, </w:t>
      </w:r>
      <w:r w:rsidR="00B637BC" w:rsidRPr="0043508E">
        <w:rPr>
          <w:color w:val="252525"/>
        </w:rPr>
        <w:t>2016</w:t>
      </w:r>
      <w:r w:rsidR="00E048AD" w:rsidRPr="0043508E">
        <w:rPr>
          <w:color w:val="252525"/>
        </w:rPr>
        <w:t xml:space="preserve">, and the filing deadline is </w:t>
      </w:r>
      <w:r w:rsidR="00E048AD" w:rsidRPr="004F34CF">
        <w:rPr>
          <w:color w:val="252525"/>
        </w:rPr>
        <w:t xml:space="preserve">February </w:t>
      </w:r>
      <w:r w:rsidR="00067EDA" w:rsidRPr="004F34CF">
        <w:rPr>
          <w:color w:val="252525"/>
        </w:rPr>
        <w:t>10</w:t>
      </w:r>
      <w:r w:rsidR="00E048AD" w:rsidRPr="0043508E">
        <w:rPr>
          <w:color w:val="252525"/>
        </w:rPr>
        <w:t>, 2016.</w:t>
      </w:r>
      <w:r w:rsidR="00067EDA">
        <w:rPr>
          <w:rStyle w:val="FootnoteReference"/>
          <w:color w:val="252525"/>
        </w:rPr>
        <w:footnoteReference w:id="72"/>
      </w:r>
      <w:r w:rsidR="00E048AD" w:rsidRPr="0043508E">
        <w:rPr>
          <w:color w:val="252525"/>
        </w:rPr>
        <w:t xml:space="preserve">  </w:t>
      </w:r>
      <w:r w:rsidR="004939D3" w:rsidRPr="0043508E">
        <w:rPr>
          <w:color w:val="252525"/>
        </w:rPr>
        <w:t xml:space="preserve">At this junction, it is unknown whether any of the DISH entities </w:t>
      </w:r>
      <w:r w:rsidR="00ED3E53" w:rsidRPr="0043508E">
        <w:rPr>
          <w:color w:val="252525"/>
        </w:rPr>
        <w:t>will submit an application to participate in the forward a</w:t>
      </w:r>
      <w:r w:rsidR="006E5D29" w:rsidRPr="0043508E">
        <w:rPr>
          <w:color w:val="252525"/>
        </w:rPr>
        <w:t xml:space="preserve">uction. </w:t>
      </w:r>
      <w:r w:rsidR="007B1C2A">
        <w:rPr>
          <w:color w:val="252525"/>
        </w:rPr>
        <w:t xml:space="preserve"> </w:t>
      </w:r>
      <w:r w:rsidR="006E5D29" w:rsidRPr="0043508E">
        <w:rPr>
          <w:color w:val="252525"/>
        </w:rPr>
        <w:t xml:space="preserve">Moreover, </w:t>
      </w:r>
      <w:r w:rsidR="005C231B" w:rsidRPr="0043508E">
        <w:rPr>
          <w:color w:val="252525"/>
        </w:rPr>
        <w:t>it remains to be seen</w:t>
      </w:r>
      <w:r w:rsidR="00E048AD" w:rsidRPr="0043508E">
        <w:rPr>
          <w:color w:val="252525"/>
        </w:rPr>
        <w:t xml:space="preserve"> </w:t>
      </w:r>
      <w:r w:rsidR="005C231B" w:rsidRPr="00BB7F13">
        <w:t>what</w:t>
      </w:r>
      <w:r w:rsidR="005C231B" w:rsidRPr="0043508E">
        <w:rPr>
          <w:color w:val="252525"/>
        </w:rPr>
        <w:t xml:space="preserve"> the applicant </w:t>
      </w:r>
      <w:r w:rsidR="00C608D8" w:rsidRPr="0043508E">
        <w:rPr>
          <w:color w:val="252525"/>
        </w:rPr>
        <w:t xml:space="preserve">submitting such </w:t>
      </w:r>
      <w:r w:rsidR="00CD2A3B" w:rsidRPr="0043508E">
        <w:rPr>
          <w:color w:val="252525"/>
        </w:rPr>
        <w:t xml:space="preserve">an application </w:t>
      </w:r>
      <w:r w:rsidR="00C608D8" w:rsidRPr="0043508E">
        <w:rPr>
          <w:color w:val="252525"/>
        </w:rPr>
        <w:t xml:space="preserve">will state </w:t>
      </w:r>
      <w:r w:rsidR="00B557B8" w:rsidRPr="0043508E">
        <w:rPr>
          <w:color w:val="252525"/>
        </w:rPr>
        <w:t xml:space="preserve">in its application </w:t>
      </w:r>
      <w:r w:rsidR="00C608D8" w:rsidRPr="0043508E">
        <w:rPr>
          <w:color w:val="252525"/>
        </w:rPr>
        <w:t xml:space="preserve">with regard to its status under </w:t>
      </w:r>
      <w:r w:rsidR="00EB4BA7" w:rsidRPr="0043508E">
        <w:rPr>
          <w:color w:val="252525"/>
        </w:rPr>
        <w:t xml:space="preserve">the former defaulter </w:t>
      </w:r>
      <w:r w:rsidR="00FE445F" w:rsidRPr="0043508E">
        <w:rPr>
          <w:color w:val="252525"/>
        </w:rPr>
        <w:t xml:space="preserve">rule.  </w:t>
      </w:r>
      <w:r w:rsidR="00224703">
        <w:rPr>
          <w:color w:val="252525"/>
        </w:rPr>
        <w:t>The Commission may exercise its discretion to issue a</w:t>
      </w:r>
      <w:r w:rsidR="00FE445F" w:rsidRPr="0043508E">
        <w:rPr>
          <w:color w:val="252525"/>
        </w:rPr>
        <w:t xml:space="preserve"> declaratory ruling </w:t>
      </w:r>
      <w:r w:rsidR="00DE3DFB" w:rsidRPr="0043508E">
        <w:rPr>
          <w:color w:val="252525"/>
        </w:rPr>
        <w:t xml:space="preserve">when it will </w:t>
      </w:r>
      <w:r w:rsidR="00FE445F" w:rsidRPr="0043508E">
        <w:rPr>
          <w:color w:val="252525"/>
        </w:rPr>
        <w:t>terminate a controversy or remove uncertainty.</w:t>
      </w:r>
      <w:r w:rsidR="00DE3DFB">
        <w:rPr>
          <w:rStyle w:val="FootnoteReference"/>
          <w:color w:val="252525"/>
        </w:rPr>
        <w:footnoteReference w:id="73"/>
      </w:r>
      <w:r w:rsidR="00DE3DFB" w:rsidRPr="0043508E">
        <w:rPr>
          <w:color w:val="252525"/>
        </w:rPr>
        <w:t xml:space="preserve"> </w:t>
      </w:r>
      <w:r w:rsidR="00FE445F" w:rsidRPr="0025609C">
        <w:rPr>
          <w:rStyle w:val="Emphasis"/>
          <w:color w:val="000000"/>
        </w:rPr>
        <w:t xml:space="preserve"> </w:t>
      </w:r>
      <w:r w:rsidR="00DE3DFB" w:rsidRPr="0025609C">
        <w:rPr>
          <w:rStyle w:val="Emphasis"/>
          <w:i w:val="0"/>
          <w:color w:val="000000"/>
        </w:rPr>
        <w:t>Here, the controversy is of T-Mobile’s own making</w:t>
      </w:r>
      <w:r w:rsidR="00713784" w:rsidRPr="0025609C">
        <w:rPr>
          <w:rStyle w:val="Emphasis"/>
          <w:i w:val="0"/>
          <w:color w:val="000000"/>
        </w:rPr>
        <w:t xml:space="preserve">, </w:t>
      </w:r>
      <w:r w:rsidR="00E35A88" w:rsidRPr="0025609C">
        <w:rPr>
          <w:rStyle w:val="Emphasis"/>
          <w:i w:val="0"/>
          <w:color w:val="000000"/>
        </w:rPr>
        <w:t>in advance of any determination by</w:t>
      </w:r>
      <w:r w:rsidR="00713784" w:rsidRPr="0025609C">
        <w:rPr>
          <w:rStyle w:val="Emphasis"/>
          <w:i w:val="0"/>
          <w:color w:val="000000"/>
        </w:rPr>
        <w:t xml:space="preserve"> any of the DISH entities </w:t>
      </w:r>
      <w:r w:rsidR="00E35A88" w:rsidRPr="0025609C">
        <w:rPr>
          <w:rStyle w:val="Emphasis"/>
          <w:i w:val="0"/>
          <w:color w:val="000000"/>
        </w:rPr>
        <w:t xml:space="preserve">to </w:t>
      </w:r>
      <w:r w:rsidR="00713784" w:rsidRPr="0025609C">
        <w:rPr>
          <w:rStyle w:val="Emphasis"/>
          <w:i w:val="0"/>
          <w:color w:val="000000"/>
        </w:rPr>
        <w:t xml:space="preserve">submit an application </w:t>
      </w:r>
      <w:r w:rsidR="00990B15" w:rsidRPr="0025609C">
        <w:rPr>
          <w:rStyle w:val="Emphasis"/>
          <w:i w:val="0"/>
          <w:color w:val="000000"/>
        </w:rPr>
        <w:t xml:space="preserve">and become a qualified bidder </w:t>
      </w:r>
      <w:r w:rsidR="00713784" w:rsidRPr="0025609C">
        <w:rPr>
          <w:rStyle w:val="Emphasis"/>
          <w:i w:val="0"/>
          <w:color w:val="000000"/>
        </w:rPr>
        <w:t>in the forward auction</w:t>
      </w:r>
      <w:r w:rsidR="00E35A88" w:rsidRPr="0025609C">
        <w:rPr>
          <w:rStyle w:val="Emphasis"/>
          <w:i w:val="0"/>
          <w:color w:val="000000"/>
        </w:rPr>
        <w:t>.</w:t>
      </w:r>
      <w:r w:rsidR="00713784" w:rsidRPr="0025609C">
        <w:rPr>
          <w:rStyle w:val="Emphasis"/>
          <w:i w:val="0"/>
          <w:color w:val="000000"/>
        </w:rPr>
        <w:t xml:space="preserve"> </w:t>
      </w:r>
      <w:r w:rsidR="00E35A88" w:rsidRPr="0025609C">
        <w:rPr>
          <w:rStyle w:val="Emphasis"/>
          <w:i w:val="0"/>
          <w:color w:val="000000"/>
        </w:rPr>
        <w:t xml:space="preserve"> T</w:t>
      </w:r>
      <w:r w:rsidR="00F864EB" w:rsidRPr="0025609C">
        <w:rPr>
          <w:rStyle w:val="Emphasis"/>
          <w:i w:val="0"/>
          <w:color w:val="000000"/>
        </w:rPr>
        <w:t>he</w:t>
      </w:r>
      <w:r w:rsidR="009F45D8" w:rsidRPr="0025609C">
        <w:rPr>
          <w:rStyle w:val="Emphasis"/>
          <w:i w:val="0"/>
          <w:color w:val="000000"/>
        </w:rPr>
        <w:t xml:space="preserve"> </w:t>
      </w:r>
      <w:r w:rsidR="00713784" w:rsidRPr="0025609C">
        <w:rPr>
          <w:rStyle w:val="Emphasis"/>
          <w:i w:val="0"/>
          <w:color w:val="000000"/>
        </w:rPr>
        <w:t xml:space="preserve">uncertainty </w:t>
      </w:r>
      <w:r w:rsidR="00F864EB" w:rsidRPr="0025609C">
        <w:rPr>
          <w:rStyle w:val="Emphasis"/>
          <w:i w:val="0"/>
          <w:color w:val="000000"/>
        </w:rPr>
        <w:t>a prospective applicant</w:t>
      </w:r>
      <w:r w:rsidR="00990B15" w:rsidRPr="0025609C">
        <w:rPr>
          <w:rStyle w:val="Emphasis"/>
          <w:i w:val="0"/>
          <w:color w:val="000000"/>
        </w:rPr>
        <w:t xml:space="preserve"> </w:t>
      </w:r>
      <w:r w:rsidR="009F45D8" w:rsidRPr="0025609C">
        <w:rPr>
          <w:rStyle w:val="Emphasis"/>
          <w:i w:val="0"/>
          <w:color w:val="000000"/>
        </w:rPr>
        <w:t xml:space="preserve">faces in </w:t>
      </w:r>
      <w:r w:rsidR="00990B15" w:rsidRPr="0025609C">
        <w:rPr>
          <w:rStyle w:val="Emphasis"/>
          <w:i w:val="0"/>
          <w:color w:val="000000"/>
        </w:rPr>
        <w:t xml:space="preserve">not knowing whether a potentially competing bidder will be required to make a </w:t>
      </w:r>
      <w:r w:rsidR="00633BEF" w:rsidRPr="0025609C">
        <w:rPr>
          <w:rStyle w:val="Emphasis"/>
          <w:i w:val="0"/>
          <w:color w:val="000000"/>
        </w:rPr>
        <w:t>larger</w:t>
      </w:r>
      <w:r w:rsidR="00990B15" w:rsidRPr="0025609C">
        <w:rPr>
          <w:rStyle w:val="Emphasis"/>
          <w:i w:val="0"/>
          <w:color w:val="000000"/>
        </w:rPr>
        <w:t xml:space="preserve"> upfront payment</w:t>
      </w:r>
      <w:r w:rsidR="00E4369D" w:rsidRPr="0025609C">
        <w:rPr>
          <w:rStyle w:val="Emphasis"/>
          <w:i w:val="0"/>
          <w:color w:val="000000"/>
        </w:rPr>
        <w:t xml:space="preserve"> </w:t>
      </w:r>
      <w:r w:rsidR="00E35A88">
        <w:t xml:space="preserve">is </w:t>
      </w:r>
      <w:r w:rsidR="00E4369D">
        <w:t xml:space="preserve">inherent in the pre-auction process and </w:t>
      </w:r>
      <w:r w:rsidR="00850636">
        <w:t xml:space="preserve">faced by all </w:t>
      </w:r>
      <w:r w:rsidR="00E4369D">
        <w:t>competing bidders in our spectrum auctions.</w:t>
      </w:r>
      <w:r w:rsidR="00397492">
        <w:rPr>
          <w:rStyle w:val="FootnoteReference"/>
        </w:rPr>
        <w:footnoteReference w:id="74"/>
      </w:r>
      <w:r w:rsidR="00E4369D">
        <w:t xml:space="preserve"> </w:t>
      </w:r>
    </w:p>
    <w:p w:rsidR="00690BAB" w:rsidRPr="00691CDF" w:rsidRDefault="0010526D" w:rsidP="00BB7F13">
      <w:pPr>
        <w:pStyle w:val="ParaNum"/>
        <w:widowControl/>
        <w:numPr>
          <w:ilvl w:val="0"/>
          <w:numId w:val="22"/>
        </w:numPr>
        <w:tabs>
          <w:tab w:val="clear" w:pos="1080"/>
          <w:tab w:val="num" w:pos="1440"/>
        </w:tabs>
        <w:spacing w:after="120"/>
        <w:jc w:val="left"/>
      </w:pPr>
      <w:r w:rsidRPr="0010526D">
        <w:rPr>
          <w:color w:val="252525"/>
        </w:rPr>
        <w:t>The Commission is not obligated to issue advisory opinions in response to a request for declaratory ruling and in numerous cases has found it inappropriate to do so.</w:t>
      </w:r>
      <w:r w:rsidR="007E5F7B">
        <w:rPr>
          <w:rStyle w:val="FootnoteReference"/>
          <w:color w:val="252525"/>
        </w:rPr>
        <w:footnoteReference w:id="75"/>
      </w:r>
      <w:r w:rsidRPr="0010526D">
        <w:rPr>
          <w:color w:val="252525"/>
        </w:rPr>
        <w:t xml:space="preserve">  </w:t>
      </w:r>
      <w:r w:rsidR="00880482">
        <w:rPr>
          <w:color w:val="252525"/>
        </w:rPr>
        <w:t xml:space="preserve">In the </w:t>
      </w:r>
      <w:r w:rsidR="00607D09">
        <w:rPr>
          <w:color w:val="252525"/>
        </w:rPr>
        <w:t xml:space="preserve">particular </w:t>
      </w:r>
      <w:r w:rsidR="00880482">
        <w:rPr>
          <w:color w:val="252525"/>
        </w:rPr>
        <w:t xml:space="preserve">context of the Commission’s spectrum auctions program, </w:t>
      </w:r>
      <w:r w:rsidR="00880482" w:rsidRPr="00880482">
        <w:rPr>
          <w:color w:val="252525"/>
        </w:rPr>
        <w:t>the Commission has previously refused to issue a declaratory ruling in advance of a</w:t>
      </w:r>
      <w:r w:rsidR="00477430">
        <w:rPr>
          <w:color w:val="252525"/>
        </w:rPr>
        <w:t>n</w:t>
      </w:r>
      <w:r w:rsidR="00880482" w:rsidRPr="00880482">
        <w:rPr>
          <w:color w:val="252525"/>
        </w:rPr>
        <w:t xml:space="preserve"> </w:t>
      </w:r>
      <w:r w:rsidR="00477430">
        <w:rPr>
          <w:color w:val="252525"/>
        </w:rPr>
        <w:t>a</w:t>
      </w:r>
      <w:r w:rsidR="00880482" w:rsidRPr="00880482">
        <w:rPr>
          <w:color w:val="252525"/>
        </w:rPr>
        <w:t>uction about how certain rules will be applied to particular circumstances of individual applications, noting that it would be premature to do so.</w:t>
      </w:r>
      <w:r w:rsidR="00477430">
        <w:rPr>
          <w:rStyle w:val="FootnoteReference"/>
          <w:color w:val="252525"/>
        </w:rPr>
        <w:footnoteReference w:id="76"/>
      </w:r>
      <w:r w:rsidR="00880482" w:rsidRPr="00880482">
        <w:rPr>
          <w:color w:val="252525"/>
        </w:rPr>
        <w:t xml:space="preserve"> </w:t>
      </w:r>
      <w:r w:rsidR="00E957CF">
        <w:rPr>
          <w:color w:val="252525"/>
        </w:rPr>
        <w:t xml:space="preserve"> </w:t>
      </w:r>
      <w:r w:rsidR="00BA7365">
        <w:rPr>
          <w:color w:val="252525"/>
        </w:rPr>
        <w:t xml:space="preserve">T-Mobile </w:t>
      </w:r>
      <w:r w:rsidR="00896E84">
        <w:rPr>
          <w:color w:val="252525"/>
        </w:rPr>
        <w:t>present</w:t>
      </w:r>
      <w:r w:rsidR="006349FC">
        <w:rPr>
          <w:color w:val="252525"/>
        </w:rPr>
        <w:t>s</w:t>
      </w:r>
      <w:r w:rsidR="00896E84">
        <w:rPr>
          <w:color w:val="252525"/>
        </w:rPr>
        <w:t xml:space="preserve"> no</w:t>
      </w:r>
      <w:r w:rsidR="00BA7365">
        <w:rPr>
          <w:color w:val="252525"/>
        </w:rPr>
        <w:t xml:space="preserve"> </w:t>
      </w:r>
      <w:r w:rsidR="004669D5">
        <w:rPr>
          <w:color w:val="252525"/>
        </w:rPr>
        <w:t xml:space="preserve">circumstance or </w:t>
      </w:r>
      <w:r w:rsidR="006349FC">
        <w:rPr>
          <w:color w:val="252525"/>
        </w:rPr>
        <w:t xml:space="preserve">argument that </w:t>
      </w:r>
      <w:r w:rsidR="00BA7365">
        <w:rPr>
          <w:color w:val="252525"/>
        </w:rPr>
        <w:t>persuade</w:t>
      </w:r>
      <w:r w:rsidR="006349FC">
        <w:rPr>
          <w:color w:val="252525"/>
        </w:rPr>
        <w:t>s</w:t>
      </w:r>
      <w:r w:rsidR="00BA7365">
        <w:rPr>
          <w:color w:val="252525"/>
        </w:rPr>
        <w:t xml:space="preserve"> us </w:t>
      </w:r>
      <w:r w:rsidR="006349FC">
        <w:rPr>
          <w:color w:val="252525"/>
        </w:rPr>
        <w:t xml:space="preserve">to </w:t>
      </w:r>
      <w:r w:rsidR="00BA7365">
        <w:rPr>
          <w:color w:val="252525"/>
        </w:rPr>
        <w:t xml:space="preserve">depart from this </w:t>
      </w:r>
      <w:r w:rsidR="00896E84">
        <w:rPr>
          <w:color w:val="252525"/>
        </w:rPr>
        <w:t>precedent.</w:t>
      </w:r>
      <w:r w:rsidR="00BA7365">
        <w:rPr>
          <w:color w:val="252525"/>
        </w:rPr>
        <w:t xml:space="preserve"> </w:t>
      </w:r>
    </w:p>
    <w:p w:rsidR="001E1D2E" w:rsidRPr="001E1D2E" w:rsidRDefault="00691CDF" w:rsidP="00BB7F13">
      <w:pPr>
        <w:pStyle w:val="ParaNum"/>
        <w:widowControl/>
        <w:numPr>
          <w:ilvl w:val="0"/>
          <w:numId w:val="22"/>
        </w:numPr>
        <w:tabs>
          <w:tab w:val="clear" w:pos="1080"/>
          <w:tab w:val="num" w:pos="1440"/>
        </w:tabs>
        <w:spacing w:after="120"/>
        <w:jc w:val="left"/>
      </w:pPr>
      <w:r w:rsidRPr="00687F19">
        <w:rPr>
          <w:color w:val="252525"/>
        </w:rPr>
        <w:t xml:space="preserve">Moreover, even if we were inclined to </w:t>
      </w:r>
      <w:r w:rsidR="00E62A92" w:rsidRPr="00687F19">
        <w:rPr>
          <w:color w:val="252525"/>
        </w:rPr>
        <w:t>issue de</w:t>
      </w:r>
      <w:r w:rsidR="00752450" w:rsidRPr="00687F19">
        <w:rPr>
          <w:color w:val="252525"/>
        </w:rPr>
        <w:t>c</w:t>
      </w:r>
      <w:r w:rsidR="00E62A92" w:rsidRPr="00687F19">
        <w:rPr>
          <w:color w:val="252525"/>
        </w:rPr>
        <w:t>laratory ruling</w:t>
      </w:r>
      <w:r w:rsidR="00E43E5B" w:rsidRPr="00687F19">
        <w:rPr>
          <w:color w:val="252525"/>
        </w:rPr>
        <w:t>s on</w:t>
      </w:r>
      <w:r w:rsidR="00E62A92" w:rsidRPr="00687F19">
        <w:rPr>
          <w:color w:val="252525"/>
        </w:rPr>
        <w:t xml:space="preserve"> </w:t>
      </w:r>
      <w:r w:rsidR="00752450" w:rsidRPr="00687F19">
        <w:rPr>
          <w:color w:val="252525"/>
        </w:rPr>
        <w:t>individual application</w:t>
      </w:r>
      <w:r w:rsidR="00CF35DE" w:rsidRPr="00687F19">
        <w:rPr>
          <w:color w:val="252525"/>
        </w:rPr>
        <w:t>s in advance of an auction</w:t>
      </w:r>
      <w:r w:rsidR="003371E1">
        <w:rPr>
          <w:color w:val="252525"/>
        </w:rPr>
        <w:t xml:space="preserve">, </w:t>
      </w:r>
      <w:r w:rsidR="00E43E5B" w:rsidRPr="00687F19">
        <w:rPr>
          <w:color w:val="252525"/>
        </w:rPr>
        <w:t>we would not do so in this instance.</w:t>
      </w:r>
      <w:r w:rsidR="00687F19" w:rsidRPr="00687F19">
        <w:rPr>
          <w:color w:val="252525"/>
        </w:rPr>
        <w:t xml:space="preserve">  </w:t>
      </w:r>
      <w:r w:rsidR="002C349F" w:rsidRPr="00687F19">
        <w:rPr>
          <w:color w:val="252525"/>
        </w:rPr>
        <w:t xml:space="preserve">T-Mobile </w:t>
      </w:r>
      <w:r w:rsidR="00E128F6" w:rsidRPr="00687F19">
        <w:rPr>
          <w:color w:val="252525"/>
        </w:rPr>
        <w:t>argues that the Commi</w:t>
      </w:r>
      <w:r w:rsidR="00B27844" w:rsidRPr="00687F19">
        <w:rPr>
          <w:color w:val="252525"/>
        </w:rPr>
        <w:t>s</w:t>
      </w:r>
      <w:r w:rsidR="00E128F6" w:rsidRPr="00687F19">
        <w:rPr>
          <w:color w:val="252525"/>
        </w:rPr>
        <w:t>s</w:t>
      </w:r>
      <w:r w:rsidR="00B27844" w:rsidRPr="00687F19">
        <w:rPr>
          <w:color w:val="252525"/>
        </w:rPr>
        <w:t>i</w:t>
      </w:r>
      <w:r w:rsidR="00E128F6" w:rsidRPr="00687F19">
        <w:rPr>
          <w:color w:val="252525"/>
        </w:rPr>
        <w:t>on must declare the DISH entit</w:t>
      </w:r>
      <w:r w:rsidR="00B27844" w:rsidRPr="00687F19">
        <w:rPr>
          <w:color w:val="252525"/>
        </w:rPr>
        <w:t>i</w:t>
      </w:r>
      <w:r w:rsidR="00E128F6" w:rsidRPr="00687F19">
        <w:rPr>
          <w:color w:val="252525"/>
        </w:rPr>
        <w:t>es</w:t>
      </w:r>
      <w:r w:rsidR="00B27844" w:rsidRPr="00687F19">
        <w:rPr>
          <w:color w:val="252525"/>
        </w:rPr>
        <w:t xml:space="preserve"> to be “former defaulters” </w:t>
      </w:r>
      <w:r w:rsidR="000355DD" w:rsidRPr="00687F19">
        <w:rPr>
          <w:color w:val="252525"/>
        </w:rPr>
        <w:t>as a</w:t>
      </w:r>
      <w:r w:rsidR="00912114" w:rsidRPr="00687F19">
        <w:rPr>
          <w:color w:val="252525"/>
        </w:rPr>
        <w:t xml:space="preserve">n </w:t>
      </w:r>
      <w:r w:rsidR="000E4A5C" w:rsidRPr="00687F19">
        <w:rPr>
          <w:color w:val="252525"/>
        </w:rPr>
        <w:t>“</w:t>
      </w:r>
      <w:r w:rsidR="00912114" w:rsidRPr="00687F19">
        <w:rPr>
          <w:color w:val="252525"/>
        </w:rPr>
        <w:t xml:space="preserve">appropriate </w:t>
      </w:r>
      <w:r w:rsidR="000E4A5C" w:rsidRPr="00687F19">
        <w:rPr>
          <w:color w:val="252525"/>
        </w:rPr>
        <w:t xml:space="preserve">remedy” </w:t>
      </w:r>
      <w:r w:rsidR="00912114" w:rsidRPr="00687F19">
        <w:rPr>
          <w:color w:val="252525"/>
        </w:rPr>
        <w:t xml:space="preserve">that will </w:t>
      </w:r>
      <w:r w:rsidR="000E4A5C" w:rsidRPr="00687F19">
        <w:rPr>
          <w:color w:val="252525"/>
        </w:rPr>
        <w:t>h</w:t>
      </w:r>
      <w:r w:rsidR="00540DAD" w:rsidRPr="00687F19">
        <w:rPr>
          <w:color w:val="252525"/>
        </w:rPr>
        <w:t xml:space="preserve">old </w:t>
      </w:r>
      <w:r w:rsidR="000E4A5C" w:rsidRPr="00687F19">
        <w:rPr>
          <w:color w:val="252525"/>
        </w:rPr>
        <w:t>the</w:t>
      </w:r>
      <w:r w:rsidR="00912114" w:rsidRPr="00687F19">
        <w:rPr>
          <w:color w:val="252525"/>
        </w:rPr>
        <w:t xml:space="preserve">m </w:t>
      </w:r>
      <w:r w:rsidR="009C7A94" w:rsidRPr="00687F19">
        <w:rPr>
          <w:color w:val="252525"/>
        </w:rPr>
        <w:t>“</w:t>
      </w:r>
      <w:r w:rsidR="00540DAD" w:rsidRPr="00687F19">
        <w:rPr>
          <w:color w:val="252525"/>
        </w:rPr>
        <w:t xml:space="preserve">accountable </w:t>
      </w:r>
      <w:r w:rsidR="009C7A94" w:rsidRPr="00687F19">
        <w:rPr>
          <w:color w:val="252525"/>
        </w:rPr>
        <w:t>for their improper behavior</w:t>
      </w:r>
      <w:r w:rsidR="00912114" w:rsidRPr="00687F19">
        <w:rPr>
          <w:color w:val="252525"/>
        </w:rPr>
        <w:t>”</w:t>
      </w:r>
      <w:r w:rsidR="00540DAD" w:rsidRPr="00687F19">
        <w:rPr>
          <w:color w:val="252525"/>
        </w:rPr>
        <w:t xml:space="preserve"> </w:t>
      </w:r>
      <w:r w:rsidR="00E766F9" w:rsidRPr="00687F19">
        <w:rPr>
          <w:color w:val="252525"/>
        </w:rPr>
        <w:t xml:space="preserve">and cause them to </w:t>
      </w:r>
      <w:r w:rsidR="00540DAD" w:rsidRPr="00687F19">
        <w:rPr>
          <w:color w:val="252525"/>
        </w:rPr>
        <w:t xml:space="preserve">suffer </w:t>
      </w:r>
      <w:r w:rsidR="00E766F9" w:rsidRPr="00687F19">
        <w:rPr>
          <w:color w:val="252525"/>
        </w:rPr>
        <w:t>“</w:t>
      </w:r>
      <w:r w:rsidR="009C7A94" w:rsidRPr="00687F19">
        <w:rPr>
          <w:color w:val="252525"/>
        </w:rPr>
        <w:t xml:space="preserve">meaningful </w:t>
      </w:r>
      <w:r w:rsidR="00540DAD" w:rsidRPr="00687F19">
        <w:rPr>
          <w:color w:val="252525"/>
        </w:rPr>
        <w:t>consequences</w:t>
      </w:r>
      <w:r w:rsidR="002F5EE6" w:rsidRPr="00687F19">
        <w:rPr>
          <w:color w:val="252525"/>
        </w:rPr>
        <w:t>.</w:t>
      </w:r>
      <w:r w:rsidR="00540DAD" w:rsidRPr="00687F19">
        <w:rPr>
          <w:color w:val="252525"/>
        </w:rPr>
        <w:t>”</w:t>
      </w:r>
      <w:r w:rsidR="009C7A94">
        <w:rPr>
          <w:rStyle w:val="FootnoteReference"/>
          <w:color w:val="252525"/>
        </w:rPr>
        <w:footnoteReference w:id="77"/>
      </w:r>
      <w:r w:rsidR="00540DAD" w:rsidRPr="00687F19">
        <w:rPr>
          <w:color w:val="252525"/>
        </w:rPr>
        <w:t xml:space="preserve"> </w:t>
      </w:r>
      <w:r w:rsidR="002F5EE6" w:rsidRPr="00687F19">
        <w:rPr>
          <w:color w:val="252525"/>
        </w:rPr>
        <w:t xml:space="preserve"> </w:t>
      </w:r>
      <w:r w:rsidR="00622BCD" w:rsidRPr="00687F19">
        <w:rPr>
          <w:color w:val="252525"/>
        </w:rPr>
        <w:t>T-Mobile admits</w:t>
      </w:r>
      <w:r w:rsidR="007E3C64" w:rsidRPr="00687F19">
        <w:rPr>
          <w:color w:val="252525"/>
        </w:rPr>
        <w:t xml:space="preserve">, </w:t>
      </w:r>
      <w:r w:rsidR="007E3C64" w:rsidRPr="00BB7F13">
        <w:t>however</w:t>
      </w:r>
      <w:r w:rsidR="007E3C64" w:rsidRPr="00687F19">
        <w:rPr>
          <w:color w:val="252525"/>
        </w:rPr>
        <w:t>,</w:t>
      </w:r>
      <w:r w:rsidR="00622BCD" w:rsidRPr="00687F19">
        <w:rPr>
          <w:color w:val="252525"/>
        </w:rPr>
        <w:t xml:space="preserve"> </w:t>
      </w:r>
      <w:r w:rsidR="00B05193" w:rsidRPr="00687F19">
        <w:rPr>
          <w:color w:val="252525"/>
        </w:rPr>
        <w:t>that</w:t>
      </w:r>
      <w:r w:rsidR="009E5494" w:rsidRPr="00687F19">
        <w:rPr>
          <w:color w:val="252525"/>
        </w:rPr>
        <w:t xml:space="preserve"> it seeks to have the Commission </w:t>
      </w:r>
      <w:r w:rsidR="00935CD3" w:rsidRPr="00687F19">
        <w:rPr>
          <w:color w:val="252525"/>
        </w:rPr>
        <w:t xml:space="preserve">apply the rule to </w:t>
      </w:r>
      <w:r w:rsidR="000A02A3" w:rsidRPr="00687F19">
        <w:rPr>
          <w:color w:val="252525"/>
        </w:rPr>
        <w:t xml:space="preserve">the </w:t>
      </w:r>
      <w:r w:rsidR="00935CD3" w:rsidRPr="00687F19">
        <w:rPr>
          <w:color w:val="252525"/>
        </w:rPr>
        <w:t>DISH entities even though</w:t>
      </w:r>
      <w:r w:rsidR="00B05193" w:rsidRPr="00687F19">
        <w:rPr>
          <w:color w:val="252525"/>
        </w:rPr>
        <w:t xml:space="preserve"> </w:t>
      </w:r>
      <w:r w:rsidR="007E3C64" w:rsidRPr="00687F19">
        <w:rPr>
          <w:color w:val="252525"/>
        </w:rPr>
        <w:t xml:space="preserve">neither </w:t>
      </w:r>
      <w:r w:rsidR="00622BCD" w:rsidRPr="00687F19">
        <w:rPr>
          <w:color w:val="252525"/>
        </w:rPr>
        <w:t xml:space="preserve">the </w:t>
      </w:r>
      <w:r w:rsidR="00B05193" w:rsidRPr="00687F19">
        <w:rPr>
          <w:color w:val="252525"/>
        </w:rPr>
        <w:t>former defaulter rule</w:t>
      </w:r>
      <w:r w:rsidR="007E3C64" w:rsidRPr="00687F19">
        <w:rPr>
          <w:color w:val="252525"/>
        </w:rPr>
        <w:t xml:space="preserve"> </w:t>
      </w:r>
      <w:r w:rsidR="002F7114" w:rsidRPr="00687F19">
        <w:rPr>
          <w:color w:val="252525"/>
        </w:rPr>
        <w:t>nor several other competitive bidding rules</w:t>
      </w:r>
      <w:r w:rsidR="00B05193" w:rsidRPr="00687F19">
        <w:rPr>
          <w:color w:val="252525"/>
        </w:rPr>
        <w:t xml:space="preserve"> </w:t>
      </w:r>
      <w:r w:rsidR="002F7114" w:rsidRPr="00687F19">
        <w:rPr>
          <w:color w:val="252525"/>
        </w:rPr>
        <w:t xml:space="preserve">address the </w:t>
      </w:r>
      <w:r w:rsidR="00C319FC" w:rsidRPr="00687F19">
        <w:rPr>
          <w:color w:val="252525"/>
        </w:rPr>
        <w:t>conduct of which T-Mobile complains.</w:t>
      </w:r>
      <w:r w:rsidR="00C319FC">
        <w:rPr>
          <w:rStyle w:val="FootnoteReference"/>
          <w:color w:val="252525"/>
        </w:rPr>
        <w:footnoteReference w:id="78"/>
      </w:r>
      <w:r w:rsidR="00C319FC" w:rsidRPr="00687F19">
        <w:rPr>
          <w:color w:val="252525"/>
        </w:rPr>
        <w:t xml:space="preserve"> </w:t>
      </w:r>
      <w:r w:rsidR="002F5EE6" w:rsidRPr="00687F19">
        <w:rPr>
          <w:color w:val="252525"/>
        </w:rPr>
        <w:t xml:space="preserve"> </w:t>
      </w:r>
      <w:r w:rsidR="000B36BB" w:rsidRPr="00687F19">
        <w:rPr>
          <w:color w:val="252525"/>
        </w:rPr>
        <w:t xml:space="preserve">This amounts to an argument that the </w:t>
      </w:r>
      <w:r w:rsidR="00633BEF" w:rsidRPr="00633BEF">
        <w:rPr>
          <w:color w:val="252525"/>
        </w:rPr>
        <w:t>l</w:t>
      </w:r>
      <w:r w:rsidR="00633BEF">
        <w:rPr>
          <w:color w:val="252525"/>
        </w:rPr>
        <w:t>arger</w:t>
      </w:r>
      <w:r w:rsidR="000B36BB" w:rsidRPr="00687F19">
        <w:rPr>
          <w:color w:val="252525"/>
        </w:rPr>
        <w:t xml:space="preserve"> upfront payment </w:t>
      </w:r>
      <w:r w:rsidR="00D634B9" w:rsidRPr="00687F19">
        <w:rPr>
          <w:color w:val="252525"/>
        </w:rPr>
        <w:t xml:space="preserve">requirement </w:t>
      </w:r>
      <w:r w:rsidR="000B36BB" w:rsidRPr="00687F19">
        <w:rPr>
          <w:color w:val="252525"/>
        </w:rPr>
        <w:t xml:space="preserve">should be a sanction imposed on </w:t>
      </w:r>
      <w:r w:rsidR="008050F6" w:rsidRPr="00687F19">
        <w:rPr>
          <w:color w:val="252525"/>
        </w:rPr>
        <w:t xml:space="preserve">the DISH entities as a type of punishment for their actions in Auction 97 </w:t>
      </w:r>
      <w:r w:rsidR="00075BD3" w:rsidRPr="00687F19">
        <w:rPr>
          <w:color w:val="252525"/>
        </w:rPr>
        <w:t xml:space="preserve">and a deterrent to </w:t>
      </w:r>
      <w:r w:rsidR="00681552" w:rsidRPr="00687F19">
        <w:rPr>
          <w:color w:val="252525"/>
        </w:rPr>
        <w:t xml:space="preserve">taking </w:t>
      </w:r>
      <w:r w:rsidR="00075BD3" w:rsidRPr="00687F19">
        <w:rPr>
          <w:color w:val="252525"/>
        </w:rPr>
        <w:t xml:space="preserve">similar action in the incentive auction.  </w:t>
      </w:r>
      <w:r w:rsidR="00715E8E" w:rsidRPr="00687F19">
        <w:rPr>
          <w:color w:val="252525"/>
        </w:rPr>
        <w:t xml:space="preserve">But </w:t>
      </w:r>
      <w:r w:rsidR="00D403C4" w:rsidRPr="00687F19">
        <w:rPr>
          <w:color w:val="252525"/>
        </w:rPr>
        <w:t xml:space="preserve">T-Mobile makes no attempt to </w:t>
      </w:r>
      <w:r w:rsidR="00922B99" w:rsidRPr="00687F19">
        <w:rPr>
          <w:color w:val="252525"/>
        </w:rPr>
        <w:t xml:space="preserve">show </w:t>
      </w:r>
      <w:r w:rsidR="007D406A" w:rsidRPr="00687F19">
        <w:rPr>
          <w:color w:val="252525"/>
        </w:rPr>
        <w:t xml:space="preserve">how </w:t>
      </w:r>
      <w:r w:rsidR="00681552" w:rsidRPr="00687F19">
        <w:rPr>
          <w:color w:val="252525"/>
        </w:rPr>
        <w:t>the actions of the DISH entities in Auction 97</w:t>
      </w:r>
      <w:r w:rsidR="007D406A" w:rsidRPr="00687F19">
        <w:rPr>
          <w:color w:val="252525"/>
        </w:rPr>
        <w:t xml:space="preserve"> fall within the </w:t>
      </w:r>
      <w:r w:rsidR="00D634B9" w:rsidRPr="00687F19">
        <w:rPr>
          <w:color w:val="252525"/>
        </w:rPr>
        <w:t xml:space="preserve">language of the </w:t>
      </w:r>
      <w:r w:rsidR="007D406A" w:rsidRPr="00687F19">
        <w:rPr>
          <w:color w:val="252525"/>
        </w:rPr>
        <w:t>rule.</w:t>
      </w:r>
      <w:r w:rsidR="003A54B7">
        <w:rPr>
          <w:rStyle w:val="FootnoteReference"/>
          <w:color w:val="252525"/>
        </w:rPr>
        <w:footnoteReference w:id="79"/>
      </w:r>
      <w:r w:rsidR="007D406A" w:rsidRPr="00687F19">
        <w:rPr>
          <w:color w:val="252525"/>
        </w:rPr>
        <w:t xml:space="preserve"> </w:t>
      </w:r>
      <w:r w:rsidR="005D2426" w:rsidRPr="00687F19">
        <w:rPr>
          <w:color w:val="252525"/>
        </w:rPr>
        <w:t xml:space="preserve"> </w:t>
      </w:r>
    </w:p>
    <w:p w:rsidR="00E94D50" w:rsidRPr="00E94D50" w:rsidRDefault="0025778B" w:rsidP="00931A4A">
      <w:pPr>
        <w:pStyle w:val="ParaNum"/>
        <w:widowControl/>
        <w:numPr>
          <w:ilvl w:val="0"/>
          <w:numId w:val="22"/>
        </w:numPr>
        <w:tabs>
          <w:tab w:val="clear" w:pos="1080"/>
          <w:tab w:val="num" w:pos="1440"/>
        </w:tabs>
        <w:spacing w:after="120"/>
        <w:jc w:val="left"/>
      </w:pPr>
      <w:r>
        <w:rPr>
          <w:color w:val="252525"/>
        </w:rPr>
        <w:t>Grant of</w:t>
      </w:r>
      <w:r w:rsidR="001E1D2E" w:rsidRPr="00E94D50">
        <w:rPr>
          <w:color w:val="252525"/>
        </w:rPr>
        <w:t xml:space="preserve"> T-Mobile’s request woul</w:t>
      </w:r>
      <w:r w:rsidR="00444C1A" w:rsidRPr="00E94D50">
        <w:rPr>
          <w:color w:val="252525"/>
        </w:rPr>
        <w:t>d</w:t>
      </w:r>
      <w:r w:rsidR="00B74EE6">
        <w:rPr>
          <w:color w:val="252525"/>
        </w:rPr>
        <w:t xml:space="preserve"> </w:t>
      </w:r>
      <w:r w:rsidR="001E1D2E" w:rsidRPr="00E94D50">
        <w:rPr>
          <w:color w:val="252525"/>
        </w:rPr>
        <w:t>effect</w:t>
      </w:r>
      <w:r w:rsidR="00B74EE6">
        <w:rPr>
          <w:color w:val="252525"/>
        </w:rPr>
        <w:t>ively</w:t>
      </w:r>
      <w:r w:rsidR="001E1D2E" w:rsidRPr="00E94D50">
        <w:rPr>
          <w:color w:val="252525"/>
        </w:rPr>
        <w:t xml:space="preserve"> </w:t>
      </w:r>
      <w:r w:rsidR="00863E02">
        <w:rPr>
          <w:color w:val="252525"/>
        </w:rPr>
        <w:t xml:space="preserve">amend </w:t>
      </w:r>
      <w:r w:rsidR="00503049">
        <w:rPr>
          <w:color w:val="252525"/>
        </w:rPr>
        <w:t xml:space="preserve">Section 1.2106(a) to </w:t>
      </w:r>
      <w:r w:rsidR="001E1D2E" w:rsidRPr="00E94D50">
        <w:rPr>
          <w:color w:val="252525"/>
        </w:rPr>
        <w:t xml:space="preserve">fashion a new category of former </w:t>
      </w:r>
      <w:r w:rsidR="001E1D2E" w:rsidRPr="00931A4A">
        <w:t>defaulter</w:t>
      </w:r>
      <w:r w:rsidR="00B95D60">
        <w:rPr>
          <w:color w:val="252525"/>
        </w:rPr>
        <w:t xml:space="preserve"> that is </w:t>
      </w:r>
      <w:r w:rsidR="00B74EE6">
        <w:rPr>
          <w:color w:val="252525"/>
        </w:rPr>
        <w:t xml:space="preserve">required to make a </w:t>
      </w:r>
      <w:r w:rsidR="00633BEF">
        <w:rPr>
          <w:color w:val="252525"/>
        </w:rPr>
        <w:t>larger</w:t>
      </w:r>
      <w:r w:rsidR="00B74EE6">
        <w:rPr>
          <w:color w:val="252525"/>
        </w:rPr>
        <w:t xml:space="preserve"> upfront payment</w:t>
      </w:r>
      <w:r w:rsidR="001E1D2E" w:rsidRPr="00E94D50">
        <w:rPr>
          <w:color w:val="252525"/>
        </w:rPr>
        <w:t>.</w:t>
      </w:r>
      <w:r w:rsidR="005D2426" w:rsidRPr="00E94D50">
        <w:rPr>
          <w:color w:val="252525"/>
        </w:rPr>
        <w:t xml:space="preserve"> </w:t>
      </w:r>
      <w:r w:rsidR="00444C1A" w:rsidRPr="00E94D50">
        <w:rPr>
          <w:color w:val="252525"/>
        </w:rPr>
        <w:t xml:space="preserve"> T-Mobile </w:t>
      </w:r>
      <w:r w:rsidR="00D92A9D">
        <w:rPr>
          <w:color w:val="252525"/>
        </w:rPr>
        <w:t xml:space="preserve">asks that the DISH entities be declared former defaulters for purposes of the incentive auction </w:t>
      </w:r>
      <w:r w:rsidR="001F56A6">
        <w:rPr>
          <w:color w:val="252525"/>
        </w:rPr>
        <w:t xml:space="preserve">based on </w:t>
      </w:r>
      <w:r w:rsidR="009645E2">
        <w:rPr>
          <w:color w:val="252525"/>
        </w:rPr>
        <w:t>their bidding activity in Auction 97</w:t>
      </w:r>
      <w:r w:rsidR="006F531D">
        <w:rPr>
          <w:color w:val="252525"/>
        </w:rPr>
        <w:t xml:space="preserve">, </w:t>
      </w:r>
      <w:r w:rsidR="00ED7300">
        <w:rPr>
          <w:color w:val="252525"/>
        </w:rPr>
        <w:t xml:space="preserve">and selective default on </w:t>
      </w:r>
      <w:r w:rsidR="00F672D1">
        <w:rPr>
          <w:color w:val="252525"/>
        </w:rPr>
        <w:t>winning bids afterwards</w:t>
      </w:r>
      <w:r w:rsidR="00A82722">
        <w:rPr>
          <w:color w:val="252525"/>
        </w:rPr>
        <w:t xml:space="preserve">.  T-Mobile claims that the DISH entities’ activity in Auction 97 </w:t>
      </w:r>
      <w:r w:rsidR="00A44315">
        <w:rPr>
          <w:color w:val="252525"/>
        </w:rPr>
        <w:t>d</w:t>
      </w:r>
      <w:r w:rsidR="00DB071D">
        <w:rPr>
          <w:color w:val="252525"/>
        </w:rPr>
        <w:t>rove up prices to other bidders and prevented some bid</w:t>
      </w:r>
      <w:r w:rsidR="00420319">
        <w:rPr>
          <w:color w:val="252525"/>
        </w:rPr>
        <w:t>d</w:t>
      </w:r>
      <w:r w:rsidR="00DB071D">
        <w:rPr>
          <w:color w:val="252525"/>
        </w:rPr>
        <w:t>ers</w:t>
      </w:r>
      <w:r w:rsidR="00420319">
        <w:rPr>
          <w:color w:val="252525"/>
        </w:rPr>
        <w:t xml:space="preserve"> from winning licenses they otherwise </w:t>
      </w:r>
      <w:r w:rsidR="001A7A34">
        <w:rPr>
          <w:color w:val="252525"/>
        </w:rPr>
        <w:t>would have put to use promptly.</w:t>
      </w:r>
      <w:r w:rsidR="001A7A34">
        <w:rPr>
          <w:rStyle w:val="FootnoteReference"/>
          <w:color w:val="252525"/>
        </w:rPr>
        <w:footnoteReference w:id="80"/>
      </w:r>
      <w:r w:rsidR="00420319">
        <w:rPr>
          <w:color w:val="252525"/>
        </w:rPr>
        <w:t xml:space="preserve"> </w:t>
      </w:r>
      <w:r w:rsidR="00ED7C12">
        <w:rPr>
          <w:color w:val="252525"/>
        </w:rPr>
        <w:t xml:space="preserve"> </w:t>
      </w:r>
      <w:r w:rsidR="00AC289C">
        <w:rPr>
          <w:color w:val="252525"/>
        </w:rPr>
        <w:t xml:space="preserve">Requiring a </w:t>
      </w:r>
      <w:r w:rsidR="00633BEF">
        <w:rPr>
          <w:color w:val="252525"/>
        </w:rPr>
        <w:t>larger</w:t>
      </w:r>
      <w:r w:rsidR="00AC289C">
        <w:rPr>
          <w:color w:val="252525"/>
        </w:rPr>
        <w:t xml:space="preserve"> upfront payment from applicants based on </w:t>
      </w:r>
      <w:r w:rsidR="00EC7184">
        <w:rPr>
          <w:color w:val="252525"/>
        </w:rPr>
        <w:t xml:space="preserve">our analysis of </w:t>
      </w:r>
      <w:r w:rsidR="00ED1B0F">
        <w:rPr>
          <w:color w:val="252525"/>
        </w:rPr>
        <w:t xml:space="preserve">their </w:t>
      </w:r>
      <w:r w:rsidR="00AC289C">
        <w:rPr>
          <w:color w:val="252525"/>
        </w:rPr>
        <w:t xml:space="preserve">specific </w:t>
      </w:r>
      <w:r w:rsidR="00ED1B0F">
        <w:rPr>
          <w:color w:val="252525"/>
        </w:rPr>
        <w:t xml:space="preserve">practices during a past auction </w:t>
      </w:r>
      <w:r w:rsidR="004261C0" w:rsidRPr="0020575B">
        <w:rPr>
          <w:color w:val="252525"/>
        </w:rPr>
        <w:t xml:space="preserve">would </w:t>
      </w:r>
      <w:r w:rsidR="0020575B" w:rsidRPr="0020575B">
        <w:rPr>
          <w:color w:val="252525"/>
        </w:rPr>
        <w:t xml:space="preserve">create a </w:t>
      </w:r>
      <w:r w:rsidR="004261C0" w:rsidRPr="0020575B">
        <w:rPr>
          <w:color w:val="252525"/>
        </w:rPr>
        <w:t>new definition of “</w:t>
      </w:r>
      <w:r w:rsidR="00492BC2" w:rsidRPr="0020575B">
        <w:rPr>
          <w:color w:val="252525"/>
        </w:rPr>
        <w:t>f</w:t>
      </w:r>
      <w:r w:rsidR="004261C0" w:rsidRPr="0020575B">
        <w:rPr>
          <w:color w:val="252525"/>
        </w:rPr>
        <w:t>ormer</w:t>
      </w:r>
      <w:r w:rsidR="004261C0">
        <w:rPr>
          <w:color w:val="252525"/>
        </w:rPr>
        <w:t xml:space="preserve"> defaulter” and </w:t>
      </w:r>
      <w:r w:rsidR="00492BC2">
        <w:rPr>
          <w:color w:val="252525"/>
        </w:rPr>
        <w:t xml:space="preserve">we find that </w:t>
      </w:r>
      <w:r w:rsidR="009D637C">
        <w:rPr>
          <w:color w:val="252525"/>
        </w:rPr>
        <w:t>a</w:t>
      </w:r>
      <w:r w:rsidR="00ED7C12">
        <w:rPr>
          <w:color w:val="252525"/>
        </w:rPr>
        <w:t xml:space="preserve"> declaratory ruling is not the proper vehicle by which to</w:t>
      </w:r>
      <w:r w:rsidR="00A44315">
        <w:rPr>
          <w:color w:val="252525"/>
        </w:rPr>
        <w:t xml:space="preserve"> </w:t>
      </w:r>
      <w:r w:rsidR="00ED7C12">
        <w:t xml:space="preserve">amend the Commission’s </w:t>
      </w:r>
      <w:r w:rsidR="009D637C">
        <w:t xml:space="preserve">former defaulter </w:t>
      </w:r>
      <w:r w:rsidR="00ED7C12">
        <w:t>rule</w:t>
      </w:r>
      <w:r w:rsidR="00A432F6">
        <w:t>.</w:t>
      </w:r>
      <w:r w:rsidR="00026CEA">
        <w:rPr>
          <w:rStyle w:val="FootnoteReference"/>
        </w:rPr>
        <w:footnoteReference w:id="81"/>
      </w:r>
      <w:r w:rsidR="00A432F6">
        <w:t xml:space="preserve"> </w:t>
      </w:r>
      <w:r w:rsidR="00ED7C12">
        <w:t xml:space="preserve"> </w:t>
      </w:r>
    </w:p>
    <w:p w:rsidR="004B4701" w:rsidRDefault="006F4596" w:rsidP="00931A4A">
      <w:pPr>
        <w:pStyle w:val="ParaNum"/>
        <w:widowControl/>
        <w:numPr>
          <w:ilvl w:val="0"/>
          <w:numId w:val="22"/>
        </w:numPr>
        <w:tabs>
          <w:tab w:val="clear" w:pos="1080"/>
          <w:tab w:val="num" w:pos="1440"/>
        </w:tabs>
        <w:spacing w:after="120"/>
        <w:jc w:val="left"/>
      </w:pPr>
      <w:r>
        <w:rPr>
          <w:color w:val="252525"/>
        </w:rPr>
        <w:t>Moreover, t</w:t>
      </w:r>
      <w:r w:rsidR="007F4AFE" w:rsidRPr="006A6900">
        <w:rPr>
          <w:color w:val="252525"/>
        </w:rPr>
        <w:t xml:space="preserve">he </w:t>
      </w:r>
      <w:r w:rsidR="003F7027" w:rsidRPr="006A6900">
        <w:rPr>
          <w:color w:val="252525"/>
        </w:rPr>
        <w:t xml:space="preserve">actions of the DISH entities in Auction 97 that serve as the basis for T-Mobile’s arguments were </w:t>
      </w:r>
      <w:r w:rsidR="002222C9" w:rsidRPr="006A6900">
        <w:rPr>
          <w:color w:val="252525"/>
        </w:rPr>
        <w:t xml:space="preserve">addressed in detail in the Commission’s </w:t>
      </w:r>
      <w:r w:rsidR="00121EC5" w:rsidRPr="007B3364">
        <w:rPr>
          <w:color w:val="252525"/>
        </w:rPr>
        <w:t>August 18</w:t>
      </w:r>
      <w:r w:rsidRPr="007B3364">
        <w:rPr>
          <w:color w:val="252525"/>
        </w:rPr>
        <w:t>, 2015,</w:t>
      </w:r>
      <w:r w:rsidR="00121EC5" w:rsidRPr="007B3364">
        <w:rPr>
          <w:color w:val="252525"/>
        </w:rPr>
        <w:t xml:space="preserve"> </w:t>
      </w:r>
      <w:r w:rsidR="00121EC5" w:rsidRPr="007B3364">
        <w:rPr>
          <w:i/>
          <w:color w:val="252525"/>
        </w:rPr>
        <w:t>MO&amp;O</w:t>
      </w:r>
      <w:r w:rsidR="00271B4C" w:rsidRPr="006F4596">
        <w:rPr>
          <w:color w:val="252525"/>
        </w:rPr>
        <w:t>.</w:t>
      </w:r>
      <w:r w:rsidR="00271B4C" w:rsidRPr="006A6900">
        <w:rPr>
          <w:color w:val="252525"/>
        </w:rPr>
        <w:t xml:space="preserve">  In that decision</w:t>
      </w:r>
      <w:r w:rsidR="00571B35" w:rsidRPr="006A6900">
        <w:rPr>
          <w:color w:val="252525"/>
        </w:rPr>
        <w:t>,</w:t>
      </w:r>
      <w:r w:rsidR="00271B4C" w:rsidRPr="006A6900">
        <w:rPr>
          <w:color w:val="252525"/>
        </w:rPr>
        <w:t xml:space="preserve"> the</w:t>
      </w:r>
      <w:r w:rsidR="00301711" w:rsidRPr="006A6900">
        <w:rPr>
          <w:color w:val="252525"/>
        </w:rPr>
        <w:t xml:space="preserve"> </w:t>
      </w:r>
      <w:r w:rsidR="00271B4C" w:rsidRPr="006A6900">
        <w:rPr>
          <w:color w:val="252525"/>
        </w:rPr>
        <w:t>Commis</w:t>
      </w:r>
      <w:r w:rsidR="00D80C73" w:rsidRPr="006A6900">
        <w:rPr>
          <w:color w:val="252525"/>
        </w:rPr>
        <w:t>s</w:t>
      </w:r>
      <w:r w:rsidR="00271B4C" w:rsidRPr="006A6900">
        <w:rPr>
          <w:color w:val="252525"/>
        </w:rPr>
        <w:t xml:space="preserve">ion </w:t>
      </w:r>
      <w:r w:rsidR="00257BE2" w:rsidRPr="006A6900">
        <w:rPr>
          <w:color w:val="252525"/>
        </w:rPr>
        <w:t>concluded</w:t>
      </w:r>
      <w:r w:rsidR="00271B4C" w:rsidRPr="006A6900">
        <w:rPr>
          <w:color w:val="252525"/>
        </w:rPr>
        <w:t xml:space="preserve"> that while the DISH entities </w:t>
      </w:r>
      <w:r w:rsidR="00301711" w:rsidRPr="006A6900">
        <w:rPr>
          <w:color w:val="252525"/>
        </w:rPr>
        <w:t xml:space="preserve">were not entitled to the </w:t>
      </w:r>
      <w:r w:rsidR="00301711" w:rsidRPr="006A6900">
        <w:rPr>
          <w:snapToGrid/>
          <w:kern w:val="0"/>
          <w:szCs w:val="22"/>
        </w:rPr>
        <w:t>bidding credits that they claimed</w:t>
      </w:r>
      <w:r w:rsidR="00D80C73" w:rsidRPr="006A6900">
        <w:rPr>
          <w:color w:val="252525"/>
        </w:rPr>
        <w:t xml:space="preserve">, </w:t>
      </w:r>
      <w:r w:rsidR="000B208E" w:rsidRPr="006A6900">
        <w:rPr>
          <w:color w:val="252525"/>
        </w:rPr>
        <w:t xml:space="preserve">there were </w:t>
      </w:r>
      <w:r w:rsidR="00D80C73" w:rsidRPr="006A6900">
        <w:rPr>
          <w:color w:val="252525"/>
        </w:rPr>
        <w:t xml:space="preserve">no grounds </w:t>
      </w:r>
      <w:r w:rsidR="00571B35" w:rsidRPr="006A6900">
        <w:rPr>
          <w:color w:val="252525"/>
        </w:rPr>
        <w:t xml:space="preserve">to </w:t>
      </w:r>
      <w:r w:rsidR="000B208E" w:rsidRPr="006A6900">
        <w:rPr>
          <w:snapToGrid/>
          <w:kern w:val="0"/>
          <w:szCs w:val="22"/>
        </w:rPr>
        <w:t xml:space="preserve">render an adverse decision </w:t>
      </w:r>
      <w:r w:rsidR="00571B35" w:rsidRPr="006A6900">
        <w:rPr>
          <w:snapToGrid/>
          <w:kern w:val="0"/>
          <w:szCs w:val="22"/>
        </w:rPr>
        <w:t xml:space="preserve">on </w:t>
      </w:r>
      <w:r w:rsidR="00300CB8">
        <w:rPr>
          <w:snapToGrid/>
          <w:kern w:val="0"/>
          <w:szCs w:val="22"/>
        </w:rPr>
        <w:t>SNR</w:t>
      </w:r>
      <w:r w:rsidR="00917C42">
        <w:rPr>
          <w:snapToGrid/>
          <w:kern w:val="0"/>
          <w:szCs w:val="22"/>
        </w:rPr>
        <w:t>’s and N</w:t>
      </w:r>
      <w:r w:rsidR="00F32B3E">
        <w:rPr>
          <w:snapToGrid/>
          <w:kern w:val="0"/>
          <w:szCs w:val="22"/>
        </w:rPr>
        <w:t>orthstar</w:t>
      </w:r>
      <w:r w:rsidR="00917C42">
        <w:rPr>
          <w:snapToGrid/>
          <w:kern w:val="0"/>
          <w:szCs w:val="22"/>
        </w:rPr>
        <w:t xml:space="preserve">’s </w:t>
      </w:r>
      <w:r w:rsidR="000B208E" w:rsidRPr="006A6900">
        <w:rPr>
          <w:snapToGrid/>
          <w:kern w:val="0"/>
          <w:szCs w:val="22"/>
        </w:rPr>
        <w:t xml:space="preserve">basic qualifications to hold licenses, or to grant any of the relief requested </w:t>
      </w:r>
      <w:r w:rsidR="00571B35" w:rsidRPr="006A6900">
        <w:rPr>
          <w:snapToGrid/>
          <w:kern w:val="0"/>
          <w:szCs w:val="22"/>
        </w:rPr>
        <w:t>by the parties that had filed pet</w:t>
      </w:r>
      <w:r w:rsidR="00A33B22" w:rsidRPr="006A6900">
        <w:rPr>
          <w:snapToGrid/>
          <w:kern w:val="0"/>
          <w:szCs w:val="22"/>
        </w:rPr>
        <w:t>itions to deny their applications.</w:t>
      </w:r>
      <w:r w:rsidR="00A33B22">
        <w:rPr>
          <w:rStyle w:val="FootnoteReference"/>
          <w:snapToGrid/>
          <w:kern w:val="0"/>
          <w:szCs w:val="22"/>
        </w:rPr>
        <w:footnoteReference w:id="82"/>
      </w:r>
      <w:r w:rsidR="00622BCD" w:rsidRPr="006A6900">
        <w:rPr>
          <w:color w:val="252525"/>
        </w:rPr>
        <w:t xml:space="preserve"> </w:t>
      </w:r>
      <w:r w:rsidR="002206DA" w:rsidRPr="006A6900">
        <w:rPr>
          <w:color w:val="252525"/>
        </w:rPr>
        <w:t xml:space="preserve"> </w:t>
      </w:r>
      <w:r w:rsidR="00853816" w:rsidRPr="009F34D0">
        <w:t>The Commis</w:t>
      </w:r>
      <w:r w:rsidR="00913F99" w:rsidRPr="009F34D0">
        <w:t>si</w:t>
      </w:r>
      <w:r w:rsidR="00853816" w:rsidRPr="009F34D0">
        <w:t xml:space="preserve">on </w:t>
      </w:r>
      <w:r w:rsidR="00B319D2" w:rsidRPr="009F34D0">
        <w:t>further f</w:t>
      </w:r>
      <w:r w:rsidR="00853816" w:rsidRPr="009F34D0">
        <w:t xml:space="preserve">ound that </w:t>
      </w:r>
      <w:r w:rsidR="00F32B3E">
        <w:t>SNR</w:t>
      </w:r>
      <w:r w:rsidR="00235F2C">
        <w:t>’</w:t>
      </w:r>
      <w:r w:rsidR="00F32B3E">
        <w:t xml:space="preserve">s and </w:t>
      </w:r>
      <w:r w:rsidR="00300CB8">
        <w:t xml:space="preserve">Northstar’s </w:t>
      </w:r>
      <w:r w:rsidR="00B319D2" w:rsidRPr="009F34D0">
        <w:t xml:space="preserve">bidding activity did not violate the </w:t>
      </w:r>
      <w:r w:rsidR="00853816" w:rsidRPr="009F34D0">
        <w:t>Commis</w:t>
      </w:r>
      <w:r w:rsidR="00913F99" w:rsidRPr="009F34D0">
        <w:t>si</w:t>
      </w:r>
      <w:r w:rsidR="00853816" w:rsidRPr="009F34D0">
        <w:t>on’s r</w:t>
      </w:r>
      <w:r w:rsidR="00B319D2" w:rsidRPr="009F34D0">
        <w:t>ules govern</w:t>
      </w:r>
      <w:r w:rsidR="00853816" w:rsidRPr="009F34D0">
        <w:t xml:space="preserve">ing </w:t>
      </w:r>
      <w:r w:rsidR="00B319D2" w:rsidRPr="009F34D0">
        <w:t>Auction 97</w:t>
      </w:r>
      <w:r w:rsidR="002206DA" w:rsidRPr="009F34D0">
        <w:t>.</w:t>
      </w:r>
      <w:r w:rsidR="002206DA" w:rsidRPr="009F34D0">
        <w:rPr>
          <w:rStyle w:val="FootnoteReference"/>
        </w:rPr>
        <w:footnoteReference w:id="83"/>
      </w:r>
      <w:r w:rsidR="00272B41">
        <w:t xml:space="preserve">  </w:t>
      </w:r>
      <w:r w:rsidR="00272B41" w:rsidRPr="006A6900">
        <w:rPr>
          <w:color w:val="252525"/>
        </w:rPr>
        <w:t xml:space="preserve">T-Mobile did not </w:t>
      </w:r>
      <w:r w:rsidR="00BE13C6">
        <w:rPr>
          <w:color w:val="252525"/>
        </w:rPr>
        <w:t xml:space="preserve">file a petition to deny or otherwise </w:t>
      </w:r>
      <w:r w:rsidR="00272B41" w:rsidRPr="006A6900">
        <w:rPr>
          <w:color w:val="252525"/>
        </w:rPr>
        <w:t>participate in either the SNR or Northstar license application proceedings</w:t>
      </w:r>
      <w:r w:rsidR="00B33BC5" w:rsidRPr="006A6900">
        <w:rPr>
          <w:color w:val="252525"/>
        </w:rPr>
        <w:t xml:space="preserve"> and </w:t>
      </w:r>
      <w:r w:rsidR="00272B41" w:rsidRPr="006A6900">
        <w:rPr>
          <w:color w:val="252525"/>
        </w:rPr>
        <w:t xml:space="preserve">it </w:t>
      </w:r>
      <w:r w:rsidR="00BE13C6">
        <w:rPr>
          <w:color w:val="252525"/>
        </w:rPr>
        <w:t xml:space="preserve">therefore </w:t>
      </w:r>
      <w:r w:rsidR="00272B41" w:rsidRPr="006A6900">
        <w:rPr>
          <w:color w:val="252525"/>
        </w:rPr>
        <w:t xml:space="preserve">lacks standing to challenge the </w:t>
      </w:r>
      <w:r w:rsidR="00B33BC5" w:rsidRPr="006A6900">
        <w:rPr>
          <w:color w:val="252525"/>
        </w:rPr>
        <w:t xml:space="preserve">determinations in the </w:t>
      </w:r>
      <w:r w:rsidR="00B33BC5" w:rsidRPr="007B3364">
        <w:rPr>
          <w:i/>
          <w:color w:val="252525"/>
        </w:rPr>
        <w:t>MO&amp;O</w:t>
      </w:r>
      <w:r w:rsidR="007152CB" w:rsidRPr="006A6900">
        <w:rPr>
          <w:color w:val="252525"/>
        </w:rPr>
        <w:t>.</w:t>
      </w:r>
      <w:r w:rsidR="00B33BC5" w:rsidRPr="006A6900">
        <w:rPr>
          <w:color w:val="252525"/>
        </w:rPr>
        <w:t xml:space="preserve">  </w:t>
      </w:r>
      <w:r w:rsidR="007152CB" w:rsidRPr="007152CB">
        <w:t xml:space="preserve">However, even if T-Mobile </w:t>
      </w:r>
      <w:r w:rsidR="000A701C">
        <w:t xml:space="preserve">had participated in the licensing proceedings, </w:t>
      </w:r>
      <w:r w:rsidR="007152CB" w:rsidRPr="007152CB">
        <w:t xml:space="preserve">its </w:t>
      </w:r>
      <w:r w:rsidR="000A701C">
        <w:t>Petit</w:t>
      </w:r>
      <w:r w:rsidR="000C06B6">
        <w:t>i</w:t>
      </w:r>
      <w:r w:rsidR="000A701C">
        <w:t xml:space="preserve">on filed on </w:t>
      </w:r>
      <w:r w:rsidR="007152CB" w:rsidRPr="007152CB">
        <w:t>November 30</w:t>
      </w:r>
      <w:r w:rsidR="000C32C3">
        <w:t xml:space="preserve">, 2015, </w:t>
      </w:r>
      <w:r w:rsidR="00BE13C6" w:rsidRPr="007152CB">
        <w:t>would have been untimely</w:t>
      </w:r>
      <w:r w:rsidR="00DA4E9E">
        <w:t xml:space="preserve">. </w:t>
      </w:r>
      <w:r w:rsidR="007152CB" w:rsidRPr="007152CB">
        <w:t xml:space="preserve"> </w:t>
      </w:r>
      <w:r w:rsidR="000E6E91">
        <w:t xml:space="preserve">Under the Communications Act of 1934 and the Commission’s rules, any petition for reconsideration </w:t>
      </w:r>
      <w:r w:rsidR="00D94FD7">
        <w:t>was required to</w:t>
      </w:r>
      <w:r w:rsidR="000E6E91">
        <w:t xml:space="preserve"> be filed within thirty days from the date upon which </w:t>
      </w:r>
      <w:r w:rsidR="00D94FD7">
        <w:t xml:space="preserve">the </w:t>
      </w:r>
      <w:r w:rsidR="00D94FD7" w:rsidRPr="007B3364">
        <w:rPr>
          <w:i/>
        </w:rPr>
        <w:t>MO&amp;O</w:t>
      </w:r>
      <w:r w:rsidR="00D94FD7">
        <w:t xml:space="preserve"> was released.</w:t>
      </w:r>
      <w:r w:rsidR="000E6E91">
        <w:rPr>
          <w:rStyle w:val="FootnoteReference"/>
        </w:rPr>
        <w:footnoteReference w:id="84"/>
      </w:r>
      <w:r w:rsidR="000E6E91">
        <w:t xml:space="preserve">  </w:t>
      </w:r>
      <w:r w:rsidR="000C06B6">
        <w:t xml:space="preserve"> </w:t>
      </w:r>
      <w:r w:rsidR="007152CB" w:rsidRPr="007152CB">
        <w:t xml:space="preserve">For these reasons, T-Mobile may not challenge the Commission’s </w:t>
      </w:r>
      <w:r w:rsidR="00432BDB">
        <w:t xml:space="preserve">determinations </w:t>
      </w:r>
      <w:r w:rsidR="007152CB" w:rsidRPr="007152CB">
        <w:t xml:space="preserve">in the </w:t>
      </w:r>
      <w:r w:rsidR="00432BDB" w:rsidRPr="007B3364">
        <w:rPr>
          <w:i/>
        </w:rPr>
        <w:t>MO&amp;O</w:t>
      </w:r>
      <w:r w:rsidR="007152CB" w:rsidRPr="007B3364">
        <w:rPr>
          <w:i/>
        </w:rPr>
        <w:t xml:space="preserve"> </w:t>
      </w:r>
      <w:r w:rsidR="007152CB" w:rsidRPr="007152CB">
        <w:t xml:space="preserve">with respect to the DISH entities, nor may </w:t>
      </w:r>
      <w:r w:rsidR="00D265E5">
        <w:t>T-Mobile</w:t>
      </w:r>
      <w:r w:rsidR="007152CB" w:rsidRPr="007152CB">
        <w:t xml:space="preserve"> </w:t>
      </w:r>
      <w:r w:rsidR="006657C2">
        <w:t>seek a declaratory ruling t</w:t>
      </w:r>
      <w:r w:rsidR="007E1450">
        <w:t>o</w:t>
      </w:r>
      <w:r w:rsidR="006657C2">
        <w:t xml:space="preserve"> </w:t>
      </w:r>
      <w:r w:rsidR="007152CB" w:rsidRPr="007152CB">
        <w:t xml:space="preserve">raise anew issues </w:t>
      </w:r>
      <w:r w:rsidR="00465294">
        <w:t xml:space="preserve">that have </w:t>
      </w:r>
      <w:r w:rsidR="00346FBF">
        <w:t xml:space="preserve">already </w:t>
      </w:r>
      <w:r w:rsidR="00465294">
        <w:t xml:space="preserve">been </w:t>
      </w:r>
      <w:r w:rsidR="00346FBF">
        <w:t>decided in that order.</w:t>
      </w:r>
      <w:r w:rsidR="007C0DC6">
        <w:rPr>
          <w:rStyle w:val="FootnoteReference"/>
        </w:rPr>
        <w:footnoteReference w:id="85"/>
      </w:r>
      <w:r w:rsidR="00B056E0">
        <w:t xml:space="preserve"> </w:t>
      </w:r>
    </w:p>
    <w:p w:rsidR="004B4701" w:rsidRPr="004B4701" w:rsidRDefault="00282250" w:rsidP="004B4701">
      <w:pPr>
        <w:pStyle w:val="Heading1"/>
        <w:numPr>
          <w:ilvl w:val="0"/>
          <w:numId w:val="23"/>
        </w:numPr>
        <w:tabs>
          <w:tab w:val="left" w:pos="720"/>
        </w:tabs>
        <w:spacing w:after="120"/>
        <w:jc w:val="left"/>
      </w:pPr>
      <w:r>
        <w:t>ORDERING CLAUSES</w:t>
      </w:r>
    </w:p>
    <w:p w:rsidR="00E32C7C" w:rsidRPr="008A6F94" w:rsidRDefault="008D0AA4" w:rsidP="008A6F94">
      <w:pPr>
        <w:pStyle w:val="ParaNum"/>
        <w:widowControl/>
        <w:numPr>
          <w:ilvl w:val="0"/>
          <w:numId w:val="22"/>
        </w:numPr>
        <w:tabs>
          <w:tab w:val="clear" w:pos="1080"/>
          <w:tab w:val="num" w:pos="1440"/>
        </w:tabs>
        <w:spacing w:after="120"/>
        <w:jc w:val="left"/>
      </w:pPr>
      <w:r w:rsidRPr="00282250">
        <w:rPr>
          <w:color w:val="252525"/>
        </w:rPr>
        <w:t xml:space="preserve">Accordingly, IT IS ORDERED </w:t>
      </w:r>
      <w:r w:rsidR="00C52965">
        <w:rPr>
          <w:color w:val="252525"/>
        </w:rPr>
        <w:t xml:space="preserve">that, </w:t>
      </w:r>
      <w:r w:rsidRPr="00282250">
        <w:rPr>
          <w:color w:val="252525"/>
        </w:rPr>
        <w:t>pursuant to sections 1, 4(i), 4(j), 303(r)</w:t>
      </w:r>
      <w:r w:rsidR="00CD03F6" w:rsidRPr="00282250">
        <w:rPr>
          <w:color w:val="252525"/>
        </w:rPr>
        <w:t>, and 309(j)</w:t>
      </w:r>
      <w:r w:rsidRPr="00282250">
        <w:rPr>
          <w:color w:val="252525"/>
        </w:rPr>
        <w:t xml:space="preserve"> of the Communications Act of 1934, as amended, 47 U.S.C. §§ 151, 154(i), 154(j), 303(r), 309(j) and the authority delegated pursuant to section</w:t>
      </w:r>
      <w:r w:rsidR="00845B9A" w:rsidRPr="00282250">
        <w:rPr>
          <w:color w:val="252525"/>
        </w:rPr>
        <w:t>s</w:t>
      </w:r>
      <w:r w:rsidRPr="00282250">
        <w:rPr>
          <w:color w:val="252525"/>
        </w:rPr>
        <w:t xml:space="preserve"> </w:t>
      </w:r>
      <w:r w:rsidR="00373B12" w:rsidRPr="00282250">
        <w:rPr>
          <w:color w:val="252525"/>
        </w:rPr>
        <w:t xml:space="preserve">0.131 and </w:t>
      </w:r>
      <w:r w:rsidRPr="00282250">
        <w:rPr>
          <w:color w:val="252525"/>
        </w:rPr>
        <w:t xml:space="preserve">0.331 of the Commission's rules, as amended, 47 C.F.R. §§ 0.131(c), 0.331, </w:t>
      </w:r>
      <w:r w:rsidR="002E59CE" w:rsidRPr="00282250">
        <w:rPr>
          <w:color w:val="252525"/>
        </w:rPr>
        <w:t xml:space="preserve">the </w:t>
      </w:r>
      <w:r w:rsidRPr="00282250">
        <w:rPr>
          <w:color w:val="252525"/>
        </w:rPr>
        <w:t xml:space="preserve">Petition for Reconsideration </w:t>
      </w:r>
      <w:r w:rsidR="00C52965" w:rsidRPr="00282250">
        <w:rPr>
          <w:color w:val="252525"/>
        </w:rPr>
        <w:t xml:space="preserve">filed by </w:t>
      </w:r>
      <w:r w:rsidR="00C52965" w:rsidRPr="008D5BBC">
        <w:t>PBP Group, LLC, Bulloch Cellular, Inc., Pineland Cellular, Inc., and Planters Rural Cellular, Inc.</w:t>
      </w:r>
      <w:r w:rsidR="00C52965">
        <w:t>,</w:t>
      </w:r>
      <w:r w:rsidR="00C52965" w:rsidRPr="00282250">
        <w:rPr>
          <w:color w:val="252525"/>
        </w:rPr>
        <w:t xml:space="preserve"> </w:t>
      </w:r>
      <w:r w:rsidR="00C52965">
        <w:rPr>
          <w:color w:val="252525"/>
        </w:rPr>
        <w:t>is</w:t>
      </w:r>
      <w:r w:rsidR="00C52965" w:rsidRPr="00282250">
        <w:rPr>
          <w:color w:val="252525"/>
        </w:rPr>
        <w:t xml:space="preserve"> DISMISSED.</w:t>
      </w:r>
    </w:p>
    <w:p w:rsidR="00254D6A" w:rsidRPr="00BF4D13" w:rsidRDefault="00254D6A" w:rsidP="00432676">
      <w:pPr>
        <w:pStyle w:val="ParaNum"/>
        <w:widowControl/>
        <w:numPr>
          <w:ilvl w:val="0"/>
          <w:numId w:val="22"/>
        </w:numPr>
        <w:tabs>
          <w:tab w:val="clear" w:pos="1080"/>
          <w:tab w:val="num" w:pos="1440"/>
        </w:tabs>
        <w:spacing w:after="120"/>
        <w:jc w:val="left"/>
      </w:pPr>
      <w:r w:rsidRPr="00432676">
        <w:rPr>
          <w:color w:val="252525"/>
        </w:rPr>
        <w:t xml:space="preserve"> </w:t>
      </w:r>
      <w:r w:rsidR="0016413F" w:rsidRPr="00432676">
        <w:rPr>
          <w:color w:val="252525"/>
        </w:rPr>
        <w:t>IT</w:t>
      </w:r>
      <w:r w:rsidR="0016413F" w:rsidRPr="00432676">
        <w:rPr>
          <w:szCs w:val="22"/>
        </w:rPr>
        <w:t xml:space="preserve"> IS FURTHER ORDERED that, pursuant to </w:t>
      </w:r>
      <w:r w:rsidR="0016413F" w:rsidRPr="00432676">
        <w:rPr>
          <w:color w:val="252525"/>
        </w:rPr>
        <w:t xml:space="preserve">sections 1, 4(i), 4(j), 303(r), and 309(j) of the Communications Act of 1934, as amended, 47 U.S.C. §§ 151, 154(i), 154(j), 303(r), 309(j) and the authority delegated pursuant to sections 0.131 and 0.331 of the Commission's rules, as amended, 47 C.F.R. §§ 0.131(c), 0.331, the </w:t>
      </w:r>
      <w:r w:rsidRPr="00432676">
        <w:rPr>
          <w:color w:val="252525"/>
        </w:rPr>
        <w:t>Petition for Reconsideration</w:t>
      </w:r>
      <w:r w:rsidR="00432676" w:rsidRPr="00432676">
        <w:rPr>
          <w:color w:val="252525"/>
        </w:rPr>
        <w:t xml:space="preserve"> filed by </w:t>
      </w:r>
      <w:r w:rsidR="00432676">
        <w:t>T-Mobile USA, Inc.,</w:t>
      </w:r>
      <w:r w:rsidR="00282250" w:rsidRPr="00432676">
        <w:rPr>
          <w:color w:val="252525"/>
        </w:rPr>
        <w:t xml:space="preserve"> is DISMISSED </w:t>
      </w:r>
      <w:r w:rsidR="00432676">
        <w:rPr>
          <w:color w:val="252525"/>
        </w:rPr>
        <w:t xml:space="preserve">and its </w:t>
      </w:r>
      <w:r w:rsidR="00432676" w:rsidRPr="00C929D7">
        <w:rPr>
          <w:color w:val="252525"/>
        </w:rPr>
        <w:t>Request for Declaratory Ruling is DENIED</w:t>
      </w:r>
      <w:r w:rsidR="00432676">
        <w:rPr>
          <w:color w:val="252525"/>
        </w:rPr>
        <w:t>.</w:t>
      </w:r>
    </w:p>
    <w:p w:rsidR="005D3D9A" w:rsidRDefault="005D3D9A" w:rsidP="00235162">
      <w:pPr>
        <w:pStyle w:val="ParaNum"/>
        <w:widowControl/>
        <w:numPr>
          <w:ilvl w:val="0"/>
          <w:numId w:val="0"/>
        </w:numPr>
        <w:tabs>
          <w:tab w:val="clear" w:pos="1440"/>
        </w:tabs>
        <w:spacing w:after="120"/>
        <w:ind w:left="720"/>
        <w:jc w:val="left"/>
        <w:rPr>
          <w:szCs w:val="22"/>
        </w:rPr>
      </w:pPr>
    </w:p>
    <w:p w:rsidR="005429DE" w:rsidRDefault="005429DE" w:rsidP="005429DE">
      <w:pPr>
        <w:ind w:left="3600" w:firstLine="720"/>
      </w:pPr>
      <w:r>
        <w:t>FEDERAL COMMUNICATIONS COMMISSION</w:t>
      </w:r>
    </w:p>
    <w:p w:rsidR="005429DE" w:rsidRDefault="005429DE" w:rsidP="005429DE"/>
    <w:p w:rsidR="005429DE" w:rsidRDefault="005429DE" w:rsidP="005429DE"/>
    <w:p w:rsidR="005429DE" w:rsidRDefault="005429DE" w:rsidP="005429DE"/>
    <w:p w:rsidR="005429DE" w:rsidRPr="00C5398A" w:rsidRDefault="005429DE" w:rsidP="005429DE">
      <w:pPr>
        <w:ind w:left="4320"/>
      </w:pPr>
      <w:r>
        <w:t>Roger C. Sherman</w:t>
      </w:r>
    </w:p>
    <w:p w:rsidR="005429DE" w:rsidRPr="00C5398A" w:rsidRDefault="005429DE" w:rsidP="005429DE">
      <w:pPr>
        <w:ind w:left="4320"/>
      </w:pPr>
      <w:r w:rsidRPr="00C5398A">
        <w:t>Chief</w:t>
      </w:r>
    </w:p>
    <w:p w:rsidR="005429DE" w:rsidRPr="00312D6E" w:rsidRDefault="005429DE" w:rsidP="008733D6">
      <w:pPr>
        <w:ind w:left="4320"/>
      </w:pPr>
      <w:r>
        <w:t>Wireless Telecommunications Bureau</w:t>
      </w:r>
    </w:p>
    <w:p w:rsidR="00E4635D" w:rsidRDefault="00E4635D" w:rsidP="00D35B07"/>
    <w:sectPr w:rsidR="00E463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D1" w:rsidRDefault="003639D1">
      <w:r>
        <w:separator/>
      </w:r>
    </w:p>
  </w:endnote>
  <w:endnote w:type="continuationSeparator" w:id="0">
    <w:p w:rsidR="003639D1" w:rsidRDefault="003639D1">
      <w:r>
        <w:continuationSeparator/>
      </w:r>
    </w:p>
  </w:endnote>
  <w:endnote w:type="continuationNotice" w:id="1">
    <w:p w:rsidR="003639D1" w:rsidRDefault="0036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57" w:rsidRDefault="00A54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7B" w:rsidRDefault="0094327B">
    <w:pPr>
      <w:pStyle w:val="Footer"/>
      <w:jc w:val="center"/>
    </w:pPr>
    <w:r>
      <w:rPr>
        <w:rStyle w:val="PageNumber"/>
      </w:rPr>
      <w:fldChar w:fldCharType="begin"/>
    </w:r>
    <w:r>
      <w:rPr>
        <w:rStyle w:val="PageNumber"/>
      </w:rPr>
      <w:instrText xml:space="preserve"> PAGE </w:instrText>
    </w:r>
    <w:r>
      <w:rPr>
        <w:rStyle w:val="PageNumber"/>
      </w:rPr>
      <w:fldChar w:fldCharType="separate"/>
    </w:r>
    <w:r w:rsidR="0053210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57" w:rsidRDefault="00A5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D1" w:rsidRDefault="003639D1">
      <w:pPr>
        <w:rPr>
          <w:sz w:val="20"/>
        </w:rPr>
      </w:pPr>
      <w:r>
        <w:rPr>
          <w:sz w:val="20"/>
        </w:rPr>
        <w:separator/>
      </w:r>
    </w:p>
  </w:footnote>
  <w:footnote w:type="continuationSeparator" w:id="0">
    <w:p w:rsidR="003639D1" w:rsidRDefault="003639D1">
      <w:pPr>
        <w:rPr>
          <w:sz w:val="20"/>
        </w:rPr>
      </w:pPr>
      <w:r>
        <w:rPr>
          <w:sz w:val="20"/>
        </w:rPr>
        <w:separator/>
      </w:r>
    </w:p>
    <w:p w:rsidR="003639D1" w:rsidRDefault="003639D1">
      <w:pPr>
        <w:rPr>
          <w:sz w:val="20"/>
        </w:rPr>
      </w:pPr>
      <w:r>
        <w:rPr>
          <w:sz w:val="20"/>
        </w:rPr>
        <w:t>(...continued from previous page)</w:t>
      </w:r>
    </w:p>
  </w:footnote>
  <w:footnote w:type="continuationNotice" w:id="1">
    <w:p w:rsidR="003639D1" w:rsidRDefault="003639D1">
      <w:pPr>
        <w:jc w:val="right"/>
        <w:rPr>
          <w:sz w:val="20"/>
        </w:rPr>
      </w:pPr>
      <w:r>
        <w:rPr>
          <w:sz w:val="20"/>
        </w:rPr>
        <w:t>(continued....)</w:t>
      </w:r>
    </w:p>
  </w:footnote>
  <w:footnote w:id="2">
    <w:p w:rsidR="0094327B" w:rsidRDefault="0094327B" w:rsidP="007140AD">
      <w:pPr>
        <w:rPr>
          <w:sz w:val="20"/>
        </w:rPr>
      </w:pPr>
      <w:r>
        <w:rPr>
          <w:rStyle w:val="FootnoteReference"/>
        </w:rPr>
        <w:footnoteRef/>
      </w:r>
      <w:r>
        <w:t xml:space="preserve"> </w:t>
      </w:r>
      <w:r w:rsidRPr="005429DE">
        <w:rPr>
          <w:i/>
          <w:sz w:val="20"/>
        </w:rPr>
        <w:t>Application Procedures for Broadcast Incentive Auction Scheduled to Begin on March 29, 2016; Technical Formulas for Competitive Bidding</w:t>
      </w:r>
      <w:r w:rsidRPr="005429DE">
        <w:rPr>
          <w:sz w:val="20"/>
        </w:rPr>
        <w:t>, Public Notice, 30 FCC Rcd 11034 (WTB 2015) (</w:t>
      </w:r>
      <w:r w:rsidRPr="005429DE">
        <w:rPr>
          <w:i/>
          <w:sz w:val="20"/>
        </w:rPr>
        <w:t xml:space="preserve">Application Procedures </w:t>
      </w:r>
      <w:r w:rsidR="0031458C" w:rsidRPr="0031458C">
        <w:rPr>
          <w:i/>
          <w:sz w:val="20"/>
        </w:rPr>
        <w:t>Public Notice</w:t>
      </w:r>
      <w:r w:rsidRPr="005429DE">
        <w:rPr>
          <w:sz w:val="20"/>
        </w:rPr>
        <w:t xml:space="preserve">).  The incentive auction is composed of a reverse auction (Auction 1001) in which broadcasters will offer to voluntarily relinquish some or all of their spectrum usage rights and a forward auction (Auction 1002) of new, flexible-use licenses.  The petitions for reconsideration and request for declaratory ruling addressed by this order </w:t>
      </w:r>
      <w:r w:rsidRPr="007140AD">
        <w:rPr>
          <w:sz w:val="20"/>
        </w:rPr>
        <w:t xml:space="preserve">raise questions relating to the application of the Commission’s general competitive bidding rules at </w:t>
      </w:r>
      <w:r w:rsidR="00AD399C">
        <w:rPr>
          <w:sz w:val="20"/>
        </w:rPr>
        <w:t>S</w:t>
      </w:r>
      <w:r w:rsidR="00AD399C" w:rsidRPr="007140AD">
        <w:rPr>
          <w:sz w:val="20"/>
        </w:rPr>
        <w:t xml:space="preserve">ections </w:t>
      </w:r>
      <w:r w:rsidRPr="007140AD">
        <w:rPr>
          <w:sz w:val="20"/>
        </w:rPr>
        <w:t xml:space="preserve">1.2101 </w:t>
      </w:r>
      <w:r w:rsidRPr="00131424">
        <w:rPr>
          <w:i/>
          <w:sz w:val="20"/>
        </w:rPr>
        <w:t>et seq</w:t>
      </w:r>
      <w:r w:rsidRPr="007140AD">
        <w:rPr>
          <w:sz w:val="20"/>
        </w:rPr>
        <w:t xml:space="preserve">., which in the context of the broadcast incentive auction pertain only to the forward auction.  </w:t>
      </w:r>
    </w:p>
    <w:p w:rsidR="0094327B" w:rsidRPr="007140AD" w:rsidRDefault="0094327B" w:rsidP="007140AD">
      <w:pPr>
        <w:rPr>
          <w:sz w:val="20"/>
        </w:rPr>
      </w:pPr>
      <w:r w:rsidRPr="007140AD">
        <w:rPr>
          <w:sz w:val="20"/>
        </w:rPr>
        <w:t xml:space="preserve">  </w:t>
      </w:r>
    </w:p>
  </w:footnote>
  <w:footnote w:id="3">
    <w:p w:rsidR="0094327B" w:rsidRPr="005D14AF" w:rsidRDefault="0094327B" w:rsidP="007408FC">
      <w:pPr>
        <w:pStyle w:val="FootnoteText"/>
        <w:jc w:val="left"/>
      </w:pPr>
      <w:r>
        <w:rPr>
          <w:rStyle w:val="FootnoteReference"/>
        </w:rPr>
        <w:footnoteRef/>
      </w:r>
      <w:r>
        <w:t xml:space="preserve"> </w:t>
      </w:r>
      <w:r w:rsidRPr="008D5BBC">
        <w:t>Petition for Reconsideration of PBP Group, LLC, Bulloch Cellular, Inc., Pineland Cellular, Inc., and Planters Rural Cellular, Inc., AU Docket No. 14-252, GN Docket No. 12-268, WT Docket N</w:t>
      </w:r>
      <w:r w:rsidRPr="00471097">
        <w:t>o. 12-269 (filed Nov. 30, 2015) (PBP Petition</w:t>
      </w:r>
      <w:r w:rsidRPr="005D14AF">
        <w:t>).</w:t>
      </w:r>
    </w:p>
  </w:footnote>
  <w:footnote w:id="4">
    <w:p w:rsidR="0094327B" w:rsidRDefault="0094327B" w:rsidP="007408FC">
      <w:pPr>
        <w:pStyle w:val="FootnoteText"/>
        <w:jc w:val="left"/>
      </w:pPr>
      <w:r>
        <w:rPr>
          <w:rStyle w:val="FootnoteReference"/>
        </w:rPr>
        <w:footnoteRef/>
      </w:r>
      <w:r>
        <w:t xml:space="preserve"> Petition for Reconsideration or Request for Declaratory Ruling of T-Mobile USA, Inc., AU Docket No. 14-252, GN Docket No. 12-268, WT Docket No. 12-269 (filed Nov. 30, 2015) (</w:t>
      </w:r>
      <w:r w:rsidRPr="005F5B39">
        <w:t>T-Mobile Petition</w:t>
      </w:r>
      <w:r>
        <w:t xml:space="preserve">).  </w:t>
      </w:r>
    </w:p>
  </w:footnote>
  <w:footnote w:id="5">
    <w:p w:rsidR="0094327B" w:rsidRDefault="0094327B" w:rsidP="00195521">
      <w:pPr>
        <w:pStyle w:val="FootnoteText"/>
        <w:jc w:val="left"/>
      </w:pPr>
      <w:r>
        <w:rPr>
          <w:rStyle w:val="FootnoteReference"/>
        </w:rPr>
        <w:footnoteRef/>
      </w:r>
      <w:r>
        <w:t xml:space="preserve"> </w:t>
      </w:r>
      <w:r w:rsidRPr="00137428">
        <w:rPr>
          <w:i/>
        </w:rPr>
        <w:t>Updating Part 1 Competitive Bidding Rules</w:t>
      </w:r>
      <w:r w:rsidRPr="00382638">
        <w:t>,</w:t>
      </w:r>
      <w:r w:rsidRPr="00137428">
        <w:rPr>
          <w:i/>
        </w:rPr>
        <w:t xml:space="preserve"> </w:t>
      </w:r>
      <w:r w:rsidRPr="00382638">
        <w:t>Report and Order, Order on Reconsideration of the First Report and Order, Third Order on Reconsideration of the Second Report and Order, Third Report and Order</w:t>
      </w:r>
      <w:r w:rsidRPr="00137428">
        <w:t>, 30 FCC Rcd 7493 (2015) (</w:t>
      </w:r>
      <w:r w:rsidRPr="00137428">
        <w:rPr>
          <w:i/>
        </w:rPr>
        <w:t>Part 1 R</w:t>
      </w:r>
      <w:r>
        <w:rPr>
          <w:i/>
        </w:rPr>
        <w:t xml:space="preserve">eport and </w:t>
      </w:r>
      <w:r w:rsidRPr="00137428">
        <w:rPr>
          <w:i/>
        </w:rPr>
        <w:t>O</w:t>
      </w:r>
      <w:r>
        <w:rPr>
          <w:i/>
        </w:rPr>
        <w:t>rder</w:t>
      </w:r>
      <w:r w:rsidRPr="00137428">
        <w:t>).</w:t>
      </w:r>
    </w:p>
  </w:footnote>
  <w:footnote w:id="6">
    <w:p w:rsidR="0094327B" w:rsidRDefault="0094327B" w:rsidP="00195521">
      <w:pPr>
        <w:pStyle w:val="FootnoteText"/>
        <w:jc w:val="left"/>
      </w:pPr>
      <w:r>
        <w:rPr>
          <w:rStyle w:val="FootnoteReference"/>
        </w:rPr>
        <w:footnoteRef/>
      </w:r>
      <w:r>
        <w:t xml:space="preserve"> </w:t>
      </w:r>
      <w:r w:rsidRPr="00D0528C">
        <w:rPr>
          <w:i/>
        </w:rPr>
        <w:t>Id</w:t>
      </w:r>
      <w:r>
        <w:t>. at 7530-31, p</w:t>
      </w:r>
      <w:r w:rsidRPr="0061518F">
        <w:t>ara</w:t>
      </w:r>
      <w:r>
        <w:t xml:space="preserve">. 88.  The Commission </w:t>
      </w:r>
      <w:r w:rsidRPr="00885BC4">
        <w:rPr>
          <w:szCs w:val="22"/>
        </w:rPr>
        <w:t xml:space="preserve">concluded </w:t>
      </w:r>
      <w:r>
        <w:rPr>
          <w:szCs w:val="22"/>
        </w:rPr>
        <w:t xml:space="preserve">the new bidding credit </w:t>
      </w:r>
      <w:r w:rsidRPr="00885BC4">
        <w:rPr>
          <w:szCs w:val="22"/>
        </w:rPr>
        <w:t>could help rural service providers “to compete for spectrum licenses more effectively and to provide consumers in rural areas with competitive offerings.”</w:t>
      </w:r>
      <w:r>
        <w:rPr>
          <w:szCs w:val="22"/>
        </w:rPr>
        <w:t xml:space="preserve"> </w:t>
      </w:r>
      <w:r w:rsidRPr="00D0528C">
        <w:rPr>
          <w:i/>
        </w:rPr>
        <w:t>Id</w:t>
      </w:r>
      <w:r>
        <w:t xml:space="preserve">. </w:t>
      </w:r>
    </w:p>
  </w:footnote>
  <w:footnote w:id="7">
    <w:p w:rsidR="0094327B" w:rsidRDefault="0094327B" w:rsidP="000E032A">
      <w:pPr>
        <w:pStyle w:val="FootnoteText"/>
      </w:pPr>
      <w:r>
        <w:rPr>
          <w:rStyle w:val="FootnoteReference"/>
        </w:rPr>
        <w:footnoteRef/>
      </w:r>
      <w:r>
        <w:t xml:space="preserve"> </w:t>
      </w:r>
      <w:r w:rsidRPr="005D12A9">
        <w:rPr>
          <w:i/>
        </w:rPr>
        <w:t>Id</w:t>
      </w:r>
      <w:r>
        <w:t>. at 7</w:t>
      </w:r>
      <w:r w:rsidRPr="007A37FD">
        <w:t>534-35,</w:t>
      </w:r>
      <w:r>
        <w:t xml:space="preserve"> para. 98.</w:t>
      </w:r>
    </w:p>
  </w:footnote>
  <w:footnote w:id="8">
    <w:p w:rsidR="0094327B" w:rsidRDefault="0094327B" w:rsidP="00480366">
      <w:pPr>
        <w:pStyle w:val="FootnoteText"/>
      </w:pPr>
      <w:r>
        <w:rPr>
          <w:rStyle w:val="FootnoteReference"/>
        </w:rPr>
        <w:footnoteRef/>
      </w:r>
      <w:r>
        <w:t xml:space="preserve"> </w:t>
      </w:r>
      <w:r w:rsidRPr="005D12A9">
        <w:rPr>
          <w:i/>
        </w:rPr>
        <w:t>Id</w:t>
      </w:r>
      <w:r>
        <w:t xml:space="preserve">. at </w:t>
      </w:r>
      <w:r w:rsidRPr="007A37FD">
        <w:t>7497</w:t>
      </w:r>
      <w:r>
        <w:t>, para. 7.</w:t>
      </w:r>
    </w:p>
  </w:footnote>
  <w:footnote w:id="9">
    <w:p w:rsidR="0094327B" w:rsidRPr="00D0528C" w:rsidRDefault="0094327B" w:rsidP="00195521">
      <w:pPr>
        <w:pStyle w:val="FootnoteText"/>
        <w:jc w:val="left"/>
      </w:pPr>
      <w:r>
        <w:rPr>
          <w:rStyle w:val="FootnoteReference"/>
        </w:rPr>
        <w:footnoteRef/>
      </w:r>
      <w:r>
        <w:t xml:space="preserve"> The Commission revised the former defaulter rule </w:t>
      </w:r>
      <w:r w:rsidRPr="00094D28">
        <w:rPr>
          <w:szCs w:val="22"/>
        </w:rPr>
        <w:t>to simplify the auction process and minimize administrative and implementation costs for bidders.</w:t>
      </w:r>
      <w:r>
        <w:rPr>
          <w:szCs w:val="22"/>
        </w:rPr>
        <w:t xml:space="preserve">  </w:t>
      </w:r>
      <w:r>
        <w:rPr>
          <w:i/>
        </w:rPr>
        <w:t>Id.</w:t>
      </w:r>
      <w:r>
        <w:t xml:space="preserve"> at 7566-67, para. 173.</w:t>
      </w:r>
    </w:p>
  </w:footnote>
  <w:footnote w:id="10">
    <w:p w:rsidR="0094327B" w:rsidRDefault="0094327B" w:rsidP="00195521">
      <w:pPr>
        <w:pStyle w:val="FootnoteText"/>
        <w:jc w:val="left"/>
      </w:pPr>
      <w:r>
        <w:rPr>
          <w:rStyle w:val="FootnoteReference"/>
        </w:rPr>
        <w:footnoteRef/>
      </w:r>
      <w:r>
        <w:t xml:space="preserve"> 47 CFR § 1.2106(a).</w:t>
      </w:r>
    </w:p>
  </w:footnote>
  <w:footnote w:id="11">
    <w:p w:rsidR="0094327B" w:rsidRPr="00705866" w:rsidRDefault="0094327B" w:rsidP="00195521">
      <w:pPr>
        <w:pStyle w:val="FootnoteText"/>
        <w:jc w:val="left"/>
      </w:pPr>
      <w:r>
        <w:rPr>
          <w:rStyle w:val="FootnoteReference"/>
        </w:rPr>
        <w:footnoteRef/>
      </w:r>
      <w:r>
        <w:t xml:space="preserve"> </w:t>
      </w:r>
      <w:r w:rsidRPr="00705866">
        <w:rPr>
          <w:i/>
        </w:rPr>
        <w:t>Part 1 R</w:t>
      </w:r>
      <w:r>
        <w:rPr>
          <w:i/>
        </w:rPr>
        <w:t xml:space="preserve">eport and </w:t>
      </w:r>
      <w:r w:rsidRPr="00705866">
        <w:rPr>
          <w:i/>
        </w:rPr>
        <w:t>O</w:t>
      </w:r>
      <w:r>
        <w:rPr>
          <w:i/>
        </w:rPr>
        <w:t>rder</w:t>
      </w:r>
      <w:r w:rsidRPr="00705866">
        <w:t xml:space="preserve">, 30 FCC Rcd at </w:t>
      </w:r>
      <w:r>
        <w:t>7566-67</w:t>
      </w:r>
      <w:r w:rsidRPr="00705866">
        <w:t xml:space="preserve">, para. 173 (“[W]e exclude any cured default on a Commission license or delinquency on a non-tax debt owed to a Federal agency for which any of the following criteria are met: (1) the notice of the final payment deadline or delinquency was received more than seven years before the relevant short-form application deadline; (2) the default or delinquency amounted to less than $100,000; (3) the default or delinquency was paid within two quarters (i.e., six months) after receiving the notice of the final payment deadline or delinquency; or (4) the default or delinquency was the subject of a legal or arbitration proceeding and was cured upon resolution of the proceeding.”). </w:t>
      </w:r>
    </w:p>
  </w:footnote>
  <w:footnote w:id="12">
    <w:p w:rsidR="0094327B" w:rsidRDefault="0094327B" w:rsidP="00195521">
      <w:pPr>
        <w:pStyle w:val="FootnoteText"/>
        <w:jc w:val="left"/>
      </w:pPr>
      <w:r>
        <w:rPr>
          <w:rStyle w:val="FootnoteReference"/>
        </w:rPr>
        <w:footnoteRef/>
      </w:r>
      <w:r>
        <w:t xml:space="preserve"> </w:t>
      </w:r>
      <w:r>
        <w:rPr>
          <w:i/>
        </w:rPr>
        <w:t>Id.</w:t>
      </w:r>
      <w:r>
        <w:t xml:space="preserve"> at 7533, para. 95 (“This [rural service provider] bidding credit is particularly important in advance of the Incentive Auction, a once-in-a-generation opportunity for small and rural providers to gain access to below-1-GHz spectrum.”), and 7567, para. 173 (“Additionally, we will implement our revised rules on a prospective basis, including for the Incentive Auction.”).</w:t>
      </w:r>
    </w:p>
  </w:footnote>
  <w:footnote w:id="13">
    <w:p w:rsidR="0094327B" w:rsidRDefault="0094327B">
      <w:pPr>
        <w:pStyle w:val="FootnoteText"/>
      </w:pPr>
      <w:r>
        <w:rPr>
          <w:rStyle w:val="FootnoteReference"/>
        </w:rPr>
        <w:footnoteRef/>
      </w:r>
      <w:r>
        <w:t xml:space="preserve"> </w:t>
      </w:r>
      <w:r w:rsidRPr="00D55BA4">
        <w:rPr>
          <w:i/>
          <w:szCs w:val="22"/>
        </w:rPr>
        <w:t>See</w:t>
      </w:r>
      <w:r>
        <w:rPr>
          <w:i/>
          <w:szCs w:val="22"/>
        </w:rPr>
        <w:t>, e.g.,</w:t>
      </w:r>
      <w:r w:rsidRPr="00D55BA4">
        <w:rPr>
          <w:i/>
          <w:szCs w:val="22"/>
        </w:rPr>
        <w:t xml:space="preserve"> </w:t>
      </w:r>
      <w:r w:rsidRPr="001A7F99">
        <w:rPr>
          <w:i/>
        </w:rPr>
        <w:t>Broadcast Auction Scheduled to Begin March 29, 2016; Procedures for Competitive Bidding in Auction 1000, Including Initial Clearing Target Determination, Qualifying to Bid, and Bidding in Auctions 1001 (Reverse) and 1002 (Forward)</w:t>
      </w:r>
      <w:r>
        <w:t>,</w:t>
      </w:r>
      <w:r w:rsidRPr="001A7F99">
        <w:t xml:space="preserve">  Public Notice, 30 FCC Rcd 8975 (2015) (</w:t>
      </w:r>
      <w:r w:rsidRPr="001A7F99">
        <w:rPr>
          <w:i/>
        </w:rPr>
        <w:t xml:space="preserve">Auction 1000 Bidding Procedures </w:t>
      </w:r>
      <w:r w:rsidR="0031458C" w:rsidRPr="0031458C">
        <w:rPr>
          <w:i/>
        </w:rPr>
        <w:t>Public Notice</w:t>
      </w:r>
      <w:r w:rsidRPr="001A7F99">
        <w:t>).</w:t>
      </w:r>
    </w:p>
  </w:footnote>
  <w:footnote w:id="14">
    <w:p w:rsidR="0094327B" w:rsidRDefault="0094327B" w:rsidP="00195521">
      <w:pPr>
        <w:pStyle w:val="FootnoteText"/>
        <w:jc w:val="left"/>
      </w:pPr>
      <w:r>
        <w:rPr>
          <w:rStyle w:val="FootnoteReference"/>
        </w:rPr>
        <w:footnoteRef/>
      </w:r>
      <w:r>
        <w:t xml:space="preserve"> </w:t>
      </w:r>
      <w:r w:rsidRPr="00D319DF">
        <w:rPr>
          <w:i/>
          <w:szCs w:val="22"/>
        </w:rPr>
        <w:t>Application Procedures for Broadcast Incentive Auction Scheduled to Begin on March 29, 2016; Technical Formulas for Competitive Bidding</w:t>
      </w:r>
      <w:r w:rsidRPr="001F1C25">
        <w:rPr>
          <w:szCs w:val="22"/>
        </w:rPr>
        <w:t xml:space="preserve">, </w:t>
      </w:r>
      <w:r>
        <w:rPr>
          <w:szCs w:val="22"/>
        </w:rPr>
        <w:t xml:space="preserve">Public Notice, </w:t>
      </w:r>
      <w:r w:rsidRPr="00594789">
        <w:t>30 FCC Rcd 1103</w:t>
      </w:r>
      <w:r>
        <w:t>4</w:t>
      </w:r>
      <w:r w:rsidRPr="001F1C25">
        <w:rPr>
          <w:szCs w:val="22"/>
        </w:rPr>
        <w:t xml:space="preserve"> </w:t>
      </w:r>
      <w:r>
        <w:rPr>
          <w:szCs w:val="22"/>
        </w:rPr>
        <w:t xml:space="preserve">(WTB 2015) </w:t>
      </w:r>
      <w:r w:rsidRPr="001F1C25">
        <w:rPr>
          <w:szCs w:val="22"/>
        </w:rPr>
        <w:t>(</w:t>
      </w:r>
      <w:r w:rsidRPr="001F1C25">
        <w:rPr>
          <w:i/>
          <w:szCs w:val="22"/>
        </w:rPr>
        <w:t xml:space="preserve">Application Procedures </w:t>
      </w:r>
      <w:r w:rsidR="0031458C" w:rsidRPr="0031458C">
        <w:rPr>
          <w:i/>
          <w:szCs w:val="22"/>
        </w:rPr>
        <w:t>Public Notice</w:t>
      </w:r>
      <w:r w:rsidRPr="001F1C25">
        <w:rPr>
          <w:szCs w:val="22"/>
        </w:rPr>
        <w:t>)</w:t>
      </w:r>
      <w:r>
        <w:rPr>
          <w:szCs w:val="22"/>
        </w:rPr>
        <w:t xml:space="preserve">.  </w:t>
      </w:r>
    </w:p>
  </w:footnote>
  <w:footnote w:id="15">
    <w:p w:rsidR="0094327B" w:rsidRPr="001A7F99" w:rsidRDefault="0094327B" w:rsidP="00195521">
      <w:pPr>
        <w:pStyle w:val="FootnoteText"/>
        <w:jc w:val="left"/>
      </w:pPr>
      <w:r w:rsidRPr="001A7F99">
        <w:rPr>
          <w:rStyle w:val="FootnoteReference"/>
        </w:rPr>
        <w:footnoteRef/>
      </w:r>
      <w:r w:rsidRPr="001A7F99">
        <w:t xml:space="preserve"> </w:t>
      </w:r>
      <w:r w:rsidRPr="001A7F99">
        <w:rPr>
          <w:i/>
        </w:rPr>
        <w:t>See Expanding the Economic and Innovation Opportunities of Spectrum Through Incentive Auctions</w:t>
      </w:r>
      <w:r w:rsidRPr="001A7F99">
        <w:t xml:space="preserve">, GN Docket No. 12-268, Report and Order, 29 FCC Rcd </w:t>
      </w:r>
      <w:r>
        <w:t>6567,</w:t>
      </w:r>
      <w:r w:rsidRPr="001A7F99">
        <w:t xml:space="preserve"> 6574, para. 15 (</w:t>
      </w:r>
      <w:r w:rsidRPr="001A7F99">
        <w:rPr>
          <w:i/>
        </w:rPr>
        <w:t>Incentive Auction R</w:t>
      </w:r>
      <w:r>
        <w:rPr>
          <w:i/>
        </w:rPr>
        <w:t xml:space="preserve">eport and </w:t>
      </w:r>
      <w:r w:rsidRPr="001A7F99">
        <w:rPr>
          <w:i/>
        </w:rPr>
        <w:t>O</w:t>
      </w:r>
      <w:r>
        <w:rPr>
          <w:i/>
        </w:rPr>
        <w:t>rder</w:t>
      </w:r>
      <w:r w:rsidRPr="001A7F99">
        <w:t>) (preserving Wireless Telecommunications Bureau’s authority to adopt final incentive auction procedures “concerning those matters that it typically handles under existing delegations of authority”)</w:t>
      </w:r>
      <w:r>
        <w:t xml:space="preserve">; </w:t>
      </w:r>
      <w:r w:rsidRPr="001A7F99">
        <w:rPr>
          <w:i/>
        </w:rPr>
        <w:t xml:space="preserve">Auction 1000 Bidding Procedures </w:t>
      </w:r>
      <w:r w:rsidR="0031458C" w:rsidRPr="0031458C">
        <w:rPr>
          <w:i/>
        </w:rPr>
        <w:t>Public Notice</w:t>
      </w:r>
      <w:r>
        <w:t xml:space="preserve">, </w:t>
      </w:r>
      <w:r w:rsidRPr="001A7F99">
        <w:t xml:space="preserve">30 FCC Rcd </w:t>
      </w:r>
      <w:r>
        <w:t xml:space="preserve">at </w:t>
      </w:r>
      <w:r w:rsidRPr="001A7F99">
        <w:t>897</w:t>
      </w:r>
      <w:r>
        <w:t xml:space="preserve">9-80, para. 3 (describing the incentive auction and post-auction procedure matters that the Bureau would address in the </w:t>
      </w:r>
      <w:r w:rsidRPr="001F1C25">
        <w:rPr>
          <w:i/>
          <w:szCs w:val="22"/>
        </w:rPr>
        <w:t xml:space="preserve">Application Procedures </w:t>
      </w:r>
      <w:r w:rsidR="0031458C" w:rsidRPr="0031458C">
        <w:rPr>
          <w:i/>
          <w:szCs w:val="22"/>
        </w:rPr>
        <w:t>Public Notice</w:t>
      </w:r>
      <w:r w:rsidRPr="001F1C25">
        <w:rPr>
          <w:szCs w:val="22"/>
        </w:rPr>
        <w:t>)</w:t>
      </w:r>
      <w:r>
        <w:rPr>
          <w:szCs w:val="22"/>
        </w:rPr>
        <w:t xml:space="preserve">. </w:t>
      </w:r>
    </w:p>
  </w:footnote>
  <w:footnote w:id="16">
    <w:p w:rsidR="0094327B" w:rsidRDefault="0094327B" w:rsidP="00195521">
      <w:pPr>
        <w:pStyle w:val="FootnoteText"/>
        <w:jc w:val="left"/>
      </w:pPr>
      <w:r>
        <w:rPr>
          <w:rStyle w:val="FootnoteReference"/>
        </w:rPr>
        <w:footnoteRef/>
      </w:r>
      <w:r>
        <w:t xml:space="preserve"> </w:t>
      </w:r>
      <w:r w:rsidRPr="001F1C25">
        <w:rPr>
          <w:i/>
          <w:szCs w:val="22"/>
        </w:rPr>
        <w:t xml:space="preserve">Application Procedures </w:t>
      </w:r>
      <w:r w:rsidR="0031458C" w:rsidRPr="0031458C">
        <w:rPr>
          <w:i/>
          <w:szCs w:val="22"/>
        </w:rPr>
        <w:t>Public Notice</w:t>
      </w:r>
      <w:r>
        <w:rPr>
          <w:szCs w:val="22"/>
        </w:rPr>
        <w:t>,</w:t>
      </w:r>
      <w:r>
        <w:rPr>
          <w:i/>
          <w:szCs w:val="22"/>
        </w:rPr>
        <w:t xml:space="preserve"> </w:t>
      </w:r>
      <w:r>
        <w:rPr>
          <w:szCs w:val="22"/>
        </w:rPr>
        <w:t xml:space="preserve">30 FCC Rcd </w:t>
      </w:r>
      <w:r>
        <w:t>at 11074-75, paras. 123-24.</w:t>
      </w:r>
    </w:p>
  </w:footnote>
  <w:footnote w:id="17">
    <w:p w:rsidR="0094327B" w:rsidRDefault="0094327B" w:rsidP="00195521">
      <w:pPr>
        <w:pStyle w:val="FootnoteText"/>
        <w:jc w:val="left"/>
      </w:pPr>
      <w:r>
        <w:rPr>
          <w:rStyle w:val="FootnoteReference"/>
        </w:rPr>
        <w:footnoteRef/>
      </w:r>
      <w:r>
        <w:t xml:space="preserve"> </w:t>
      </w:r>
      <w:r>
        <w:rPr>
          <w:i/>
        </w:rPr>
        <w:t>Id</w:t>
      </w:r>
      <w:r>
        <w:t>. at 11079-80, paras. 137-138.</w:t>
      </w:r>
    </w:p>
  </w:footnote>
  <w:footnote w:id="18">
    <w:p w:rsidR="0094327B" w:rsidRPr="005D14AF" w:rsidRDefault="0094327B" w:rsidP="00837E24">
      <w:pPr>
        <w:pStyle w:val="FootnoteText"/>
      </w:pPr>
      <w:r>
        <w:rPr>
          <w:rStyle w:val="FootnoteReference"/>
        </w:rPr>
        <w:footnoteRef/>
      </w:r>
      <w:r>
        <w:t xml:space="preserve"> </w:t>
      </w:r>
      <w:r w:rsidRPr="008D5BBC">
        <w:t>Petition for Reconsideration of PBP Group, LLC, Bulloch Cellular, Inc., Pineland Cellular, Inc., and Planters Rural Cellular, Inc., AU Docket No. 14-252, GN Docket No. 12-268, WT Docket N</w:t>
      </w:r>
      <w:r w:rsidRPr="00471097">
        <w:t>o. 12-269 (filed Nov. 30, 2015) (PBP Petition</w:t>
      </w:r>
      <w:r w:rsidRPr="005D14AF">
        <w:t>).</w:t>
      </w:r>
    </w:p>
  </w:footnote>
  <w:footnote w:id="19">
    <w:p w:rsidR="0094327B" w:rsidRPr="005D14AF" w:rsidRDefault="0094327B" w:rsidP="00837E24">
      <w:pPr>
        <w:pStyle w:val="FootnoteText"/>
      </w:pPr>
      <w:r w:rsidRPr="005D14AF">
        <w:rPr>
          <w:rStyle w:val="FootnoteReference"/>
        </w:rPr>
        <w:footnoteRef/>
      </w:r>
      <w:r w:rsidRPr="005D14AF">
        <w:t xml:space="preserve"> </w:t>
      </w:r>
      <w:r w:rsidRPr="005D14AF">
        <w:rPr>
          <w:i/>
        </w:rPr>
        <w:t>Id.</w:t>
      </w:r>
    </w:p>
  </w:footnote>
  <w:footnote w:id="20">
    <w:p w:rsidR="0094327B" w:rsidRPr="00F661D3" w:rsidRDefault="0094327B" w:rsidP="00837E24">
      <w:pPr>
        <w:pStyle w:val="FootnoteText"/>
      </w:pPr>
      <w:r w:rsidRPr="00F661D3">
        <w:rPr>
          <w:rStyle w:val="FootnoteReference"/>
        </w:rPr>
        <w:footnoteRef/>
      </w:r>
      <w:r w:rsidRPr="00F661D3">
        <w:t xml:space="preserve"> </w:t>
      </w:r>
      <w:r w:rsidRPr="00F661D3">
        <w:rPr>
          <w:i/>
        </w:rPr>
        <w:t>Id.</w:t>
      </w:r>
      <w:r w:rsidRPr="00F661D3">
        <w:t xml:space="preserve"> at 3 n.10.</w:t>
      </w:r>
    </w:p>
  </w:footnote>
  <w:footnote w:id="21">
    <w:p w:rsidR="0094327B" w:rsidRPr="00290FEB" w:rsidRDefault="0094327B" w:rsidP="00424B8A">
      <w:pPr>
        <w:pStyle w:val="FootnoteText"/>
        <w:jc w:val="left"/>
      </w:pPr>
      <w:r>
        <w:rPr>
          <w:rStyle w:val="FootnoteReference"/>
        </w:rPr>
        <w:footnoteRef/>
      </w:r>
      <w:r>
        <w:t xml:space="preserve"> </w:t>
      </w:r>
      <w:r w:rsidR="00424B8A">
        <w:t>Comments of the Blooston Rural Carriers (filed Dec. 28, 2015).  T</w:t>
      </w:r>
      <w:r w:rsidRPr="00290FEB">
        <w:t xml:space="preserve">he Blooston Rural Carriers contend that the rules are broad enough and were intended to allow a rural service provider seeking to participate in an auction through a subsidiary or related entity to demonstrate eligibility for a rural service provider bidding credit even if that entity is not itself currently in the business of providing commercial communications services.  </w:t>
      </w:r>
      <w:r w:rsidRPr="00290FEB">
        <w:rPr>
          <w:i/>
        </w:rPr>
        <w:t>See</w:t>
      </w:r>
      <w:r>
        <w:t xml:space="preserve"> </w:t>
      </w:r>
      <w:r w:rsidR="005F5215" w:rsidRPr="005F5215">
        <w:rPr>
          <w:i/>
        </w:rPr>
        <w:t>id</w:t>
      </w:r>
      <w:r w:rsidR="005F5215">
        <w:t>.</w:t>
      </w:r>
      <w:r w:rsidRPr="00290FEB">
        <w:t xml:space="preserve"> at 1.</w:t>
      </w:r>
    </w:p>
  </w:footnote>
  <w:footnote w:id="22">
    <w:p w:rsidR="0094327B" w:rsidRPr="005D14AF" w:rsidRDefault="0094327B" w:rsidP="00837E24">
      <w:pPr>
        <w:pStyle w:val="FootnoteText"/>
      </w:pPr>
      <w:r w:rsidRPr="005D14AF">
        <w:rPr>
          <w:rStyle w:val="FootnoteReference"/>
        </w:rPr>
        <w:footnoteRef/>
      </w:r>
      <w:r w:rsidRPr="005D14AF">
        <w:t xml:space="preserve"> </w:t>
      </w:r>
      <w:r w:rsidRPr="000D02AA">
        <w:rPr>
          <w:i/>
        </w:rPr>
        <w:t>Id</w:t>
      </w:r>
      <w:r>
        <w:t>.</w:t>
      </w:r>
      <w:r w:rsidRPr="005D14AF">
        <w:t xml:space="preserve"> at 2.</w:t>
      </w:r>
    </w:p>
  </w:footnote>
  <w:footnote w:id="23">
    <w:p w:rsidR="0094327B" w:rsidRPr="00F661D3" w:rsidRDefault="0094327B" w:rsidP="00837E24">
      <w:pPr>
        <w:pStyle w:val="FootnoteText"/>
      </w:pPr>
      <w:r w:rsidRPr="00F661D3">
        <w:rPr>
          <w:rStyle w:val="FootnoteReference"/>
        </w:rPr>
        <w:footnoteRef/>
      </w:r>
      <w:r w:rsidRPr="00F661D3">
        <w:t xml:space="preserve"> NTCA Reply at 2-3.</w:t>
      </w:r>
    </w:p>
  </w:footnote>
  <w:footnote w:id="24">
    <w:p w:rsidR="0094327B" w:rsidRDefault="0094327B" w:rsidP="00513B3F">
      <w:pPr>
        <w:pStyle w:val="FootnoteText"/>
      </w:pPr>
      <w:r>
        <w:rPr>
          <w:rStyle w:val="FootnoteReference"/>
        </w:rPr>
        <w:footnoteRef/>
      </w:r>
      <w:r>
        <w:t xml:space="preserve"> PBP Petition at 1-2.</w:t>
      </w:r>
    </w:p>
  </w:footnote>
  <w:footnote w:id="25">
    <w:p w:rsidR="0094327B" w:rsidRPr="00AC77FC" w:rsidRDefault="0094327B" w:rsidP="00513B3F">
      <w:pPr>
        <w:pStyle w:val="FootnoteText"/>
      </w:pPr>
      <w:r>
        <w:rPr>
          <w:rStyle w:val="FootnoteReference"/>
        </w:rPr>
        <w:footnoteRef/>
      </w:r>
      <w:r>
        <w:t xml:space="preserve"> PBP Petition at 2-3.  PBP offers specific language to amend the rule.  </w:t>
      </w:r>
      <w:r>
        <w:rPr>
          <w:i/>
        </w:rPr>
        <w:t xml:space="preserve">Id. </w:t>
      </w:r>
      <w:r>
        <w:t>at 3.</w:t>
      </w:r>
    </w:p>
  </w:footnote>
  <w:footnote w:id="26">
    <w:p w:rsidR="0094327B" w:rsidRPr="005D14AF" w:rsidRDefault="0094327B" w:rsidP="004E1D30">
      <w:pPr>
        <w:pStyle w:val="FootnoteText"/>
        <w:jc w:val="left"/>
      </w:pPr>
      <w:r w:rsidRPr="00471097">
        <w:rPr>
          <w:rStyle w:val="FootnoteReference"/>
        </w:rPr>
        <w:footnoteRef/>
      </w:r>
      <w:r w:rsidRPr="00471097">
        <w:t xml:space="preserve"> </w:t>
      </w:r>
      <w:r w:rsidRPr="00471097">
        <w:rPr>
          <w:i/>
        </w:rPr>
        <w:t>Updating Part 1 Competitive Bidding Rules</w:t>
      </w:r>
      <w:r w:rsidRPr="00471097">
        <w:t>,</w:t>
      </w:r>
      <w:r w:rsidRPr="00471097">
        <w:rPr>
          <w:i/>
        </w:rPr>
        <w:t xml:space="preserve"> </w:t>
      </w:r>
      <w:r w:rsidRPr="00471097">
        <w:t>Report and Order, Order on Reconsideration of the First Report and Order, Third Order on Reconsideration of the Second Report and Order, Third Report and Order</w:t>
      </w:r>
      <w:r w:rsidRPr="005D14AF">
        <w:t>, 30 FCC Rcd 7493 (2015) (</w:t>
      </w:r>
      <w:r w:rsidRPr="005D14AF">
        <w:rPr>
          <w:i/>
        </w:rPr>
        <w:t xml:space="preserve">Part 1 Report and Order). </w:t>
      </w:r>
    </w:p>
  </w:footnote>
  <w:footnote w:id="27">
    <w:p w:rsidR="0094327B" w:rsidRDefault="0094327B" w:rsidP="00513B3F">
      <w:pPr>
        <w:pStyle w:val="FootnoteText"/>
      </w:pPr>
      <w:r>
        <w:rPr>
          <w:rStyle w:val="FootnoteReference"/>
        </w:rPr>
        <w:footnoteRef/>
      </w:r>
      <w:r>
        <w:t xml:space="preserve"> </w:t>
      </w:r>
      <w:r w:rsidRPr="001F1C25">
        <w:rPr>
          <w:i/>
          <w:szCs w:val="22"/>
        </w:rPr>
        <w:t xml:space="preserve">Application Procedures </w:t>
      </w:r>
      <w:r w:rsidR="0031458C" w:rsidRPr="0031458C">
        <w:rPr>
          <w:i/>
          <w:szCs w:val="22"/>
        </w:rPr>
        <w:t>Public Notice</w:t>
      </w:r>
      <w:r>
        <w:rPr>
          <w:szCs w:val="22"/>
        </w:rPr>
        <w:t>,</w:t>
      </w:r>
      <w:r>
        <w:rPr>
          <w:i/>
          <w:szCs w:val="22"/>
        </w:rPr>
        <w:t xml:space="preserve"> </w:t>
      </w:r>
      <w:r>
        <w:rPr>
          <w:szCs w:val="22"/>
        </w:rPr>
        <w:t xml:space="preserve">30 FCC Rcd </w:t>
      </w:r>
      <w:r>
        <w:t>at 11074-75, paras. 123-24.</w:t>
      </w:r>
    </w:p>
  </w:footnote>
  <w:footnote w:id="28">
    <w:p w:rsidR="0094327B" w:rsidRDefault="0094327B" w:rsidP="00041D82">
      <w:pPr>
        <w:pStyle w:val="FootnoteText"/>
      </w:pPr>
      <w:r>
        <w:rPr>
          <w:rStyle w:val="FootnoteReference"/>
        </w:rPr>
        <w:footnoteRef/>
      </w:r>
      <w:r>
        <w:t xml:space="preserve"> </w:t>
      </w:r>
      <w:r w:rsidR="00CF3416" w:rsidRPr="007F1156">
        <w:rPr>
          <w:i/>
          <w:szCs w:val="22"/>
        </w:rPr>
        <w:t>Id.</w:t>
      </w:r>
      <w:r>
        <w:rPr>
          <w:szCs w:val="22"/>
        </w:rPr>
        <w:t xml:space="preserve"> </w:t>
      </w:r>
      <w:r>
        <w:t xml:space="preserve">at </w:t>
      </w:r>
      <w:r w:rsidR="00226E54">
        <w:t>11036-37</w:t>
      </w:r>
      <w:r>
        <w:t>, para. 1.</w:t>
      </w:r>
    </w:p>
  </w:footnote>
  <w:footnote w:id="29">
    <w:p w:rsidR="0094327B" w:rsidRDefault="0094327B" w:rsidP="00041D82">
      <w:pPr>
        <w:pStyle w:val="FootnoteText"/>
      </w:pPr>
      <w:r>
        <w:rPr>
          <w:rStyle w:val="FootnoteReference"/>
        </w:rPr>
        <w:footnoteRef/>
      </w:r>
      <w:r>
        <w:t xml:space="preserve"> </w:t>
      </w:r>
      <w:r w:rsidR="00CF3416" w:rsidRPr="007F1156">
        <w:rPr>
          <w:i/>
          <w:szCs w:val="22"/>
        </w:rPr>
        <w:t>Id.</w:t>
      </w:r>
      <w:r>
        <w:t xml:space="preserve"> at 11074-75, paras. 123-24.</w:t>
      </w:r>
    </w:p>
  </w:footnote>
  <w:footnote w:id="30">
    <w:p w:rsidR="0094327B" w:rsidRPr="004441B4" w:rsidRDefault="0094327B" w:rsidP="00041D82">
      <w:pPr>
        <w:pStyle w:val="FootnoteText"/>
      </w:pPr>
      <w:r>
        <w:rPr>
          <w:rStyle w:val="FootnoteReference"/>
        </w:rPr>
        <w:footnoteRef/>
      </w:r>
      <w:r>
        <w:t xml:space="preserve"> We further note that </w:t>
      </w:r>
      <w:r w:rsidRPr="007F1156">
        <w:t xml:space="preserve">PBP’s </w:t>
      </w:r>
      <w:r w:rsidR="0057470B">
        <w:t>p</w:t>
      </w:r>
      <w:r w:rsidRPr="007F1156">
        <w:t>etition</w:t>
      </w:r>
      <w:r>
        <w:rPr>
          <w:i/>
        </w:rPr>
        <w:t xml:space="preserve"> </w:t>
      </w:r>
      <w:r>
        <w:t>seeks to</w:t>
      </w:r>
      <w:r w:rsidRPr="002E4CEE">
        <w:t xml:space="preserve"> modify </w:t>
      </w:r>
      <w:r>
        <w:t xml:space="preserve">the language of </w:t>
      </w:r>
      <w:r w:rsidRPr="002E4CEE">
        <w:t>Section 1.2110(f)(4)(i) insofar as they propose specific textual changes to that rule.</w:t>
      </w:r>
      <w:r>
        <w:t xml:space="preserve">  </w:t>
      </w:r>
      <w:r w:rsidR="0031458C" w:rsidRPr="0031458C">
        <w:t>PBP Petition</w:t>
      </w:r>
      <w:r>
        <w:t xml:space="preserve"> at 3 n.10, 5.</w:t>
      </w:r>
    </w:p>
  </w:footnote>
  <w:footnote w:id="31">
    <w:p w:rsidR="0094327B" w:rsidRPr="00306586" w:rsidRDefault="0094327B" w:rsidP="00041D82">
      <w:pPr>
        <w:rPr>
          <w:sz w:val="20"/>
        </w:rPr>
      </w:pPr>
      <w:r>
        <w:rPr>
          <w:rStyle w:val="FootnoteReference"/>
        </w:rPr>
        <w:footnoteRef/>
      </w:r>
      <w:r>
        <w:t xml:space="preserve"> </w:t>
      </w:r>
      <w:r w:rsidRPr="00306586">
        <w:rPr>
          <w:sz w:val="20"/>
        </w:rPr>
        <w:t xml:space="preserve">The substantive allegations of the petition dictate its treatment as a petition for reconsideration. </w:t>
      </w:r>
      <w:r w:rsidR="00AA6255">
        <w:rPr>
          <w:sz w:val="20"/>
        </w:rPr>
        <w:t xml:space="preserve"> </w:t>
      </w:r>
      <w:r w:rsidRPr="00306586">
        <w:rPr>
          <w:i/>
          <w:iCs/>
          <w:sz w:val="20"/>
        </w:rPr>
        <w:t>See, e.g.,</w:t>
      </w:r>
      <w:hyperlink r:id="rId1" w:history="1">
        <w:r w:rsidRPr="00306586">
          <w:rPr>
            <w:sz w:val="20"/>
          </w:rPr>
          <w:t xml:space="preserve"> </w:t>
        </w:r>
        <w:r w:rsidRPr="007F1156">
          <w:rPr>
            <w:i/>
            <w:sz w:val="20"/>
          </w:rPr>
          <w:t xml:space="preserve">Association of College </w:t>
        </w:r>
        <w:r w:rsidR="00AA6255" w:rsidRPr="007F1156">
          <w:rPr>
            <w:i/>
            <w:sz w:val="20"/>
          </w:rPr>
          <w:t>a</w:t>
        </w:r>
        <w:r w:rsidRPr="007F1156">
          <w:rPr>
            <w:i/>
            <w:sz w:val="20"/>
          </w:rPr>
          <w:t xml:space="preserve">nd Univ. </w:t>
        </w:r>
        <w:r w:rsidR="00AA6255" w:rsidRPr="007F1156">
          <w:rPr>
            <w:i/>
            <w:sz w:val="20"/>
          </w:rPr>
          <w:t xml:space="preserve">Telecommunications </w:t>
        </w:r>
        <w:r w:rsidRPr="007F1156">
          <w:rPr>
            <w:i/>
            <w:sz w:val="20"/>
          </w:rPr>
          <w:t xml:space="preserve">Administrators, American Council on Educ., and Nat'l Assoc. of College </w:t>
        </w:r>
        <w:r w:rsidR="00AA6255" w:rsidRPr="007F1156">
          <w:rPr>
            <w:i/>
            <w:sz w:val="20"/>
          </w:rPr>
          <w:t xml:space="preserve">and </w:t>
        </w:r>
        <w:r w:rsidRPr="007F1156">
          <w:rPr>
            <w:i/>
            <w:sz w:val="20"/>
          </w:rPr>
          <w:t>Univ. Business Officers</w:t>
        </w:r>
        <w:r w:rsidRPr="00306586">
          <w:rPr>
            <w:sz w:val="20"/>
          </w:rPr>
          <w:t xml:space="preserve">, </w:t>
        </w:r>
        <w:r w:rsidR="007F1156">
          <w:rPr>
            <w:sz w:val="20"/>
          </w:rPr>
          <w:t xml:space="preserve">Memorandum Opinion and Order, </w:t>
        </w:r>
        <w:r w:rsidR="00AA6255">
          <w:rPr>
            <w:sz w:val="20"/>
          </w:rPr>
          <w:t>8 FCC Rcd 1781</w:t>
        </w:r>
        <w:r w:rsidRPr="00306586">
          <w:rPr>
            <w:sz w:val="20"/>
          </w:rPr>
          <w:t xml:space="preserve"> (1993)</w:t>
        </w:r>
      </w:hyperlink>
      <w:r w:rsidRPr="00306586">
        <w:rPr>
          <w:sz w:val="20"/>
        </w:rPr>
        <w:t xml:space="preserve"> (Commission </w:t>
      </w:r>
      <w:r w:rsidR="00AA6255" w:rsidRPr="00306586">
        <w:rPr>
          <w:sz w:val="20"/>
        </w:rPr>
        <w:t>dismisse</w:t>
      </w:r>
      <w:r w:rsidR="00AA6255">
        <w:rPr>
          <w:sz w:val="20"/>
        </w:rPr>
        <w:t>d</w:t>
      </w:r>
      <w:r w:rsidR="00AA6255" w:rsidRPr="00306586">
        <w:rPr>
          <w:sz w:val="20"/>
        </w:rPr>
        <w:t xml:space="preserve"> </w:t>
      </w:r>
      <w:r w:rsidRPr="00306586">
        <w:rPr>
          <w:sz w:val="20"/>
        </w:rPr>
        <w:t xml:space="preserve">self-styled petition for clarification as </w:t>
      </w:r>
      <w:r w:rsidRPr="00306586">
        <w:rPr>
          <w:bCs/>
          <w:sz w:val="20"/>
        </w:rPr>
        <w:t>untimely</w:t>
      </w:r>
      <w:r w:rsidRPr="00306586">
        <w:rPr>
          <w:sz w:val="20"/>
        </w:rPr>
        <w:t xml:space="preserve"> </w:t>
      </w:r>
      <w:r w:rsidRPr="00306586">
        <w:rPr>
          <w:bCs/>
          <w:sz w:val="20"/>
        </w:rPr>
        <w:t>filed</w:t>
      </w:r>
      <w:r w:rsidRPr="00306586">
        <w:rPr>
          <w:sz w:val="20"/>
        </w:rPr>
        <w:t xml:space="preserve"> </w:t>
      </w:r>
      <w:r w:rsidRPr="00306586">
        <w:rPr>
          <w:bCs/>
          <w:sz w:val="20"/>
        </w:rPr>
        <w:t>petition</w:t>
      </w:r>
      <w:r w:rsidRPr="00306586">
        <w:rPr>
          <w:sz w:val="20"/>
        </w:rPr>
        <w:t xml:space="preserve"> </w:t>
      </w:r>
      <w:r w:rsidRPr="00306586">
        <w:rPr>
          <w:bCs/>
          <w:sz w:val="20"/>
        </w:rPr>
        <w:t>for</w:t>
      </w:r>
      <w:r w:rsidRPr="00306586">
        <w:rPr>
          <w:sz w:val="20"/>
        </w:rPr>
        <w:t xml:space="preserve"> </w:t>
      </w:r>
      <w:r w:rsidRPr="00306586">
        <w:rPr>
          <w:bCs/>
          <w:sz w:val="20"/>
        </w:rPr>
        <w:t>reconsideration</w:t>
      </w:r>
      <w:r w:rsidRPr="00306586">
        <w:rPr>
          <w:sz w:val="20"/>
        </w:rPr>
        <w:t>).</w:t>
      </w:r>
    </w:p>
    <w:p w:rsidR="0094327B" w:rsidRPr="00306586" w:rsidRDefault="0094327B" w:rsidP="00041D82">
      <w:pPr>
        <w:rPr>
          <w:color w:val="252525"/>
          <w:sz w:val="20"/>
        </w:rPr>
      </w:pPr>
    </w:p>
  </w:footnote>
  <w:footnote w:id="32">
    <w:p w:rsidR="0094327B" w:rsidRDefault="0094327B" w:rsidP="004E1D30">
      <w:pPr>
        <w:pStyle w:val="FootnoteText"/>
        <w:jc w:val="left"/>
      </w:pPr>
      <w:r>
        <w:rPr>
          <w:rStyle w:val="FootnoteReference"/>
        </w:rPr>
        <w:footnoteRef/>
      </w:r>
      <w:r>
        <w:t xml:space="preserve"> The </w:t>
      </w:r>
      <w:r>
        <w:rPr>
          <w:i/>
          <w:color w:val="000000"/>
        </w:rPr>
        <w:t>Part 1 Report and Order</w:t>
      </w:r>
      <w:r>
        <w:t xml:space="preserve"> was published in the Federal Register on September 18, 2015. </w:t>
      </w:r>
      <w:r w:rsidR="007B1C2A">
        <w:t xml:space="preserve"> </w:t>
      </w:r>
      <w:r>
        <w:t xml:space="preserve">80 FR 56764.  </w:t>
      </w:r>
      <w:r w:rsidRPr="00D0689B">
        <w:t xml:space="preserve">A party must file </w:t>
      </w:r>
      <w:r>
        <w:t xml:space="preserve">a </w:t>
      </w:r>
      <w:r w:rsidRPr="00D0689B">
        <w:t>petition for reconsideration within thirty days from the date of public notice of Commission action.</w:t>
      </w:r>
      <w:r>
        <w:t xml:space="preserve"> </w:t>
      </w:r>
      <w:r w:rsidRPr="00D0689B">
        <w:t> </w:t>
      </w:r>
      <w:hyperlink r:id="rId2" w:anchor="co_pp_8b3b0000958a4" w:history="1">
        <w:r w:rsidRPr="00D0689B">
          <w:t>47 U.S.C. § 405(a)</w:t>
        </w:r>
      </w:hyperlink>
      <w:r w:rsidRPr="00D0689B">
        <w:t>; </w:t>
      </w:r>
      <w:hyperlink r:id="rId3" w:anchor="co_pp_ae0d0000c5150" w:history="1">
        <w:r w:rsidRPr="00D0689B">
          <w:t>47 CFR §§ 1.106(f)</w:t>
        </w:r>
      </w:hyperlink>
      <w:r>
        <w:t>, 1.429(d)</w:t>
      </w:r>
      <w:r w:rsidRPr="00D0689B">
        <w:t xml:space="preserve">. </w:t>
      </w:r>
      <w:r>
        <w:t xml:space="preserve"> </w:t>
      </w:r>
      <w:r w:rsidRPr="00D0689B">
        <w:t>The United States Court of Appeals for the District of Columbia Circuit has consistently held that the Commission cannot extend or waive this statutory thirty-day filing period, except where “extraordinary circumstances indicate that justice would thus be served.” </w:t>
      </w:r>
      <w:r>
        <w:t xml:space="preserve"> </w:t>
      </w:r>
      <w:hyperlink r:id="rId4" w:anchor="co_pp_sp_350_1091" w:history="1">
        <w:r w:rsidRPr="00D0689B">
          <w:rPr>
            <w:i/>
            <w:iCs/>
          </w:rPr>
          <w:t>Gardner v. FCC</w:t>
        </w:r>
        <w:r w:rsidRPr="00D0689B">
          <w:t>, 530 F.2d 1086, 1091 (D.C. Cir. 1976)</w:t>
        </w:r>
      </w:hyperlink>
      <w:r>
        <w:t xml:space="preserve">; </w:t>
      </w:r>
      <w:r w:rsidRPr="00D0689B">
        <w:rPr>
          <w:i/>
        </w:rPr>
        <w:t>s</w:t>
      </w:r>
      <w:r w:rsidRPr="00D0689B">
        <w:rPr>
          <w:i/>
          <w:iCs/>
        </w:rPr>
        <w:t>ee also </w:t>
      </w:r>
      <w:hyperlink r:id="rId5" w:anchor="co_pp_sp_350_951" w:history="1">
        <w:r w:rsidRPr="00D0689B">
          <w:rPr>
            <w:i/>
            <w:iCs/>
          </w:rPr>
          <w:t>Reuters Ltd. v. FCC</w:t>
        </w:r>
        <w:r w:rsidRPr="00D0689B">
          <w:t>, 781 F.2d 946, 951-52 (D.C. Cir. 1986)</w:t>
        </w:r>
      </w:hyperlink>
      <w:r w:rsidRPr="00D0689B">
        <w:t>.</w:t>
      </w:r>
    </w:p>
  </w:footnote>
  <w:footnote w:id="33">
    <w:p w:rsidR="0094327B" w:rsidRDefault="0094327B" w:rsidP="004E1D30">
      <w:pPr>
        <w:pStyle w:val="FootnoteText"/>
        <w:jc w:val="left"/>
      </w:pPr>
      <w:r>
        <w:rPr>
          <w:rStyle w:val="FootnoteReference"/>
        </w:rPr>
        <w:footnoteRef/>
      </w:r>
      <w:r>
        <w:t xml:space="preserve"> </w:t>
      </w:r>
      <w:r w:rsidRPr="00DE56BD">
        <w:rPr>
          <w:i/>
        </w:rPr>
        <w:t>See, e.g.</w:t>
      </w:r>
      <w:r>
        <w:t xml:space="preserve">, </w:t>
      </w:r>
      <w:r w:rsidRPr="007E0937">
        <w:rPr>
          <w:i/>
        </w:rPr>
        <w:t>Amendment of Section 73.622(i), Post Transition Table of DTV Allotments Television Broadcast Stations (Seaford, Delaware)</w:t>
      </w:r>
      <w:r>
        <w:t xml:space="preserve">, </w:t>
      </w:r>
      <w:r w:rsidRPr="007E0937">
        <w:t>Memorandum Opinion and Order on Further Reconsideration</w:t>
      </w:r>
      <w:r>
        <w:t xml:space="preserve">, </w:t>
      </w:r>
      <w:r w:rsidRPr="00DE56BD">
        <w:t>29 FCC Rcd 4769</w:t>
      </w:r>
      <w:r>
        <w:t>, 4722, para. 9 (MB Vid. Div. 2014)</w:t>
      </w:r>
      <w:r w:rsidRPr="007E777C">
        <w:t xml:space="preserve"> </w:t>
      </w:r>
      <w:r>
        <w:t>(“</w:t>
      </w:r>
      <w:r w:rsidRPr="007E777C">
        <w:t>The Commission has stated in the past that indirect challenges to decisions that were adopted in proceedings in which the right to review has expired are considered impermissible collateral attacks and are properly denied.</w:t>
      </w:r>
      <w:r>
        <w:t xml:space="preserve">”); </w:t>
      </w:r>
      <w:r w:rsidRPr="007E0937">
        <w:rPr>
          <w:i/>
        </w:rPr>
        <w:t>Motions for Declaratory Rulings Regarding Commission Rules and Policies for Frequency Coordination in the Private Land Mobile Radio Services</w:t>
      </w:r>
      <w:r>
        <w:t xml:space="preserve">, </w:t>
      </w:r>
      <w:r w:rsidRPr="007E0937">
        <w:t>Memorandum Opinion and Order</w:t>
      </w:r>
      <w:r>
        <w:t xml:space="preserve">, 14 FCC Rcd 12752, 12757, para. 11 (1999); </w:t>
      </w:r>
      <w:r w:rsidRPr="007E777C">
        <w:rPr>
          <w:i/>
        </w:rPr>
        <w:t>MCI Telecommunications Corp. v. Pacific Northwest Bell Telephone Co.</w:t>
      </w:r>
      <w:r>
        <w:t xml:space="preserve">, Memorandum Opinion and Order, 5 FCC Rcd 216, para. 41 n.38 (1990), </w:t>
      </w:r>
      <w:r w:rsidRPr="007E777C">
        <w:rPr>
          <w:i/>
        </w:rPr>
        <w:t>recon. denied</w:t>
      </w:r>
      <w:r>
        <w:t xml:space="preserve">, 5 FCC Rcd 3463 (1990), </w:t>
      </w:r>
      <w:r w:rsidRPr="007E777C">
        <w:rPr>
          <w:i/>
        </w:rPr>
        <w:t>appeal dismissed sub nom. Mountain States Tel. and Tel. Co. v. FCC</w:t>
      </w:r>
      <w:r>
        <w:t>, 951 F.2d 1259 (10th Cir. 1991) (per curiam).</w:t>
      </w:r>
    </w:p>
  </w:footnote>
  <w:footnote w:id="34">
    <w:p w:rsidR="001B38E0" w:rsidRDefault="001B38E0" w:rsidP="007F1156">
      <w:pPr>
        <w:pStyle w:val="FootnoteText"/>
        <w:jc w:val="left"/>
      </w:pPr>
      <w:r>
        <w:rPr>
          <w:rStyle w:val="FootnoteReference"/>
        </w:rPr>
        <w:footnoteRef/>
      </w:r>
      <w:r>
        <w:t xml:space="preserve"> </w:t>
      </w:r>
      <w:r w:rsidRPr="001F1C25">
        <w:rPr>
          <w:i/>
          <w:szCs w:val="22"/>
        </w:rPr>
        <w:t xml:space="preserve">Application Procedures </w:t>
      </w:r>
      <w:r w:rsidR="0031458C" w:rsidRPr="0031458C">
        <w:rPr>
          <w:i/>
          <w:szCs w:val="22"/>
        </w:rPr>
        <w:t>Public Notice</w:t>
      </w:r>
      <w:r>
        <w:rPr>
          <w:szCs w:val="22"/>
        </w:rPr>
        <w:t>,</w:t>
      </w:r>
      <w:r>
        <w:rPr>
          <w:i/>
          <w:szCs w:val="22"/>
        </w:rPr>
        <w:t xml:space="preserve"> </w:t>
      </w:r>
      <w:r>
        <w:rPr>
          <w:szCs w:val="22"/>
        </w:rPr>
        <w:t>30 FCC Rcd</w:t>
      </w:r>
      <w:r>
        <w:t xml:space="preserve"> at </w:t>
      </w:r>
      <w:r w:rsidR="0057470B">
        <w:t>11090</w:t>
      </w:r>
      <w:r>
        <w:t>, paras. 173, 177; 47 CFR §</w:t>
      </w:r>
      <w:r w:rsidR="00680979">
        <w:t>§</w:t>
      </w:r>
      <w:r>
        <w:t xml:space="preserve"> 1.2112(b)</w:t>
      </w:r>
      <w:r w:rsidR="00680979">
        <w:t>, 1.2110(a)-(g)</w:t>
      </w:r>
      <w:r>
        <w:t>.</w:t>
      </w:r>
    </w:p>
  </w:footnote>
  <w:footnote w:id="35">
    <w:p w:rsidR="00032F17" w:rsidRPr="008A6DBF" w:rsidRDefault="00032F17" w:rsidP="00032F17">
      <w:pPr>
        <w:pStyle w:val="FootnoteText"/>
      </w:pPr>
      <w:r>
        <w:rPr>
          <w:rStyle w:val="FootnoteReference"/>
        </w:rPr>
        <w:footnoteRef/>
      </w:r>
      <w:r>
        <w:t xml:space="preserve"> </w:t>
      </w:r>
      <w:r w:rsidRPr="00B50696">
        <w:rPr>
          <w:i/>
        </w:rPr>
        <w:t xml:space="preserve">See </w:t>
      </w:r>
      <w:r>
        <w:t>PBP Petition at 2.</w:t>
      </w:r>
    </w:p>
  </w:footnote>
  <w:footnote w:id="36">
    <w:p w:rsidR="001B38E0" w:rsidRPr="00050D64" w:rsidRDefault="001B38E0" w:rsidP="007F1156">
      <w:pPr>
        <w:pStyle w:val="FootnoteText"/>
        <w:jc w:val="left"/>
      </w:pPr>
      <w:r>
        <w:rPr>
          <w:rStyle w:val="FootnoteReference"/>
        </w:rPr>
        <w:footnoteRef/>
      </w:r>
      <w:r>
        <w:t xml:space="preserve"> </w:t>
      </w:r>
      <w:r>
        <w:rPr>
          <w:i/>
        </w:rPr>
        <w:t xml:space="preserve">Part 1 Report and Order, </w:t>
      </w:r>
      <w:r>
        <w:t xml:space="preserve">30 FCC Rcd </w:t>
      </w:r>
      <w:r w:rsidR="0057470B">
        <w:t>at</w:t>
      </w:r>
      <w:r>
        <w:t xml:space="preserve"> </w:t>
      </w:r>
      <w:r w:rsidR="0057470B">
        <w:t>7576-77</w:t>
      </w:r>
      <w:r>
        <w:t>, para. 198; 47 C.F.R. §§1.2110(c)(6), 1.2110(c)(5)(x), 1.2105(a)(4).</w:t>
      </w:r>
    </w:p>
  </w:footnote>
  <w:footnote w:id="37">
    <w:p w:rsidR="001B38E0" w:rsidRPr="00E93ABA" w:rsidRDefault="001B38E0" w:rsidP="001B38E0">
      <w:pPr>
        <w:pStyle w:val="FootnoteText"/>
      </w:pPr>
      <w:r>
        <w:rPr>
          <w:rStyle w:val="FootnoteReference"/>
        </w:rPr>
        <w:footnoteRef/>
      </w:r>
      <w:r>
        <w:t xml:space="preserve"> </w:t>
      </w:r>
      <w:r>
        <w:rPr>
          <w:i/>
        </w:rPr>
        <w:t xml:space="preserve">Part 1 Report and Order, </w:t>
      </w:r>
      <w:r>
        <w:t xml:space="preserve">30 FCC Rcd </w:t>
      </w:r>
      <w:r w:rsidR="0057470B">
        <w:t>at</w:t>
      </w:r>
      <w:r>
        <w:t xml:space="preserve"> </w:t>
      </w:r>
      <w:r w:rsidR="0057470B">
        <w:t>7535-36</w:t>
      </w:r>
      <w:r>
        <w:t>, para. 101.</w:t>
      </w:r>
    </w:p>
  </w:footnote>
  <w:footnote w:id="38">
    <w:p w:rsidR="0094327B" w:rsidRDefault="0094327B" w:rsidP="003436A2">
      <w:pPr>
        <w:pStyle w:val="FootnoteText"/>
        <w:jc w:val="left"/>
      </w:pPr>
      <w:r>
        <w:rPr>
          <w:rStyle w:val="FootnoteReference"/>
        </w:rPr>
        <w:footnoteRef/>
      </w:r>
      <w:r>
        <w:t xml:space="preserve"> </w:t>
      </w:r>
      <w:r w:rsidR="004E1D30">
        <w:rPr>
          <w:i/>
          <w:color w:val="000000"/>
        </w:rPr>
        <w:t>Cf.</w:t>
      </w:r>
      <w:r w:rsidR="004E1D30">
        <w:t xml:space="preserve"> </w:t>
      </w:r>
      <w:r w:rsidR="004E1D30" w:rsidRPr="007F1156">
        <w:rPr>
          <w:i/>
        </w:rPr>
        <w:t>Application of Telecorp PCS, Inc.</w:t>
      </w:r>
      <w:r w:rsidR="004E1D30">
        <w:t xml:space="preserve">, 16 FCC Rcd 3716, 3725-26, paras. 19-23 (2000) (finding commonly controlled affiliates of existing C and F block PCS licensees represented the same real parties-in-interest and were therefore eligible to be transferees of such licenses where holding C or F block licenses was an eligibility requirement).  </w:t>
      </w:r>
      <w:r w:rsidR="004E1D30">
        <w:rPr>
          <w:color w:val="000000"/>
        </w:rPr>
        <w:t xml:space="preserve">  </w:t>
      </w:r>
    </w:p>
  </w:footnote>
  <w:footnote w:id="39">
    <w:p w:rsidR="00EC58CA" w:rsidRDefault="00EC58CA">
      <w:pPr>
        <w:pStyle w:val="FootnoteText"/>
      </w:pPr>
      <w:r>
        <w:rPr>
          <w:rStyle w:val="FootnoteReference"/>
        </w:rPr>
        <w:footnoteRef/>
      </w:r>
      <w:r>
        <w:t xml:space="preserve"> </w:t>
      </w:r>
      <w:r w:rsidRPr="00E82617">
        <w:rPr>
          <w:i/>
        </w:rPr>
        <w:t>Part 1 R</w:t>
      </w:r>
      <w:r>
        <w:rPr>
          <w:i/>
        </w:rPr>
        <w:t xml:space="preserve">eport and </w:t>
      </w:r>
      <w:r w:rsidRPr="00E82617">
        <w:rPr>
          <w:i/>
        </w:rPr>
        <w:t>O</w:t>
      </w:r>
      <w:r>
        <w:rPr>
          <w:i/>
        </w:rPr>
        <w:t xml:space="preserve">rder, </w:t>
      </w:r>
      <w:r w:rsidRPr="005D14AF">
        <w:t xml:space="preserve">30 FCC Rcd </w:t>
      </w:r>
      <w:r>
        <w:t xml:space="preserve">at 7535-36, at paras. 99, 102.  </w:t>
      </w:r>
    </w:p>
  </w:footnote>
  <w:footnote w:id="40">
    <w:p w:rsidR="00EC58CA" w:rsidRDefault="00EC58CA">
      <w:pPr>
        <w:pStyle w:val="FootnoteText"/>
      </w:pPr>
      <w:r>
        <w:rPr>
          <w:rStyle w:val="FootnoteReference"/>
        </w:rPr>
        <w:footnoteRef/>
      </w:r>
      <w:r>
        <w:t xml:space="preserve"> </w:t>
      </w:r>
      <w:r>
        <w:rPr>
          <w:color w:val="000000"/>
        </w:rPr>
        <w:t xml:space="preserve">47 CFR § 1.2110(f)(4)(i)(C).  </w:t>
      </w:r>
    </w:p>
  </w:footnote>
  <w:footnote w:id="41">
    <w:p w:rsidR="00EC58CA" w:rsidRDefault="00EC58CA">
      <w:pPr>
        <w:pStyle w:val="FootnoteText"/>
      </w:pPr>
      <w:r>
        <w:rPr>
          <w:rStyle w:val="FootnoteReference"/>
        </w:rPr>
        <w:footnoteRef/>
      </w:r>
      <w:r>
        <w:t xml:space="preserve"> </w:t>
      </w:r>
      <w:r>
        <w:rPr>
          <w:i/>
          <w:color w:val="000000"/>
        </w:rPr>
        <w:t xml:space="preserve">See </w:t>
      </w:r>
      <w:r>
        <w:rPr>
          <w:color w:val="000000"/>
        </w:rPr>
        <w:t>47 CFR § 1.2110(b)(2).</w:t>
      </w:r>
    </w:p>
  </w:footnote>
  <w:footnote w:id="42">
    <w:p w:rsidR="0094327B" w:rsidRDefault="0094327B" w:rsidP="00782CF2">
      <w:pPr>
        <w:pStyle w:val="FootnoteText"/>
        <w:jc w:val="left"/>
      </w:pPr>
      <w:r>
        <w:rPr>
          <w:rStyle w:val="FootnoteReference"/>
        </w:rPr>
        <w:footnoteRef/>
      </w:r>
      <w:r>
        <w:t xml:space="preserve"> </w:t>
      </w:r>
      <w:r w:rsidRPr="00B64F6F">
        <w:t>T-Mobile Petition</w:t>
      </w:r>
      <w:r>
        <w:t xml:space="preserve"> at 1. </w:t>
      </w:r>
    </w:p>
  </w:footnote>
  <w:footnote w:id="43">
    <w:p w:rsidR="0094327B" w:rsidRPr="00542FFB" w:rsidRDefault="0094327B" w:rsidP="00782CF2">
      <w:pPr>
        <w:pStyle w:val="FootnoteText"/>
        <w:jc w:val="left"/>
      </w:pPr>
      <w:r>
        <w:rPr>
          <w:rStyle w:val="FootnoteReference"/>
        </w:rPr>
        <w:footnoteRef/>
      </w:r>
      <w:r>
        <w:t xml:space="preserve"> </w:t>
      </w:r>
      <w:r>
        <w:rPr>
          <w:i/>
        </w:rPr>
        <w:t>Id.</w:t>
      </w:r>
      <w:r>
        <w:t xml:space="preserve"> at 1.  </w:t>
      </w:r>
    </w:p>
  </w:footnote>
  <w:footnote w:id="44">
    <w:p w:rsidR="0094327B" w:rsidRPr="00542FFB" w:rsidRDefault="0094327B" w:rsidP="00782CF2">
      <w:pPr>
        <w:pStyle w:val="FootnoteText"/>
        <w:jc w:val="left"/>
      </w:pPr>
      <w:r>
        <w:rPr>
          <w:rStyle w:val="FootnoteReference"/>
        </w:rPr>
        <w:footnoteRef/>
      </w:r>
      <w:r>
        <w:t xml:space="preserve"> </w:t>
      </w:r>
      <w:r>
        <w:rPr>
          <w:i/>
        </w:rPr>
        <w:t>Id.</w:t>
      </w:r>
      <w:r>
        <w:t xml:space="preserve"> at 2-4.</w:t>
      </w:r>
    </w:p>
  </w:footnote>
  <w:footnote w:id="45">
    <w:p w:rsidR="0094327B" w:rsidRPr="001977F6" w:rsidRDefault="0094327B" w:rsidP="00782CF2">
      <w:pPr>
        <w:pStyle w:val="FootnoteText"/>
        <w:jc w:val="left"/>
      </w:pPr>
      <w:r>
        <w:rPr>
          <w:rStyle w:val="FootnoteReference"/>
        </w:rPr>
        <w:footnoteRef/>
      </w:r>
      <w:r>
        <w:rPr>
          <w:i/>
        </w:rPr>
        <w:t xml:space="preserve"> Id.</w:t>
      </w:r>
    </w:p>
  </w:footnote>
  <w:footnote w:id="46">
    <w:p w:rsidR="0094327B" w:rsidRPr="001977F6" w:rsidRDefault="0094327B" w:rsidP="00782CF2">
      <w:pPr>
        <w:pStyle w:val="FootnoteText"/>
        <w:jc w:val="left"/>
      </w:pPr>
      <w:r>
        <w:rPr>
          <w:rStyle w:val="FootnoteReference"/>
        </w:rPr>
        <w:footnoteRef/>
      </w:r>
      <w:r>
        <w:t xml:space="preserve"> </w:t>
      </w:r>
      <w:r>
        <w:rPr>
          <w:i/>
        </w:rPr>
        <w:t>Id.</w:t>
      </w:r>
      <w:r>
        <w:t xml:space="preserve"> at 3-4.</w:t>
      </w:r>
    </w:p>
  </w:footnote>
  <w:footnote w:id="47">
    <w:p w:rsidR="0094327B" w:rsidRDefault="0094327B" w:rsidP="00782CF2">
      <w:pPr>
        <w:pStyle w:val="FootnoteText"/>
        <w:jc w:val="left"/>
      </w:pPr>
      <w:r>
        <w:rPr>
          <w:rStyle w:val="FootnoteReference"/>
        </w:rPr>
        <w:footnoteRef/>
      </w:r>
      <w:r>
        <w:t xml:space="preserve"> </w:t>
      </w:r>
      <w:r>
        <w:rPr>
          <w:i/>
        </w:rPr>
        <w:t>Id.</w:t>
      </w:r>
      <w:r>
        <w:t xml:space="preserve"> at 8-9.  </w:t>
      </w:r>
    </w:p>
  </w:footnote>
  <w:footnote w:id="48">
    <w:p w:rsidR="0094327B" w:rsidRDefault="0094327B" w:rsidP="009254C6">
      <w:pPr>
        <w:pStyle w:val="FootnoteText"/>
        <w:jc w:val="left"/>
      </w:pPr>
      <w:r>
        <w:rPr>
          <w:rStyle w:val="FootnoteReference"/>
        </w:rPr>
        <w:footnoteRef/>
      </w:r>
      <w:r>
        <w:t xml:space="preserve"> Joint Opposition to T-Mobile Petition for Reconsideration or Request for Declaratory Ruling, AU Docket No. 14-252, GN Docket No. 12-268, WT Docket No. 12-269, at 6-7 (filed Dec. 28, 2015) (DISH Opposition).</w:t>
      </w:r>
    </w:p>
  </w:footnote>
  <w:footnote w:id="49">
    <w:p w:rsidR="0094327B" w:rsidRPr="002121F8" w:rsidRDefault="0094327B" w:rsidP="00427B65">
      <w:pPr>
        <w:pStyle w:val="FootnoteText"/>
        <w:jc w:val="left"/>
      </w:pPr>
      <w:r>
        <w:rPr>
          <w:rStyle w:val="FootnoteReference"/>
        </w:rPr>
        <w:footnoteRef/>
      </w:r>
      <w:r>
        <w:t xml:space="preserve"> </w:t>
      </w:r>
      <w:r>
        <w:rPr>
          <w:i/>
        </w:rPr>
        <w:t>Id.</w:t>
      </w:r>
      <w:r>
        <w:t xml:space="preserve"> at 8.  </w:t>
      </w:r>
      <w:r w:rsidRPr="00E27CD0">
        <w:rPr>
          <w:i/>
        </w:rPr>
        <w:t>See</w:t>
      </w:r>
      <w:r>
        <w:t xml:space="preserve"> </w:t>
      </w:r>
      <w:r w:rsidRPr="00705866">
        <w:rPr>
          <w:i/>
        </w:rPr>
        <w:t>Part 1 R</w:t>
      </w:r>
      <w:r>
        <w:rPr>
          <w:i/>
        </w:rPr>
        <w:t xml:space="preserve">eport and </w:t>
      </w:r>
      <w:r w:rsidRPr="00705866">
        <w:rPr>
          <w:i/>
        </w:rPr>
        <w:t>O</w:t>
      </w:r>
      <w:r>
        <w:rPr>
          <w:i/>
        </w:rPr>
        <w:t>rder</w:t>
      </w:r>
      <w:r w:rsidRPr="00705866">
        <w:t xml:space="preserve">, 30 FCC Rcd at </w:t>
      </w:r>
      <w:r>
        <w:t>7566-67</w:t>
      </w:r>
      <w:r w:rsidRPr="00705866">
        <w:t>, para. 173</w:t>
      </w:r>
      <w:r>
        <w:t>.</w:t>
      </w:r>
    </w:p>
  </w:footnote>
  <w:footnote w:id="50">
    <w:p w:rsidR="0094327B" w:rsidRPr="002121F8" w:rsidRDefault="0094327B" w:rsidP="00427B65">
      <w:pPr>
        <w:pStyle w:val="FootnoteText"/>
        <w:jc w:val="left"/>
      </w:pPr>
      <w:r>
        <w:rPr>
          <w:rStyle w:val="FootnoteReference"/>
        </w:rPr>
        <w:footnoteRef/>
      </w:r>
      <w:r>
        <w:t xml:space="preserve"> </w:t>
      </w:r>
      <w:r>
        <w:rPr>
          <w:i/>
        </w:rPr>
        <w:t>Id.</w:t>
      </w:r>
      <w:r>
        <w:t xml:space="preserve"> at 1.</w:t>
      </w:r>
    </w:p>
  </w:footnote>
  <w:footnote w:id="51">
    <w:p w:rsidR="0094327B" w:rsidRDefault="0094327B" w:rsidP="00E708EA">
      <w:pPr>
        <w:pStyle w:val="FootnoteText"/>
        <w:jc w:val="left"/>
      </w:pPr>
      <w:r>
        <w:rPr>
          <w:rStyle w:val="FootnoteReference"/>
        </w:rPr>
        <w:footnoteRef/>
      </w:r>
      <w:r>
        <w:t xml:space="preserve"> Reply</w:t>
      </w:r>
      <w:r w:rsidRPr="00B15F6D">
        <w:t xml:space="preserve"> </w:t>
      </w:r>
      <w:r>
        <w:t>of AT&amp;T to Petition for Reconsideration, AU Docket No. 14-252, GN Docket No. 12-268, WT Docket No. 12-269, at 6-7 (filed Dec. 28, 2015) (AT&amp;T Reply).</w:t>
      </w:r>
    </w:p>
  </w:footnote>
  <w:footnote w:id="52">
    <w:p w:rsidR="0094327B" w:rsidRPr="00D101B0" w:rsidRDefault="0094327B" w:rsidP="00DF1204">
      <w:pPr>
        <w:pStyle w:val="FootnoteText"/>
        <w:jc w:val="left"/>
      </w:pPr>
      <w:r>
        <w:rPr>
          <w:rStyle w:val="FootnoteReference"/>
        </w:rPr>
        <w:footnoteRef/>
      </w:r>
      <w:r>
        <w:t xml:space="preserve"> AT&amp;T Reply at 2.  </w:t>
      </w:r>
    </w:p>
  </w:footnote>
  <w:footnote w:id="53">
    <w:p w:rsidR="0094327B" w:rsidRPr="006A7097" w:rsidRDefault="0094327B" w:rsidP="00DF1204">
      <w:pPr>
        <w:pStyle w:val="FootnoteText"/>
        <w:jc w:val="left"/>
      </w:pPr>
      <w:r>
        <w:rPr>
          <w:rStyle w:val="FootnoteReference"/>
        </w:rPr>
        <w:footnoteRef/>
      </w:r>
      <w:r>
        <w:t xml:space="preserve"> </w:t>
      </w:r>
      <w:r>
        <w:rPr>
          <w:i/>
        </w:rPr>
        <w:t>Id.</w:t>
      </w:r>
      <w:r>
        <w:t xml:space="preserve"> at 2-3.</w:t>
      </w:r>
    </w:p>
  </w:footnote>
  <w:footnote w:id="54">
    <w:p w:rsidR="0094327B" w:rsidRDefault="0094327B">
      <w:pPr>
        <w:pStyle w:val="FootnoteText"/>
      </w:pPr>
      <w:r>
        <w:rPr>
          <w:rStyle w:val="FootnoteReference"/>
        </w:rPr>
        <w:footnoteRef/>
      </w:r>
      <w:r>
        <w:t xml:space="preserve"> Reply to Opposition to Petition for Reconsideration or Request for Declaratory Ruling of T-Mobile USA, Inc., AU Docket No. 14-252, GN Docket No. 12-268, WT Docket No. 12-269  (filed Jan. 7, 2016) (T-Mobile Reply).</w:t>
      </w:r>
    </w:p>
  </w:footnote>
  <w:footnote w:id="55">
    <w:p w:rsidR="0094327B" w:rsidRDefault="0094327B" w:rsidP="00DF1204">
      <w:pPr>
        <w:pStyle w:val="FootnoteText"/>
      </w:pPr>
      <w:r>
        <w:rPr>
          <w:rStyle w:val="FootnoteReference"/>
        </w:rPr>
        <w:footnoteRef/>
      </w:r>
      <w:r>
        <w:t xml:space="preserve"> T-Mobile Reply</w:t>
      </w:r>
      <w:r w:rsidRPr="008464BF">
        <w:t xml:space="preserve"> </w:t>
      </w:r>
      <w:r>
        <w:t>at 1, 2, 5, 7.</w:t>
      </w:r>
    </w:p>
  </w:footnote>
  <w:footnote w:id="56">
    <w:p w:rsidR="0094327B" w:rsidRPr="005D0DB2" w:rsidRDefault="0094327B" w:rsidP="00DF1204">
      <w:pPr>
        <w:pStyle w:val="FootnoteText"/>
      </w:pPr>
      <w:r>
        <w:rPr>
          <w:rStyle w:val="FootnoteReference"/>
        </w:rPr>
        <w:footnoteRef/>
      </w:r>
      <w:r>
        <w:t xml:space="preserve"> </w:t>
      </w:r>
      <w:r>
        <w:rPr>
          <w:i/>
        </w:rPr>
        <w:t>Id.</w:t>
      </w:r>
      <w:r>
        <w:t xml:space="preserve"> at 5.</w:t>
      </w:r>
    </w:p>
  </w:footnote>
  <w:footnote w:id="57">
    <w:p w:rsidR="0094327B" w:rsidRDefault="0094327B" w:rsidP="00DF1204">
      <w:pPr>
        <w:pStyle w:val="FootnoteText"/>
      </w:pPr>
      <w:r>
        <w:rPr>
          <w:rStyle w:val="FootnoteReference"/>
        </w:rPr>
        <w:footnoteRef/>
      </w:r>
      <w:r>
        <w:t xml:space="preserve">  DISH Entities Joint Response to Reply of AT&amp;T Services Inc., AU Docket No. 14-252, GN Docket No. 12-268, WT Docket No. 12-269, at 2 (filed Jan. 7, 2016) (DISH Reply).</w:t>
      </w:r>
    </w:p>
  </w:footnote>
  <w:footnote w:id="58">
    <w:p w:rsidR="0094327B" w:rsidRDefault="0094327B" w:rsidP="00B11162">
      <w:pPr>
        <w:pStyle w:val="FootnoteText"/>
        <w:jc w:val="left"/>
      </w:pPr>
      <w:r>
        <w:rPr>
          <w:rStyle w:val="FootnoteReference"/>
        </w:rPr>
        <w:footnoteRef/>
      </w:r>
      <w:r>
        <w:t xml:space="preserve"> </w:t>
      </w:r>
      <w:r>
        <w:rPr>
          <w:i/>
        </w:rPr>
        <w:t xml:space="preserve">See </w:t>
      </w:r>
      <w:r w:rsidRPr="00E87019">
        <w:rPr>
          <w:i/>
        </w:rPr>
        <w:t>Auction of Advanced Wireless Services (AWS-3) Licenses Closes</w:t>
      </w:r>
      <w:r>
        <w:t>;</w:t>
      </w:r>
      <w:r w:rsidRPr="00E87019">
        <w:rPr>
          <w:i/>
        </w:rPr>
        <w:t xml:space="preserve"> Winning Bidders Announced for Auction 97</w:t>
      </w:r>
      <w:r>
        <w:t>,</w:t>
      </w:r>
      <w:r>
        <w:rPr>
          <w:i/>
        </w:rPr>
        <w:t xml:space="preserve"> </w:t>
      </w:r>
      <w:r w:rsidRPr="00E87019">
        <w:t>Public Notice</w:t>
      </w:r>
      <w:r>
        <w:rPr>
          <w:i/>
        </w:rPr>
        <w:t xml:space="preserve">, </w:t>
      </w:r>
      <w:r>
        <w:t xml:space="preserve">30 FCC Rcd 630, </w:t>
      </w:r>
      <w:r w:rsidR="00F35A4C">
        <w:t xml:space="preserve">para. </w:t>
      </w:r>
      <w:r>
        <w:t>24 (WTB 2015) (</w:t>
      </w:r>
      <w:r w:rsidRPr="00870DE0">
        <w:rPr>
          <w:i/>
        </w:rPr>
        <w:t>Closing Public Notice</w:t>
      </w:r>
      <w:r>
        <w:t>).</w:t>
      </w:r>
    </w:p>
  </w:footnote>
  <w:footnote w:id="59">
    <w:p w:rsidR="0094327B" w:rsidRDefault="0094327B" w:rsidP="00415351">
      <w:pPr>
        <w:pStyle w:val="FootnoteText"/>
        <w:jc w:val="left"/>
      </w:pPr>
      <w:r>
        <w:rPr>
          <w:rStyle w:val="FootnoteReference"/>
        </w:rPr>
        <w:footnoteRef/>
      </w:r>
      <w:r>
        <w:t xml:space="preserve"> Although the </w:t>
      </w:r>
      <w:r w:rsidRPr="008C630E">
        <w:t xml:space="preserve">Commission </w:t>
      </w:r>
      <w:r>
        <w:t xml:space="preserve">recently </w:t>
      </w:r>
      <w:r w:rsidRPr="008C630E">
        <w:t>adopted certain changes to its competitive bidding rules</w:t>
      </w:r>
      <w:r>
        <w:t xml:space="preserve">, </w:t>
      </w:r>
      <w:r w:rsidRPr="008C630E">
        <w:t xml:space="preserve">Auction 97 took place under </w:t>
      </w:r>
      <w:r>
        <w:t xml:space="preserve">the Commission’s </w:t>
      </w:r>
      <w:r w:rsidRPr="008C630E">
        <w:t>prior rules</w:t>
      </w:r>
      <w:r>
        <w:t xml:space="preserve">.  </w:t>
      </w:r>
      <w:r>
        <w:rPr>
          <w:i/>
        </w:rPr>
        <w:t xml:space="preserve">See </w:t>
      </w:r>
      <w:r w:rsidRPr="00137428">
        <w:rPr>
          <w:i/>
        </w:rPr>
        <w:t>Part 1 R</w:t>
      </w:r>
      <w:r>
        <w:rPr>
          <w:i/>
        </w:rPr>
        <w:t xml:space="preserve">eport and </w:t>
      </w:r>
      <w:r w:rsidRPr="00833F93">
        <w:rPr>
          <w:i/>
        </w:rPr>
        <w:t>O</w:t>
      </w:r>
      <w:r>
        <w:rPr>
          <w:i/>
        </w:rPr>
        <w:t>rder</w:t>
      </w:r>
      <w:r>
        <w:t xml:space="preserve">, </w:t>
      </w:r>
      <w:r w:rsidRPr="009F4250">
        <w:t>30</w:t>
      </w:r>
      <w:r w:rsidRPr="00137428">
        <w:t xml:space="preserve"> FCC Rc</w:t>
      </w:r>
      <w:r>
        <w:t>d 7493 (2015).</w:t>
      </w:r>
      <w:r w:rsidRPr="009F4250">
        <w:t xml:space="preserve"> </w:t>
      </w:r>
      <w:r w:rsidRPr="008C630E">
        <w:t xml:space="preserve">.  </w:t>
      </w:r>
    </w:p>
  </w:footnote>
  <w:footnote w:id="60">
    <w:p w:rsidR="0094327B" w:rsidRPr="00BD4A69" w:rsidRDefault="0094327B" w:rsidP="00575C7E">
      <w:pPr>
        <w:pStyle w:val="FootnoteText"/>
      </w:pPr>
      <w:r w:rsidRPr="00BD4A69">
        <w:rPr>
          <w:rStyle w:val="FootnoteReference"/>
        </w:rPr>
        <w:footnoteRef/>
      </w:r>
      <w:r w:rsidRPr="00BD4A69">
        <w:t xml:space="preserve"> </w:t>
      </w:r>
      <w:r w:rsidRPr="007B3364">
        <w:rPr>
          <w:i/>
        </w:rPr>
        <w:t>Northstar Wireless, LLC, SNR Wireless LicenseCo, LLC, Applications for New Licenses in the 1695-1710 MHz, and 1755-1780 MHz and 2155-2180 MHz Bands</w:t>
      </w:r>
      <w:r w:rsidRPr="00BD4A69">
        <w:t>,</w:t>
      </w:r>
      <w:r w:rsidRPr="00BD4A69">
        <w:rPr>
          <w:i/>
        </w:rPr>
        <w:t xml:space="preserve"> </w:t>
      </w:r>
      <w:r w:rsidRPr="007B3364">
        <w:t>Memorandum Opinion and Order</w:t>
      </w:r>
      <w:r w:rsidRPr="00BD4A69">
        <w:t xml:space="preserve">, </w:t>
      </w:r>
      <w:r>
        <w:t>30 FCC Rcd 8887</w:t>
      </w:r>
      <w:r w:rsidRPr="00BD4A69">
        <w:t xml:space="preserve"> (2015)</w:t>
      </w:r>
      <w:r>
        <w:t xml:space="preserve"> </w:t>
      </w:r>
      <w:r w:rsidRPr="00BD4A69">
        <w:rPr>
          <w:szCs w:val="22"/>
        </w:rPr>
        <w:t>(</w:t>
      </w:r>
      <w:r w:rsidRPr="00BD4A69">
        <w:rPr>
          <w:i/>
          <w:szCs w:val="22"/>
        </w:rPr>
        <w:t>MO&amp;O</w:t>
      </w:r>
      <w:r w:rsidRPr="00BD4A69">
        <w:rPr>
          <w:szCs w:val="22"/>
        </w:rPr>
        <w:t>)</w:t>
      </w:r>
      <w:r w:rsidRPr="00BD4A69">
        <w:t>.</w:t>
      </w:r>
    </w:p>
  </w:footnote>
  <w:footnote w:id="61">
    <w:p w:rsidR="0094327B" w:rsidRPr="00BD4A69" w:rsidRDefault="0094327B" w:rsidP="008A6AA7">
      <w:pPr>
        <w:pStyle w:val="FootnoteText"/>
      </w:pPr>
      <w:r w:rsidRPr="00BD4A69">
        <w:rPr>
          <w:rStyle w:val="FootnoteReference"/>
        </w:rPr>
        <w:footnoteRef/>
      </w:r>
      <w:r w:rsidRPr="00BD4A69">
        <w:t xml:space="preserve"> </w:t>
      </w:r>
      <w:r w:rsidRPr="005C66FB">
        <w:rPr>
          <w:i/>
          <w:szCs w:val="22"/>
        </w:rPr>
        <w:t xml:space="preserve"> </w:t>
      </w:r>
      <w:r w:rsidRPr="00BD4A69">
        <w:rPr>
          <w:i/>
          <w:szCs w:val="22"/>
        </w:rPr>
        <w:t>MO&amp;O</w:t>
      </w:r>
      <w:r w:rsidRPr="00BD4A69">
        <w:t xml:space="preserve">, </w:t>
      </w:r>
      <w:r>
        <w:t xml:space="preserve">30 FCC Rcd at 8909 para. 49, 8948-49 para. 151.  </w:t>
      </w:r>
    </w:p>
  </w:footnote>
  <w:footnote w:id="62">
    <w:p w:rsidR="0094327B" w:rsidRDefault="0094327B" w:rsidP="0030156B">
      <w:pPr>
        <w:pStyle w:val="FootnoteText"/>
        <w:jc w:val="left"/>
      </w:pPr>
      <w:r>
        <w:rPr>
          <w:rStyle w:val="FootnoteReference"/>
        </w:rPr>
        <w:footnoteRef/>
      </w:r>
      <w:r>
        <w:t xml:space="preserve"> </w:t>
      </w:r>
      <w:r w:rsidRPr="00BD4A69">
        <w:rPr>
          <w:i/>
        </w:rPr>
        <w:t>See, e.g.</w:t>
      </w:r>
      <w:r w:rsidRPr="00BD4A69">
        <w:t>,</w:t>
      </w:r>
      <w:r w:rsidRPr="00BD4A69">
        <w:rPr>
          <w:spacing w:val="-2"/>
        </w:rPr>
        <w:t xml:space="preserve"> </w:t>
      </w:r>
      <w:r w:rsidRPr="007B3364">
        <w:rPr>
          <w:i/>
          <w:spacing w:val="-2"/>
        </w:rPr>
        <w:t xml:space="preserve">LMDS Communications, Inc., </w:t>
      </w:r>
      <w:r w:rsidRPr="007B3364">
        <w:rPr>
          <w:i/>
        </w:rPr>
        <w:t>Request for Waiver of Sections 1.2109(a) and (c), 1.2104(g) and 101.1105(b) of the Commission’s Rules Regarding BTA117, BTA122, BTA203, BTA215, BTA218, BTA287, BTA317, BTA328, BTA330, BTA335, BTA375 and BTA416</w:t>
      </w:r>
      <w:r w:rsidRPr="00BD4A69">
        <w:t xml:space="preserve">, </w:t>
      </w:r>
      <w:r w:rsidRPr="007B3364">
        <w:t>Order</w:t>
      </w:r>
      <w:r w:rsidRPr="00BD4A69">
        <w:t>, 15 FCC Rcd 8618, 8622 n.30 (2000</w:t>
      </w:r>
      <w:r>
        <w:t>).</w:t>
      </w:r>
    </w:p>
  </w:footnote>
  <w:footnote w:id="63">
    <w:p w:rsidR="0094327B" w:rsidRDefault="0094327B" w:rsidP="00E85411">
      <w:pPr>
        <w:pStyle w:val="FootnoteText"/>
        <w:jc w:val="left"/>
      </w:pPr>
      <w:r>
        <w:rPr>
          <w:rStyle w:val="FootnoteReference"/>
        </w:rPr>
        <w:footnoteRef/>
      </w:r>
      <w:r>
        <w:t xml:space="preserve"> </w:t>
      </w:r>
      <w:r w:rsidRPr="00E21CCC">
        <w:rPr>
          <w:i/>
        </w:rPr>
        <w:t xml:space="preserve">See </w:t>
      </w:r>
      <w:r w:rsidRPr="00516E03">
        <w:t>Letter to Mark F. Dever, Esq., Counsel for Northstar Wireless, LLC, from Roger C. Sherman, Chief, Wireless Teleco</w:t>
      </w:r>
      <w:r>
        <w:t>mmunications Bureau, 30 FCC Rcd 10700</w:t>
      </w:r>
      <w:r w:rsidRPr="00516E03">
        <w:t xml:space="preserve"> (rel. Oct. 1, 2015</w:t>
      </w:r>
      <w:r>
        <w:t>)</w:t>
      </w:r>
      <w:r w:rsidRPr="00516E03">
        <w:t xml:space="preserve">, and Letter to Ari Q. Fitzgerald, Esq., Counsel for SNR Wireless LicenseCo, LLC, from Roger C. Sherman, Chief, Wireless Telecommunications Bureau, </w:t>
      </w:r>
      <w:r>
        <w:t>30 FCC Rcd 10704</w:t>
      </w:r>
      <w:r w:rsidRPr="00516E03">
        <w:t xml:space="preserve"> (rel. Oct. 1, 2015</w:t>
      </w:r>
      <w:r>
        <w:t>); 47 CFR § 1.2104(g)</w:t>
      </w:r>
      <w:r w:rsidR="00F35A4C">
        <w:t>.</w:t>
      </w:r>
    </w:p>
  </w:footnote>
  <w:footnote w:id="64">
    <w:p w:rsidR="0094327B" w:rsidRDefault="0094327B">
      <w:pPr>
        <w:pStyle w:val="FootnoteText"/>
      </w:pPr>
      <w:r>
        <w:rPr>
          <w:rStyle w:val="FootnoteReference"/>
        </w:rPr>
        <w:footnoteRef/>
      </w:r>
      <w:r>
        <w:t xml:space="preserve"> T-Mobile Petition at 2-4, 6.</w:t>
      </w:r>
    </w:p>
  </w:footnote>
  <w:footnote w:id="65">
    <w:p w:rsidR="0094327B" w:rsidRDefault="0094327B">
      <w:pPr>
        <w:pStyle w:val="FootnoteText"/>
      </w:pPr>
      <w:r>
        <w:rPr>
          <w:rStyle w:val="FootnoteReference"/>
        </w:rPr>
        <w:footnoteRef/>
      </w:r>
      <w:r>
        <w:t xml:space="preserve"> T-Mobile Petition at 3.</w:t>
      </w:r>
    </w:p>
  </w:footnote>
  <w:footnote w:id="66">
    <w:p w:rsidR="0094327B" w:rsidRDefault="0094327B">
      <w:pPr>
        <w:pStyle w:val="FootnoteText"/>
      </w:pPr>
      <w:r>
        <w:rPr>
          <w:rStyle w:val="FootnoteReference"/>
        </w:rPr>
        <w:footnoteRef/>
      </w:r>
      <w:r>
        <w:t xml:space="preserve">  T-Mobile Petition at 4.</w:t>
      </w:r>
    </w:p>
  </w:footnote>
  <w:footnote w:id="67">
    <w:p w:rsidR="0094327B" w:rsidRDefault="0094327B">
      <w:pPr>
        <w:pStyle w:val="FootnoteText"/>
      </w:pPr>
      <w:r>
        <w:rPr>
          <w:rStyle w:val="FootnoteReference"/>
        </w:rPr>
        <w:footnoteRef/>
      </w:r>
      <w:r>
        <w:t xml:space="preserve"> </w:t>
      </w:r>
      <w:r w:rsidRPr="004C3CA3">
        <w:rPr>
          <w:i/>
        </w:rPr>
        <w:t>Id.</w:t>
      </w:r>
      <w:r>
        <w:rPr>
          <w:i/>
        </w:rPr>
        <w:t xml:space="preserve"> </w:t>
      </w:r>
      <w:r>
        <w:t>a</w:t>
      </w:r>
      <w:r w:rsidRPr="005C1847">
        <w:t>t</w:t>
      </w:r>
      <w:r>
        <w:t xml:space="preserve"> 5.</w:t>
      </w:r>
    </w:p>
  </w:footnote>
  <w:footnote w:id="68">
    <w:p w:rsidR="0094327B" w:rsidRPr="005C1847" w:rsidRDefault="0094327B">
      <w:pPr>
        <w:pStyle w:val="FootnoteText"/>
      </w:pPr>
      <w:r>
        <w:rPr>
          <w:rStyle w:val="FootnoteReference"/>
        </w:rPr>
        <w:footnoteRef/>
      </w:r>
      <w:r>
        <w:t xml:space="preserve"> </w:t>
      </w:r>
      <w:r w:rsidRPr="004C3CA3">
        <w:rPr>
          <w:i/>
        </w:rPr>
        <w:t>Id.</w:t>
      </w:r>
      <w:r>
        <w:t xml:space="preserve"> at 7.</w:t>
      </w:r>
    </w:p>
  </w:footnote>
  <w:footnote w:id="69">
    <w:p w:rsidR="0094327B" w:rsidRPr="00355BA4" w:rsidRDefault="0094327B" w:rsidP="002C6F55">
      <w:pPr>
        <w:pStyle w:val="FootnoteText"/>
        <w:jc w:val="left"/>
      </w:pPr>
      <w:r>
        <w:rPr>
          <w:rStyle w:val="FootnoteReference"/>
        </w:rPr>
        <w:footnoteRef/>
      </w:r>
      <w:r>
        <w:t xml:space="preserve"> </w:t>
      </w:r>
      <w:r w:rsidRPr="00355BA4">
        <w:rPr>
          <w:i/>
        </w:rPr>
        <w:t>See</w:t>
      </w:r>
      <w:r>
        <w:t xml:space="preserve"> AT&amp;T Reply at 3-4 (An order on reconsideration of the </w:t>
      </w:r>
      <w:r w:rsidRPr="005E4943">
        <w:rPr>
          <w:i/>
        </w:rPr>
        <w:t xml:space="preserve">Application </w:t>
      </w:r>
      <w:r>
        <w:rPr>
          <w:i/>
        </w:rPr>
        <w:t>P</w:t>
      </w:r>
      <w:r w:rsidRPr="005E4943">
        <w:rPr>
          <w:i/>
        </w:rPr>
        <w:t xml:space="preserve">rocedures </w:t>
      </w:r>
      <w:r w:rsidR="0031458C" w:rsidRPr="0031458C">
        <w:rPr>
          <w:i/>
        </w:rPr>
        <w:t>Public Notice</w:t>
      </w:r>
      <w:r>
        <w:t xml:space="preserve"> is not “necessary or appropriate”). </w:t>
      </w:r>
    </w:p>
  </w:footnote>
  <w:footnote w:id="70">
    <w:p w:rsidR="0094327B" w:rsidRDefault="0094327B" w:rsidP="002C6F55">
      <w:pPr>
        <w:pStyle w:val="FootnoteText"/>
        <w:jc w:val="left"/>
      </w:pPr>
      <w:r>
        <w:rPr>
          <w:rStyle w:val="FootnoteReference"/>
        </w:rPr>
        <w:footnoteRef/>
      </w:r>
      <w:r>
        <w:t xml:space="preserve"> 47 U.S.C. § 405(a).  The Commission’s rules provide for dismissal of petitions for reconsideration that “relate to matters outside the scope of the order for which reconsideration is sought,” and therefore “plainly do not warrant consideration.” </w:t>
      </w:r>
      <w:r w:rsidRPr="00605D21">
        <w:rPr>
          <w:i/>
        </w:rPr>
        <w:t>See</w:t>
      </w:r>
      <w:r>
        <w:t xml:space="preserve"> 47 CFR §§ 1.106(p)(5), 1.429(l)(5).</w:t>
      </w:r>
      <w:r w:rsidRPr="007D4866" w:rsidDel="007D4866">
        <w:t xml:space="preserve"> </w:t>
      </w:r>
      <w:r>
        <w:t xml:space="preserve"> </w:t>
      </w:r>
    </w:p>
  </w:footnote>
  <w:footnote w:id="71">
    <w:p w:rsidR="0094327B" w:rsidRDefault="0094327B" w:rsidP="00FA354C">
      <w:pPr>
        <w:pStyle w:val="FootnoteText"/>
      </w:pPr>
      <w:r>
        <w:rPr>
          <w:rStyle w:val="FootnoteReference"/>
        </w:rPr>
        <w:footnoteRef/>
      </w:r>
      <w:r>
        <w:t xml:space="preserve"> T-Mobile Reply at 5, 9.</w:t>
      </w:r>
    </w:p>
  </w:footnote>
  <w:footnote w:id="72">
    <w:p w:rsidR="0094327B" w:rsidRPr="0025609C" w:rsidRDefault="0094327B" w:rsidP="00F24CBD">
      <w:pPr>
        <w:pStyle w:val="NoSpacing"/>
        <w:rPr>
          <w:rStyle w:val="Emphasis"/>
          <w:i w:val="0"/>
          <w:color w:val="000000"/>
          <w:sz w:val="20"/>
        </w:rPr>
      </w:pPr>
      <w:r>
        <w:rPr>
          <w:rStyle w:val="FootnoteReference"/>
        </w:rPr>
        <w:footnoteRef/>
      </w:r>
      <w:r>
        <w:t xml:space="preserve"> </w:t>
      </w:r>
      <w:r w:rsidRPr="0025609C">
        <w:rPr>
          <w:rStyle w:val="Emphasis"/>
          <w:color w:val="000000"/>
          <w:sz w:val="20"/>
        </w:rPr>
        <w:t>Forward Auction Application Filing Window Opens Today at Noon After One-Day Weather Delay; FCC Form 175 Deadline Extended to February 10, 2016</w:t>
      </w:r>
      <w:r w:rsidRPr="0025609C">
        <w:rPr>
          <w:rStyle w:val="Emphasis"/>
          <w:i w:val="0"/>
          <w:color w:val="000000"/>
          <w:sz w:val="20"/>
        </w:rPr>
        <w:t>,</w:t>
      </w:r>
      <w:r w:rsidRPr="0025609C">
        <w:rPr>
          <w:rStyle w:val="Emphasis"/>
          <w:color w:val="000000"/>
          <w:sz w:val="20"/>
        </w:rPr>
        <w:t xml:space="preserve"> </w:t>
      </w:r>
      <w:r w:rsidRPr="00365AD2">
        <w:rPr>
          <w:sz w:val="20"/>
        </w:rPr>
        <w:t>Public Notice, DA 16-89 (WTB rel. Jan. 27, 2016)</w:t>
      </w:r>
      <w:r>
        <w:rPr>
          <w:sz w:val="20"/>
        </w:rPr>
        <w:t>.</w:t>
      </w:r>
    </w:p>
    <w:p w:rsidR="0094327B" w:rsidRDefault="0094327B" w:rsidP="00F24CBD">
      <w:pPr>
        <w:pStyle w:val="NoSpacing"/>
      </w:pPr>
    </w:p>
  </w:footnote>
  <w:footnote w:id="73">
    <w:p w:rsidR="0094327B" w:rsidRPr="00CA4B30" w:rsidRDefault="0094327B" w:rsidP="004A3238">
      <w:pPr>
        <w:pStyle w:val="FootnoteText"/>
        <w:jc w:val="left"/>
      </w:pPr>
      <w:r>
        <w:rPr>
          <w:rStyle w:val="FootnoteReference"/>
        </w:rPr>
        <w:footnoteRef/>
      </w:r>
      <w:r>
        <w:t xml:space="preserve"> </w:t>
      </w:r>
      <w:r w:rsidRPr="0025609C">
        <w:rPr>
          <w:rStyle w:val="Emphasis"/>
          <w:color w:val="000000"/>
        </w:rPr>
        <w:t xml:space="preserve">See </w:t>
      </w:r>
      <w:r w:rsidRPr="0025609C">
        <w:rPr>
          <w:rStyle w:val="Emphasis"/>
          <w:i w:val="0"/>
          <w:color w:val="000000"/>
        </w:rPr>
        <w:t xml:space="preserve">47 C.F.R. § 1.2(a) (“The Commission may, in accordance with section 5(d) of the Administrative Procedure Act, on motion or on its own motion issue a declaratory ruling terminating a controversy or removing uncertainty.”).  T-Mobile suggests that a declaratory ruling would be appropriate because the DISH entities engaged in what it terms “controversial behavior.”  T-Mobile Reply at 2.  Section 1.2(a) gives the Commission discretion to issue a declaratory ruling when doing so will resolve a bona fide question or dispute concerning a Commission rule, policy or decision.  The term “controversy” does not include subjective characterizations of a party transacting business with the Commission.   </w:t>
      </w:r>
    </w:p>
  </w:footnote>
  <w:footnote w:id="74">
    <w:p w:rsidR="0094327B" w:rsidRDefault="0094327B" w:rsidP="00D3517C">
      <w:pPr>
        <w:pStyle w:val="NoSpacing"/>
        <w:rPr>
          <w:color w:val="212121"/>
          <w:sz w:val="20"/>
        </w:rPr>
      </w:pPr>
      <w:r>
        <w:rPr>
          <w:rStyle w:val="FootnoteReference"/>
        </w:rPr>
        <w:footnoteRef/>
      </w:r>
      <w:r>
        <w:t xml:space="preserve"> </w:t>
      </w:r>
      <w:r w:rsidRPr="00D3517C">
        <w:rPr>
          <w:sz w:val="20"/>
        </w:rPr>
        <w:t>The Commission</w:t>
      </w:r>
      <w:r>
        <w:rPr>
          <w:sz w:val="20"/>
        </w:rPr>
        <w:t xml:space="preserve"> established a st</w:t>
      </w:r>
      <w:r w:rsidRPr="00743C95">
        <w:rPr>
          <w:sz w:val="20"/>
        </w:rPr>
        <w:t>reamlined pre-auction review</w:t>
      </w:r>
      <w:r>
        <w:rPr>
          <w:sz w:val="20"/>
        </w:rPr>
        <w:t xml:space="preserve"> </w:t>
      </w:r>
      <w:r w:rsidRPr="00743C95">
        <w:rPr>
          <w:sz w:val="20"/>
        </w:rPr>
        <w:t>pro</w:t>
      </w:r>
      <w:r>
        <w:rPr>
          <w:sz w:val="20"/>
        </w:rPr>
        <w:t>cess to</w:t>
      </w:r>
      <w:r w:rsidRPr="00743C95">
        <w:rPr>
          <w:sz w:val="20"/>
        </w:rPr>
        <w:t xml:space="preserve"> promote efficiency across the board in all auctions,</w:t>
      </w:r>
      <w:r>
        <w:rPr>
          <w:sz w:val="20"/>
        </w:rPr>
        <w:t xml:space="preserve"> rather than permit applicants to fully adju</w:t>
      </w:r>
      <w:r w:rsidRPr="00D044C4">
        <w:rPr>
          <w:color w:val="212121"/>
          <w:sz w:val="20"/>
        </w:rPr>
        <w:t>dicat</w:t>
      </w:r>
      <w:r>
        <w:rPr>
          <w:color w:val="212121"/>
          <w:sz w:val="20"/>
        </w:rPr>
        <w:t xml:space="preserve">e </w:t>
      </w:r>
      <w:r w:rsidRPr="00D044C4">
        <w:rPr>
          <w:color w:val="212121"/>
          <w:sz w:val="20"/>
        </w:rPr>
        <w:t xml:space="preserve">all </w:t>
      </w:r>
      <w:r>
        <w:rPr>
          <w:color w:val="212121"/>
          <w:sz w:val="20"/>
        </w:rPr>
        <w:t>issues</w:t>
      </w:r>
      <w:r w:rsidRPr="00D044C4">
        <w:rPr>
          <w:color w:val="212121"/>
          <w:sz w:val="20"/>
        </w:rPr>
        <w:t xml:space="preserve"> relating to </w:t>
      </w:r>
      <w:r>
        <w:rPr>
          <w:color w:val="212121"/>
          <w:sz w:val="20"/>
        </w:rPr>
        <w:t>prospective competing bidders.</w:t>
      </w:r>
      <w:r>
        <w:rPr>
          <w:sz w:val="20"/>
        </w:rPr>
        <w:t xml:space="preserve">  </w:t>
      </w:r>
      <w:r w:rsidRPr="007E754D">
        <w:rPr>
          <w:i/>
          <w:sz w:val="20"/>
        </w:rPr>
        <w:t>S</w:t>
      </w:r>
      <w:r w:rsidRPr="00F67F66">
        <w:rPr>
          <w:i/>
        </w:rPr>
        <w:t>ee</w:t>
      </w:r>
      <w:r>
        <w:t xml:space="preserve"> </w:t>
      </w:r>
      <w:r w:rsidRPr="00F67F66">
        <w:rPr>
          <w:i/>
        </w:rPr>
        <w:t>Alvin Lou Media, Inc. v. FCC</w:t>
      </w:r>
      <w:r w:rsidRPr="00397492">
        <w:t xml:space="preserve">, </w:t>
      </w:r>
      <w:r w:rsidRPr="00917C42">
        <w:rPr>
          <w:sz w:val="20"/>
        </w:rPr>
        <w:t xml:space="preserve">571 F.3d 1, 12 (D.C. Cir. 2009) (upholding the two-phase application process in which the Commission conducts a streamlined and limited pre-auction review that relies largely on certifications in the short-form application, and defers a more thorough review until after the auction).  </w:t>
      </w:r>
      <w:r w:rsidRPr="00917C42">
        <w:rPr>
          <w:i/>
          <w:sz w:val="20"/>
        </w:rPr>
        <w:t>See also</w:t>
      </w:r>
      <w:r>
        <w:t xml:space="preserve"> </w:t>
      </w:r>
      <w:r w:rsidRPr="00BB0EEC">
        <w:rPr>
          <w:i/>
          <w:color w:val="212121"/>
          <w:sz w:val="20"/>
        </w:rPr>
        <w:t>Implementation of Section 309(j) of the Communications Act –Competitive Bidding for Commercial Broadcast and Instructional Television Fixed Service Licenses</w:t>
      </w:r>
      <w:r w:rsidRPr="00D044C4">
        <w:rPr>
          <w:color w:val="212121"/>
          <w:sz w:val="20"/>
        </w:rPr>
        <w:t xml:space="preserve">, </w:t>
      </w:r>
      <w:r w:rsidRPr="008C4A61">
        <w:rPr>
          <w:color w:val="212121"/>
          <w:sz w:val="20"/>
        </w:rPr>
        <w:t>MM Docket No. 97-234,</w:t>
      </w:r>
      <w:r w:rsidRPr="00D044C4">
        <w:rPr>
          <w:color w:val="212121"/>
          <w:sz w:val="20"/>
        </w:rPr>
        <w:t xml:space="preserve"> </w:t>
      </w:r>
      <w:r w:rsidRPr="00BB0EEC">
        <w:rPr>
          <w:i/>
          <w:color w:val="212121"/>
          <w:sz w:val="20"/>
        </w:rPr>
        <w:t>Reexamination of the Policy Statement on Comparative Broadcast Hearings</w:t>
      </w:r>
      <w:r w:rsidRPr="00D044C4">
        <w:rPr>
          <w:color w:val="212121"/>
          <w:sz w:val="20"/>
        </w:rPr>
        <w:t xml:space="preserve">, GC Docket No. 92-52, </w:t>
      </w:r>
      <w:r w:rsidRPr="00BB0EEC">
        <w:rPr>
          <w:i/>
          <w:color w:val="212121"/>
          <w:sz w:val="20"/>
        </w:rPr>
        <w:t>Proposals to Reform the Commission's Comparative Hearing Process to</w:t>
      </w:r>
      <w:r w:rsidRPr="00D044C4">
        <w:rPr>
          <w:color w:val="212121"/>
          <w:sz w:val="20"/>
        </w:rPr>
        <w:t xml:space="preserve"> </w:t>
      </w:r>
      <w:r w:rsidRPr="00BB0EEC">
        <w:rPr>
          <w:i/>
          <w:color w:val="212121"/>
          <w:sz w:val="20"/>
        </w:rPr>
        <w:t>Expedite the Resolution of Cases</w:t>
      </w:r>
      <w:r w:rsidRPr="00D044C4">
        <w:rPr>
          <w:color w:val="212121"/>
          <w:sz w:val="20"/>
        </w:rPr>
        <w:t xml:space="preserve">, GEN Docket No. 90-264, </w:t>
      </w:r>
      <w:hyperlink r:id="rId6" w:anchor="co_pp_sp_4493_15953" w:history="1">
        <w:r w:rsidRPr="00917C42">
          <w:rPr>
            <w:color w:val="212121"/>
            <w:sz w:val="20"/>
          </w:rPr>
          <w:t xml:space="preserve">First Report and Order, 13 FCC Rcd 15920, 15953, </w:t>
        </w:r>
        <w:r w:rsidR="0014753B">
          <w:rPr>
            <w:color w:val="212121"/>
            <w:sz w:val="20"/>
          </w:rPr>
          <w:t>para.</w:t>
        </w:r>
        <w:r w:rsidR="0014753B" w:rsidRPr="00917C42">
          <w:rPr>
            <w:color w:val="212121"/>
            <w:sz w:val="20"/>
          </w:rPr>
          <w:t xml:space="preserve"> </w:t>
        </w:r>
        <w:r w:rsidRPr="00917C42">
          <w:rPr>
            <w:color w:val="212121"/>
            <w:sz w:val="20"/>
          </w:rPr>
          <w:t>90 (1998)</w:t>
        </w:r>
      </w:hyperlink>
      <w:r w:rsidRPr="0025609C">
        <w:rPr>
          <w:color w:val="000000"/>
          <w:sz w:val="20"/>
        </w:rPr>
        <w:t xml:space="preserve"> </w:t>
      </w:r>
      <w:r w:rsidRPr="00D044C4">
        <w:rPr>
          <w:color w:val="212121"/>
          <w:sz w:val="20"/>
        </w:rPr>
        <w:t xml:space="preserve">(“We believe that the time and expense entailed in adjudicating fully all unresolved issues relating to the basic qualification issues as to all pending applicants would greatly exceed any additional delay that might result from the eventual disqualification of a winning bidder. </w:t>
      </w:r>
      <w:r>
        <w:rPr>
          <w:color w:val="212121"/>
        </w:rPr>
        <w:t xml:space="preserve"> </w:t>
      </w:r>
      <w:r w:rsidRPr="00D044C4">
        <w:rPr>
          <w:color w:val="212121"/>
          <w:sz w:val="20"/>
        </w:rPr>
        <w:t>For these reasons, we find that deferring consideration of basic qualifying issues until after the auction is fairer and ultimately more efficient than resolving any issues relating to the basic qualification of all pending applicants</w:t>
      </w:r>
      <w:r w:rsidR="0014753B">
        <w:rPr>
          <w:color w:val="212121"/>
          <w:sz w:val="20"/>
        </w:rPr>
        <w:t xml:space="preserve"> </w:t>
      </w:r>
      <w:r w:rsidRPr="00D044C4">
        <w:rPr>
          <w:color w:val="212121"/>
          <w:sz w:val="20"/>
        </w:rPr>
        <w:t>.</w:t>
      </w:r>
      <w:r w:rsidR="0014753B">
        <w:rPr>
          <w:color w:val="212121"/>
          <w:sz w:val="20"/>
        </w:rPr>
        <w:t xml:space="preserve"> </w:t>
      </w:r>
      <w:r w:rsidRPr="00D044C4">
        <w:rPr>
          <w:color w:val="212121"/>
          <w:sz w:val="20"/>
        </w:rPr>
        <w:t>.</w:t>
      </w:r>
      <w:r w:rsidR="0014753B">
        <w:rPr>
          <w:color w:val="212121"/>
          <w:sz w:val="20"/>
        </w:rPr>
        <w:t xml:space="preserve"> </w:t>
      </w:r>
      <w:r w:rsidRPr="00D044C4">
        <w:rPr>
          <w:color w:val="212121"/>
          <w:sz w:val="20"/>
        </w:rPr>
        <w:t>.</w:t>
      </w:r>
      <w:r w:rsidR="0014753B">
        <w:rPr>
          <w:color w:val="212121"/>
          <w:sz w:val="20"/>
        </w:rPr>
        <w:t xml:space="preserve"> .</w:t>
      </w:r>
      <w:r w:rsidRPr="00D044C4">
        <w:rPr>
          <w:color w:val="212121"/>
          <w:sz w:val="20"/>
        </w:rPr>
        <w:t>”).</w:t>
      </w:r>
    </w:p>
    <w:p w:rsidR="0094327B" w:rsidRPr="00D044C4" w:rsidRDefault="0094327B" w:rsidP="00D3517C">
      <w:pPr>
        <w:pStyle w:val="NoSpacing"/>
        <w:rPr>
          <w:sz w:val="20"/>
        </w:rPr>
      </w:pPr>
    </w:p>
  </w:footnote>
  <w:footnote w:id="75">
    <w:p w:rsidR="0094327B" w:rsidRDefault="0094327B" w:rsidP="00383D29">
      <w:pPr>
        <w:pStyle w:val="FootnoteText"/>
        <w:jc w:val="left"/>
      </w:pPr>
      <w:r>
        <w:rPr>
          <w:rStyle w:val="FootnoteReference"/>
        </w:rPr>
        <w:footnoteRef/>
      </w:r>
      <w:r>
        <w:t xml:space="preserve"> </w:t>
      </w:r>
      <w:r w:rsidRPr="00880482">
        <w:rPr>
          <w:i/>
        </w:rPr>
        <w:t>See</w:t>
      </w:r>
      <w:r>
        <w:t xml:space="preserve"> </w:t>
      </w:r>
      <w:r w:rsidRPr="007B3364">
        <w:rPr>
          <w:i/>
          <w:color w:val="252525"/>
        </w:rPr>
        <w:t>Adapso, the Computer Software and Services Industry Ass'n, Inc. et al</w:t>
      </w:r>
      <w:r w:rsidRPr="0010526D">
        <w:rPr>
          <w:color w:val="252525"/>
        </w:rPr>
        <w:t xml:space="preserve">., </w:t>
      </w:r>
      <w:r w:rsidRPr="007B3364">
        <w:t>Order</w:t>
      </w:r>
      <w:r w:rsidRPr="001E390B">
        <w:t>,</w:t>
      </w:r>
      <w:r>
        <w:t xml:space="preserve"> </w:t>
      </w:r>
      <w:r w:rsidRPr="0010526D">
        <w:rPr>
          <w:color w:val="252525"/>
        </w:rPr>
        <w:t xml:space="preserve">10 FCC Rcd 12128, 12128-29 ¶ 5 (1995); </w:t>
      </w:r>
      <w:r w:rsidRPr="007B3364">
        <w:rPr>
          <w:i/>
          <w:color w:val="252525"/>
        </w:rPr>
        <w:t>Petition of Motorola Satellite Communications for Declaratory Ruling Concerning Participation of Comsat Corporation in a New Inmarsat Satellite System Designed To Provide Service to Handheld</w:t>
      </w:r>
      <w:r w:rsidRPr="0010526D">
        <w:rPr>
          <w:color w:val="252525"/>
        </w:rPr>
        <w:t xml:space="preserve"> </w:t>
      </w:r>
      <w:r w:rsidRPr="007B3364">
        <w:rPr>
          <w:i/>
          <w:color w:val="252525"/>
        </w:rPr>
        <w:t>Communications Devices</w:t>
      </w:r>
      <w:r w:rsidRPr="0010526D">
        <w:rPr>
          <w:color w:val="252525"/>
        </w:rPr>
        <w:t xml:space="preserve">, </w:t>
      </w:r>
      <w:r w:rsidRPr="007B3364">
        <w:t>Memorandum Opinion and Order</w:t>
      </w:r>
      <w:r>
        <w:rPr>
          <w:color w:val="252525"/>
        </w:rPr>
        <w:t xml:space="preserve">, </w:t>
      </w:r>
      <w:r w:rsidRPr="0010526D">
        <w:rPr>
          <w:color w:val="252525"/>
        </w:rPr>
        <w:t xml:space="preserve">9 FCC Rcd 7693, 7699 </w:t>
      </w:r>
      <w:r w:rsidR="0014753B">
        <w:rPr>
          <w:color w:val="252525"/>
        </w:rPr>
        <w:t>para.</w:t>
      </w:r>
      <w:r w:rsidRPr="0010526D">
        <w:rPr>
          <w:color w:val="252525"/>
        </w:rPr>
        <w:t xml:space="preserve"> 20 (1994).  </w:t>
      </w:r>
      <w:r w:rsidRPr="0025609C">
        <w:rPr>
          <w:rStyle w:val="Emphasis"/>
          <w:i w:val="0"/>
          <w:color w:val="000000"/>
        </w:rPr>
        <w:t xml:space="preserve"> </w:t>
      </w:r>
      <w:r>
        <w:rPr>
          <w:color w:val="252525"/>
        </w:rPr>
        <w:t xml:space="preserve">   </w:t>
      </w:r>
    </w:p>
  </w:footnote>
  <w:footnote w:id="76">
    <w:p w:rsidR="0094327B" w:rsidRDefault="0094327B">
      <w:pPr>
        <w:pStyle w:val="FootnoteText"/>
      </w:pPr>
      <w:r>
        <w:rPr>
          <w:rStyle w:val="FootnoteReference"/>
        </w:rPr>
        <w:footnoteRef/>
      </w:r>
      <w:r>
        <w:t xml:space="preserve"> </w:t>
      </w:r>
      <w:r w:rsidRPr="007B3364">
        <w:rPr>
          <w:i/>
        </w:rPr>
        <w:t>In the Matter of Intelligent Transp. &amp; Monitoring Wireless LLC &amp; AMTS Consortium, LLC</w:t>
      </w:r>
      <w:r w:rsidRPr="00477430">
        <w:t xml:space="preserve">, </w:t>
      </w:r>
      <w:r w:rsidRPr="007B3364">
        <w:t>Order</w:t>
      </w:r>
      <w:r>
        <w:t xml:space="preserve">, </w:t>
      </w:r>
      <w:r w:rsidRPr="00477430">
        <w:t>21 FCC Rcd 5117, 5120 (</w:t>
      </w:r>
      <w:r>
        <w:t xml:space="preserve">WTB </w:t>
      </w:r>
      <w:r w:rsidRPr="00477430">
        <w:t xml:space="preserve">2006), petition for recon. denied, </w:t>
      </w:r>
      <w:r w:rsidRPr="007B3364">
        <w:t>Memorandum Opinion and Order</w:t>
      </w:r>
      <w:r w:rsidRPr="00477430">
        <w:t xml:space="preserve">, 22 FCC Rcd 4788 (WTB 2007), application for review denied, </w:t>
      </w:r>
      <w:r w:rsidRPr="002148C6">
        <w:rPr>
          <w:i/>
        </w:rPr>
        <w:t xml:space="preserve"> </w:t>
      </w:r>
      <w:r w:rsidRPr="00380DCA">
        <w:t>Memorandum Opinion and Order</w:t>
      </w:r>
      <w:r w:rsidRPr="007B3364">
        <w:t>,</w:t>
      </w:r>
      <w:r>
        <w:t xml:space="preserve"> </w:t>
      </w:r>
      <w:r w:rsidRPr="00477430">
        <w:t>27 FCC Rcd 7720 (2012).</w:t>
      </w:r>
    </w:p>
  </w:footnote>
  <w:footnote w:id="77">
    <w:p w:rsidR="0094327B" w:rsidRDefault="0094327B">
      <w:pPr>
        <w:pStyle w:val="FootnoteText"/>
      </w:pPr>
      <w:r>
        <w:rPr>
          <w:rStyle w:val="FootnoteReference"/>
        </w:rPr>
        <w:footnoteRef/>
      </w:r>
      <w:r>
        <w:t xml:space="preserve"> T-Mobile Petition at 6, 8. </w:t>
      </w:r>
    </w:p>
  </w:footnote>
  <w:footnote w:id="78">
    <w:p w:rsidR="0094327B" w:rsidRDefault="0094327B" w:rsidP="007D6152">
      <w:pPr>
        <w:pStyle w:val="FootnoteText"/>
        <w:jc w:val="left"/>
      </w:pPr>
      <w:r>
        <w:rPr>
          <w:rStyle w:val="FootnoteReference"/>
        </w:rPr>
        <w:footnoteRef/>
      </w:r>
      <w:r>
        <w:t xml:space="preserve"> T-Mobile Petition at 6-7.  In its Reply, T-Mobile acknowledges that the former defaulter rule does not address application of the rule to a winning bidder that selectively defaults on its winning bids “coupled” with “auction-altering practices” by the bidder.  T-Mobile Reply at 4.  We do not find that to be an appropriate basis for issuing a declaratory ruling.  Whatever the basis for such a characterization notwithstanding the prior orders of the Commission and the Bureau with respect to the DISH entities’ conduct, the argument begs the question of whether the Commission intended the former defaulter’s larger upfront payment requirement to apply to the specific circumstances T-Mobile cites regarding the DISH entities’ participation on Auction 97, and whether imposition of the requirement in such circumstances would be tantamount to an amendment of the rule.          </w:t>
      </w:r>
    </w:p>
  </w:footnote>
  <w:footnote w:id="79">
    <w:p w:rsidR="0094327B" w:rsidRDefault="0094327B">
      <w:pPr>
        <w:pStyle w:val="FootnoteText"/>
      </w:pPr>
      <w:r>
        <w:rPr>
          <w:rStyle w:val="FootnoteReference"/>
        </w:rPr>
        <w:footnoteRef/>
      </w:r>
      <w:r>
        <w:t xml:space="preserve"> T-Mobile has previously acknowledged that “the Commission has taken a narrow view of Section 1.2106(a),” finding that the larger upfront payment requirement “covers </w:t>
      </w:r>
      <w:r>
        <w:rPr>
          <w:rFonts w:ascii="TimesNewRoman" w:hAnsi="TimesNewRoman" w:cs="TimesNewRoman"/>
        </w:rPr>
        <w:t xml:space="preserve">only those entities that have been notified of a debt and failed to pay it.” T-Mobile October 30 Letter at 4 n.10 (citing </w:t>
      </w:r>
      <w:r w:rsidRPr="004D0D0D">
        <w:rPr>
          <w:rFonts w:ascii="TimesNewRoman" w:hAnsi="TimesNewRoman" w:cs="TimesNewRoman"/>
          <w:i/>
        </w:rPr>
        <w:t xml:space="preserve">Application Procedures </w:t>
      </w:r>
      <w:r w:rsidR="0031458C" w:rsidRPr="0031458C">
        <w:rPr>
          <w:rFonts w:ascii="TimesNewRoman" w:hAnsi="TimesNewRoman" w:cs="TimesNewRoman"/>
          <w:i/>
        </w:rPr>
        <w:t>Public Notice</w:t>
      </w:r>
      <w:r>
        <w:rPr>
          <w:rFonts w:ascii="TimesNewRoman" w:hAnsi="TimesNewRoman" w:cs="TimesNewRoman"/>
        </w:rPr>
        <w:t xml:space="preserve"> at </w:t>
      </w:r>
      <w:r>
        <w:t>11080,</w:t>
      </w:r>
      <w:r>
        <w:rPr>
          <w:rFonts w:ascii="TimesNewRoman" w:hAnsi="TimesNewRoman" w:cs="TimesNewRoman"/>
        </w:rPr>
        <w:t xml:space="preserve"> </w:t>
      </w:r>
      <w:r>
        <w:t>para.</w:t>
      </w:r>
      <w:r>
        <w:rPr>
          <w:rFonts w:ascii="TimesNewRoman" w:hAnsi="TimesNewRoman" w:cs="TimesNewRoman"/>
        </w:rPr>
        <w:t xml:space="preserve"> 138 n.270).</w:t>
      </w:r>
      <w:r>
        <w:t xml:space="preserve">  </w:t>
      </w:r>
    </w:p>
  </w:footnote>
  <w:footnote w:id="80">
    <w:p w:rsidR="0094327B" w:rsidRDefault="0094327B">
      <w:pPr>
        <w:pStyle w:val="FootnoteText"/>
      </w:pPr>
      <w:r>
        <w:rPr>
          <w:rStyle w:val="FootnoteReference"/>
        </w:rPr>
        <w:footnoteRef/>
      </w:r>
      <w:r>
        <w:t xml:space="preserve"> T-Mobile Petition at 3-4; T-Mobile Reply at 3-4.</w:t>
      </w:r>
    </w:p>
  </w:footnote>
  <w:footnote w:id="81">
    <w:p w:rsidR="0094327B" w:rsidRDefault="0094327B" w:rsidP="009C67B4">
      <w:pPr>
        <w:pStyle w:val="FootnoteText"/>
        <w:jc w:val="left"/>
      </w:pPr>
      <w:r>
        <w:rPr>
          <w:rStyle w:val="FootnoteReference"/>
        </w:rPr>
        <w:footnoteRef/>
      </w:r>
      <w:r>
        <w:t xml:space="preserve"> </w:t>
      </w:r>
      <w:r w:rsidR="00426E12" w:rsidRPr="00426E12">
        <w:rPr>
          <w:i/>
        </w:rPr>
        <w:t>See</w:t>
      </w:r>
      <w:r w:rsidR="00426E12">
        <w:t xml:space="preserve"> </w:t>
      </w:r>
      <w:r w:rsidR="00B21822" w:rsidRPr="00B21822">
        <w:rPr>
          <w:i/>
        </w:rPr>
        <w:t>supra</w:t>
      </w:r>
      <w:r w:rsidR="00B21822">
        <w:t xml:space="preserve"> </w:t>
      </w:r>
      <w:r w:rsidR="0050240C">
        <w:t>note 32</w:t>
      </w:r>
      <w:r w:rsidR="00B21822">
        <w:t>.</w:t>
      </w:r>
      <w:r w:rsidR="0050240C">
        <w:t xml:space="preserve"> </w:t>
      </w:r>
      <w:r w:rsidR="00B21822">
        <w:t xml:space="preserve"> </w:t>
      </w:r>
      <w:r>
        <w:t xml:space="preserve">We note that in its most recent Part 1 rulemaking proceeding, the Commission narrowed the scope of the individuals and entities to be considered for purposes of the former defaulter rule.  </w:t>
      </w:r>
      <w:r w:rsidRPr="00FE2E92">
        <w:rPr>
          <w:i/>
        </w:rPr>
        <w:t xml:space="preserve">See </w:t>
      </w:r>
      <w:r w:rsidRPr="00FE2E92">
        <w:t xml:space="preserve">47 CFR § 1.2105(a)(2)(xii), (a)(4); </w:t>
      </w:r>
      <w:r w:rsidRPr="00FE2E92">
        <w:rPr>
          <w:i/>
        </w:rPr>
        <w:t xml:space="preserve">see also </w:t>
      </w:r>
      <w:r>
        <w:rPr>
          <w:i/>
        </w:rPr>
        <w:t xml:space="preserve">Updating </w:t>
      </w:r>
      <w:r w:rsidRPr="00FE2E92">
        <w:rPr>
          <w:i/>
        </w:rPr>
        <w:t>Part 1 R</w:t>
      </w:r>
      <w:r>
        <w:rPr>
          <w:i/>
        </w:rPr>
        <w:t xml:space="preserve">eport and </w:t>
      </w:r>
      <w:r w:rsidRPr="00FE2E92">
        <w:rPr>
          <w:i/>
        </w:rPr>
        <w:t>O</w:t>
      </w:r>
      <w:r>
        <w:rPr>
          <w:i/>
        </w:rPr>
        <w:t>rder</w:t>
      </w:r>
      <w:r w:rsidRPr="00FE2E92">
        <w:t xml:space="preserve">, 30 FCC Rcd at </w:t>
      </w:r>
      <w:r>
        <w:t>7568,</w:t>
      </w:r>
      <w:r w:rsidRPr="00FE2E92">
        <w:t xml:space="preserve"> para. 175.</w:t>
      </w:r>
      <w:r>
        <w:t xml:space="preserve">  </w:t>
      </w:r>
      <w:r w:rsidRPr="00C60499">
        <w:t xml:space="preserve">For purposes of the certification under section 1.2105(a)(2)(xii), the applicant may exclude from consideration any cured default on a Commission license or delinquency on a non-tax debt owed to a Federal agency for which any of the following criteria are met:  (1) the notice of the final payment deadline or delinquency was received more than seven years before the FCC Form 175 filing deadline; (2) the default or delinquency amounted to less than $100,000; (3) the default or delinquency was paid within two quarters (i.e., six months) after receiving the notice of the final payment deadline or delinquency; or (4) the default or delinquency was the subject of a legal or arbitration proceeding and was cured upon resolution of the proceeding.  </w:t>
      </w:r>
      <w:r w:rsidRPr="006F4596">
        <w:t>In their Opposition, the DISH entities assert that they fall under the “cured default” exception to the former defaulter rule, having paid all of the applicable interim default payments within the relevant six-month period.  DISH Opposition at 8.  T-Mobile did not address this point in either its Petition or its Reply.</w:t>
      </w:r>
      <w:r>
        <w:t xml:space="preserve"> </w:t>
      </w:r>
      <w:r w:rsidR="0033582A">
        <w:t xml:space="preserve"> </w:t>
      </w:r>
      <w:r>
        <w:t>Given our determination that a declaratory ruling is inappropriate in any event, we need not address this question.</w:t>
      </w:r>
    </w:p>
  </w:footnote>
  <w:footnote w:id="82">
    <w:p w:rsidR="0094327B" w:rsidRDefault="0094327B">
      <w:pPr>
        <w:pStyle w:val="FootnoteText"/>
      </w:pPr>
      <w:r>
        <w:rPr>
          <w:rStyle w:val="FootnoteReference"/>
        </w:rPr>
        <w:footnoteRef/>
      </w:r>
      <w:r>
        <w:t xml:space="preserve"> 30 FCC Rcd </w:t>
      </w:r>
      <w:r w:rsidRPr="002E6E58">
        <w:t>at 8951, para. 156</w:t>
      </w:r>
      <w:r>
        <w:t>.</w:t>
      </w:r>
    </w:p>
  </w:footnote>
  <w:footnote w:id="83">
    <w:p w:rsidR="0094327B" w:rsidRDefault="0094327B" w:rsidP="00D32AC0">
      <w:pPr>
        <w:pStyle w:val="FootnoteText"/>
        <w:jc w:val="left"/>
      </w:pPr>
      <w:r>
        <w:rPr>
          <w:rStyle w:val="FootnoteReference"/>
        </w:rPr>
        <w:footnoteRef/>
      </w:r>
      <w:r>
        <w:t xml:space="preserve"> 30 FCC Rcd </w:t>
      </w:r>
      <w:r w:rsidRPr="002E6E58">
        <w:t>at 8890-91, para. 9</w:t>
      </w:r>
      <w:r>
        <w:t>.</w:t>
      </w:r>
    </w:p>
  </w:footnote>
  <w:footnote w:id="84">
    <w:p w:rsidR="0094327B" w:rsidRDefault="0094327B" w:rsidP="000E6E91">
      <w:pPr>
        <w:pStyle w:val="FootnoteText"/>
        <w:jc w:val="left"/>
      </w:pPr>
      <w:r>
        <w:rPr>
          <w:rStyle w:val="FootnoteReference"/>
        </w:rPr>
        <w:footnoteRef/>
      </w:r>
      <w:r>
        <w:t xml:space="preserve">  47 U.S.C. § 405(a) provides that a “petition for reconsideration must be filed within thirty days from the date upon which public notice is given of the order, decision, report, or action complained of.”  </w:t>
      </w:r>
      <w:r w:rsidRPr="000E6E91">
        <w:t xml:space="preserve">Section 1.106(f) of the Commission’s rules implements section 405(a) and </w:t>
      </w:r>
      <w:r>
        <w:t xml:space="preserve">provides that the “petition for reconsideration and any supplement thereto shall be filed within 30 days from the date of public notice of the final Commission action . . . .”   47 CFR § 1.106(f).  </w:t>
      </w:r>
    </w:p>
  </w:footnote>
  <w:footnote w:id="85">
    <w:p w:rsidR="0094327B" w:rsidRDefault="0094327B" w:rsidP="00D4278B">
      <w:pPr>
        <w:pStyle w:val="FootnoteText"/>
        <w:jc w:val="left"/>
      </w:pPr>
      <w:r>
        <w:rPr>
          <w:rStyle w:val="FootnoteReference"/>
        </w:rPr>
        <w:footnoteRef/>
      </w:r>
      <w:r>
        <w:t xml:space="preserve"> </w:t>
      </w:r>
      <w:r w:rsidRPr="007C0DC6">
        <w:t xml:space="preserve">In addition, the factual basis for T-Mobile’s effort to create a new kind of former defaulter based upon the nature of the DISH entities’ conduct in the AWS-3 auction is inconsistent with the Bureau’s prior determination that such conduct did not “constitute gross misconduct, misrepresentation, or bad faith.”  </w:t>
      </w:r>
      <w:r w:rsidRPr="00E21CCC">
        <w:rPr>
          <w:i/>
        </w:rPr>
        <w:t xml:space="preserve">See </w:t>
      </w:r>
      <w:r w:rsidRPr="00516E03">
        <w:t>Letter to Mark F. Dever, Esq., Counsel for Northstar Wireless, LLC, from Roger C. Sherman, Chief, Wireless Teleco</w:t>
      </w:r>
      <w:r>
        <w:t>mmunications Bureau, 30 FCC Rcd 10700</w:t>
      </w:r>
      <w:r w:rsidRPr="00516E03">
        <w:t xml:space="preserve"> (rel. Oct. 1, 2015</w:t>
      </w:r>
      <w:r>
        <w:t>)</w:t>
      </w:r>
      <w:r w:rsidRPr="00516E03">
        <w:t xml:space="preserve">, and Letter to Ari Q. Fitzgerald, Esq., Counsel for SNR Wireless LicenseCo, LLC, from Roger C. Sherman, Chief, Wireless Telecommunications Bureau, </w:t>
      </w:r>
      <w:r>
        <w:t>30 FCC Rcd 10704</w:t>
      </w:r>
      <w:r w:rsidRPr="00516E03">
        <w:t xml:space="preserve"> (rel. Oct. 1,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57" w:rsidRDefault="00A5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7B" w:rsidRDefault="0094327B">
    <w:pPr>
      <w:pStyle w:val="Header"/>
      <w:tabs>
        <w:tab w:val="clear" w:pos="4320"/>
        <w:tab w:val="clear" w:pos="8640"/>
        <w:tab w:val="center" w:pos="4680"/>
        <w:tab w:val="right" w:pos="9360"/>
      </w:tabs>
      <w:rPr>
        <w:b/>
      </w:rPr>
    </w:pPr>
    <w:r>
      <w:rPr>
        <w:b/>
      </w:rPr>
      <w:tab/>
      <w:t>Federal Communications Commission</w:t>
    </w:r>
    <w:r>
      <w:rPr>
        <w:b/>
      </w:rPr>
      <w:tab/>
      <w:t xml:space="preserve"> DA 16-</w:t>
    </w:r>
    <w:r w:rsidR="008733D6">
      <w:rPr>
        <w:b/>
      </w:rPr>
      <w:t>120</w:t>
    </w:r>
    <w:r>
      <w:rPr>
        <w:b/>
      </w:rPr>
      <w:t xml:space="preserve"> </w:t>
    </w:r>
  </w:p>
  <w:p w:rsidR="0094327B" w:rsidRDefault="007F7C5B">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0A700"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4327B" w:rsidRDefault="00943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7B" w:rsidRDefault="0094327B">
    <w:pPr>
      <w:pStyle w:val="Header"/>
      <w:tabs>
        <w:tab w:val="clear" w:pos="4320"/>
        <w:tab w:val="clear" w:pos="8640"/>
        <w:tab w:val="center" w:pos="4680"/>
        <w:tab w:val="right" w:pos="9360"/>
      </w:tabs>
      <w:rPr>
        <w:b/>
      </w:rPr>
    </w:pPr>
    <w:r>
      <w:rPr>
        <w:b/>
      </w:rPr>
      <w:tab/>
      <w:t>Federal Communications Commission</w:t>
    </w:r>
    <w:r>
      <w:rPr>
        <w:b/>
      </w:rPr>
      <w:tab/>
      <w:t>DA 16-</w:t>
    </w:r>
    <w:r w:rsidR="009853EF">
      <w:rPr>
        <w:b/>
      </w:rPr>
      <w:t>120</w:t>
    </w:r>
    <w:r>
      <w:rPr>
        <w:b/>
      </w:rPr>
      <w:t xml:space="preserve"> </w:t>
    </w:r>
  </w:p>
  <w:p w:rsidR="0094327B" w:rsidRDefault="007F7C5B">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A1B13"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BE96E75"/>
    <w:multiLevelType w:val="hybridMultilevel"/>
    <w:tmpl w:val="9AF63BCC"/>
    <w:lvl w:ilvl="0" w:tplc="9C96A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D225B8A"/>
    <w:multiLevelType w:val="hybridMultilevel"/>
    <w:tmpl w:val="39003C60"/>
    <w:lvl w:ilvl="0" w:tplc="ADEEF85A">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05C6DA96"/>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D1A8B87A"/>
    <w:lvl w:ilvl="0">
      <w:start w:val="2"/>
      <w:numFmt w:val="decimal"/>
      <w:lvlText w:val="%1."/>
      <w:lvlJc w:val="left"/>
      <w:pPr>
        <w:tabs>
          <w:tab w:val="num" w:pos="1080"/>
        </w:tabs>
        <w:ind w:left="0" w:firstLine="720"/>
      </w:pPr>
      <w:rPr>
        <w:rFonts w:hint="default"/>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78D43704"/>
    <w:multiLevelType w:val="hybridMultilevel"/>
    <w:tmpl w:val="9B8CF902"/>
    <w:lvl w:ilvl="0" w:tplc="02B2A6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7"/>
  </w:num>
  <w:num w:numId="3">
    <w:abstractNumId w:val="7"/>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3"/>
  </w:num>
  <w:num w:numId="16">
    <w:abstractNumId w:val="5"/>
  </w:num>
  <w:num w:numId="17">
    <w:abstractNumId w:val="12"/>
  </w:num>
  <w:num w:numId="18">
    <w:abstractNumId w:val="1"/>
  </w:num>
  <w:num w:numId="19">
    <w:abstractNumId w:val="13"/>
  </w:num>
  <w:num w:numId="20">
    <w:abstractNumId w:val="18"/>
  </w:num>
  <w:num w:numId="21">
    <w:abstractNumId w:val="20"/>
  </w:num>
  <w:num w:numId="22">
    <w:abstractNumId w:val="25"/>
  </w:num>
  <w:num w:numId="23">
    <w:abstractNumId w:val="8"/>
  </w:num>
  <w:num w:numId="24">
    <w:abstractNumId w:val="2"/>
  </w:num>
  <w:num w:numId="25">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4"/>
  </w:num>
  <w:num w:numId="32">
    <w:abstractNumId w:val="28"/>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21"/>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FB"/>
    <w:rsid w:val="0000108A"/>
    <w:rsid w:val="0000117F"/>
    <w:rsid w:val="00002C15"/>
    <w:rsid w:val="00004699"/>
    <w:rsid w:val="00020EFD"/>
    <w:rsid w:val="00026317"/>
    <w:rsid w:val="00026CEA"/>
    <w:rsid w:val="00027BF1"/>
    <w:rsid w:val="00030B3A"/>
    <w:rsid w:val="00032F17"/>
    <w:rsid w:val="00033631"/>
    <w:rsid w:val="000355DD"/>
    <w:rsid w:val="00036FA0"/>
    <w:rsid w:val="000400AC"/>
    <w:rsid w:val="00041D82"/>
    <w:rsid w:val="00045156"/>
    <w:rsid w:val="0005573F"/>
    <w:rsid w:val="000642C6"/>
    <w:rsid w:val="00067338"/>
    <w:rsid w:val="00067EDA"/>
    <w:rsid w:val="00074BDA"/>
    <w:rsid w:val="00074D89"/>
    <w:rsid w:val="00075BD3"/>
    <w:rsid w:val="00085D4C"/>
    <w:rsid w:val="00086422"/>
    <w:rsid w:val="00087ACC"/>
    <w:rsid w:val="00092135"/>
    <w:rsid w:val="00093D20"/>
    <w:rsid w:val="000A0038"/>
    <w:rsid w:val="000A02A3"/>
    <w:rsid w:val="000A701C"/>
    <w:rsid w:val="000B091D"/>
    <w:rsid w:val="000B208E"/>
    <w:rsid w:val="000B36BB"/>
    <w:rsid w:val="000B3C49"/>
    <w:rsid w:val="000B5E64"/>
    <w:rsid w:val="000B7AC4"/>
    <w:rsid w:val="000C0557"/>
    <w:rsid w:val="000C06B6"/>
    <w:rsid w:val="000C1CFE"/>
    <w:rsid w:val="000C2347"/>
    <w:rsid w:val="000C32C3"/>
    <w:rsid w:val="000C3599"/>
    <w:rsid w:val="000C452A"/>
    <w:rsid w:val="000D3FF3"/>
    <w:rsid w:val="000E032A"/>
    <w:rsid w:val="000E0B72"/>
    <w:rsid w:val="000E4A5C"/>
    <w:rsid w:val="000E6E91"/>
    <w:rsid w:val="0010051F"/>
    <w:rsid w:val="00104BA9"/>
    <w:rsid w:val="0010526D"/>
    <w:rsid w:val="0010727E"/>
    <w:rsid w:val="00107DA3"/>
    <w:rsid w:val="00111D8B"/>
    <w:rsid w:val="00113350"/>
    <w:rsid w:val="001151D2"/>
    <w:rsid w:val="00121EC5"/>
    <w:rsid w:val="001239D5"/>
    <w:rsid w:val="00125871"/>
    <w:rsid w:val="0012730D"/>
    <w:rsid w:val="00127A89"/>
    <w:rsid w:val="00131424"/>
    <w:rsid w:val="0013239D"/>
    <w:rsid w:val="001329D8"/>
    <w:rsid w:val="00145472"/>
    <w:rsid w:val="00145DEA"/>
    <w:rsid w:val="0014753B"/>
    <w:rsid w:val="00150250"/>
    <w:rsid w:val="0016337A"/>
    <w:rsid w:val="0016413F"/>
    <w:rsid w:val="00172168"/>
    <w:rsid w:val="00172574"/>
    <w:rsid w:val="00177D8A"/>
    <w:rsid w:val="00177DF1"/>
    <w:rsid w:val="00195521"/>
    <w:rsid w:val="00196DFB"/>
    <w:rsid w:val="0019762E"/>
    <w:rsid w:val="001A0D08"/>
    <w:rsid w:val="001A27EB"/>
    <w:rsid w:val="001A3E45"/>
    <w:rsid w:val="001A4345"/>
    <w:rsid w:val="001A4D45"/>
    <w:rsid w:val="001A7A34"/>
    <w:rsid w:val="001B08D6"/>
    <w:rsid w:val="001B1C49"/>
    <w:rsid w:val="001B38E0"/>
    <w:rsid w:val="001B3B02"/>
    <w:rsid w:val="001B3B0C"/>
    <w:rsid w:val="001B75A6"/>
    <w:rsid w:val="001C1AE5"/>
    <w:rsid w:val="001C5206"/>
    <w:rsid w:val="001C5F06"/>
    <w:rsid w:val="001C6F06"/>
    <w:rsid w:val="001D34DD"/>
    <w:rsid w:val="001D3F24"/>
    <w:rsid w:val="001D5C52"/>
    <w:rsid w:val="001D6181"/>
    <w:rsid w:val="001D64C1"/>
    <w:rsid w:val="001D66B3"/>
    <w:rsid w:val="001E0DE0"/>
    <w:rsid w:val="001E1D2E"/>
    <w:rsid w:val="001E3035"/>
    <w:rsid w:val="001E38D6"/>
    <w:rsid w:val="001E390B"/>
    <w:rsid w:val="001E628E"/>
    <w:rsid w:val="001F09B6"/>
    <w:rsid w:val="001F1FF0"/>
    <w:rsid w:val="001F33F8"/>
    <w:rsid w:val="001F4AE9"/>
    <w:rsid w:val="001F56A6"/>
    <w:rsid w:val="001F67D8"/>
    <w:rsid w:val="00205368"/>
    <w:rsid w:val="0020575B"/>
    <w:rsid w:val="00205FDC"/>
    <w:rsid w:val="00206EBA"/>
    <w:rsid w:val="00212880"/>
    <w:rsid w:val="0021301A"/>
    <w:rsid w:val="00213F29"/>
    <w:rsid w:val="002148C6"/>
    <w:rsid w:val="00214A02"/>
    <w:rsid w:val="002206DA"/>
    <w:rsid w:val="002217C9"/>
    <w:rsid w:val="00221A95"/>
    <w:rsid w:val="002222C9"/>
    <w:rsid w:val="00223294"/>
    <w:rsid w:val="00223AA2"/>
    <w:rsid w:val="00224703"/>
    <w:rsid w:val="00226E54"/>
    <w:rsid w:val="002278A2"/>
    <w:rsid w:val="00235162"/>
    <w:rsid w:val="00235F2C"/>
    <w:rsid w:val="00240CE4"/>
    <w:rsid w:val="00254D6A"/>
    <w:rsid w:val="0025609C"/>
    <w:rsid w:val="0025778B"/>
    <w:rsid w:val="00257BE2"/>
    <w:rsid w:val="00260DDC"/>
    <w:rsid w:val="002610E0"/>
    <w:rsid w:val="002639B4"/>
    <w:rsid w:val="00263B56"/>
    <w:rsid w:val="0026401B"/>
    <w:rsid w:val="00264478"/>
    <w:rsid w:val="00264BE5"/>
    <w:rsid w:val="00267103"/>
    <w:rsid w:val="002671F8"/>
    <w:rsid w:val="00271B4C"/>
    <w:rsid w:val="00272B41"/>
    <w:rsid w:val="0027782B"/>
    <w:rsid w:val="0028137A"/>
    <w:rsid w:val="00281E2A"/>
    <w:rsid w:val="00282250"/>
    <w:rsid w:val="0028391F"/>
    <w:rsid w:val="00284CFE"/>
    <w:rsid w:val="00285ABB"/>
    <w:rsid w:val="00292DD7"/>
    <w:rsid w:val="00293C02"/>
    <w:rsid w:val="002A06B0"/>
    <w:rsid w:val="002A1764"/>
    <w:rsid w:val="002A2CA3"/>
    <w:rsid w:val="002A4AD2"/>
    <w:rsid w:val="002A760F"/>
    <w:rsid w:val="002B077D"/>
    <w:rsid w:val="002B0AC7"/>
    <w:rsid w:val="002B11B3"/>
    <w:rsid w:val="002B1C2D"/>
    <w:rsid w:val="002B20D9"/>
    <w:rsid w:val="002B3356"/>
    <w:rsid w:val="002B3DF1"/>
    <w:rsid w:val="002B40BB"/>
    <w:rsid w:val="002B4373"/>
    <w:rsid w:val="002B54FE"/>
    <w:rsid w:val="002B6BDE"/>
    <w:rsid w:val="002C18E1"/>
    <w:rsid w:val="002C2571"/>
    <w:rsid w:val="002C2F56"/>
    <w:rsid w:val="002C3404"/>
    <w:rsid w:val="002C349F"/>
    <w:rsid w:val="002C6F55"/>
    <w:rsid w:val="002D1184"/>
    <w:rsid w:val="002D1DE5"/>
    <w:rsid w:val="002D4746"/>
    <w:rsid w:val="002E4840"/>
    <w:rsid w:val="002E49D1"/>
    <w:rsid w:val="002E59CE"/>
    <w:rsid w:val="002E6E58"/>
    <w:rsid w:val="002F1527"/>
    <w:rsid w:val="002F1E66"/>
    <w:rsid w:val="002F3B7E"/>
    <w:rsid w:val="002F5EE6"/>
    <w:rsid w:val="002F7114"/>
    <w:rsid w:val="002F7C9C"/>
    <w:rsid w:val="00300CB8"/>
    <w:rsid w:val="003011AA"/>
    <w:rsid w:val="0030156B"/>
    <w:rsid w:val="00301711"/>
    <w:rsid w:val="003027B6"/>
    <w:rsid w:val="00310083"/>
    <w:rsid w:val="003102F7"/>
    <w:rsid w:val="0031435E"/>
    <w:rsid w:val="00314477"/>
    <w:rsid w:val="0031458C"/>
    <w:rsid w:val="00315130"/>
    <w:rsid w:val="00320532"/>
    <w:rsid w:val="00321947"/>
    <w:rsid w:val="003221D5"/>
    <w:rsid w:val="00322402"/>
    <w:rsid w:val="003226EA"/>
    <w:rsid w:val="003229C9"/>
    <w:rsid w:val="003271C8"/>
    <w:rsid w:val="0033292F"/>
    <w:rsid w:val="0033582A"/>
    <w:rsid w:val="00335900"/>
    <w:rsid w:val="003367BF"/>
    <w:rsid w:val="003371E1"/>
    <w:rsid w:val="00341924"/>
    <w:rsid w:val="003432CF"/>
    <w:rsid w:val="003436A2"/>
    <w:rsid w:val="00345AB1"/>
    <w:rsid w:val="00346FBF"/>
    <w:rsid w:val="003511B9"/>
    <w:rsid w:val="00352BC0"/>
    <w:rsid w:val="00352EA6"/>
    <w:rsid w:val="00355BA4"/>
    <w:rsid w:val="00362937"/>
    <w:rsid w:val="003639D1"/>
    <w:rsid w:val="00363ADB"/>
    <w:rsid w:val="0036559B"/>
    <w:rsid w:val="00365AD2"/>
    <w:rsid w:val="00365BD2"/>
    <w:rsid w:val="003676FB"/>
    <w:rsid w:val="00373290"/>
    <w:rsid w:val="00373B12"/>
    <w:rsid w:val="003753C9"/>
    <w:rsid w:val="00376BF8"/>
    <w:rsid w:val="00380A4D"/>
    <w:rsid w:val="00380DCA"/>
    <w:rsid w:val="00381B90"/>
    <w:rsid w:val="00382169"/>
    <w:rsid w:val="00382638"/>
    <w:rsid w:val="00383D29"/>
    <w:rsid w:val="00385A7D"/>
    <w:rsid w:val="00386028"/>
    <w:rsid w:val="00387BFE"/>
    <w:rsid w:val="003907C5"/>
    <w:rsid w:val="0039205B"/>
    <w:rsid w:val="003935A7"/>
    <w:rsid w:val="00397492"/>
    <w:rsid w:val="003A09E6"/>
    <w:rsid w:val="003A0A05"/>
    <w:rsid w:val="003A48F9"/>
    <w:rsid w:val="003A49CE"/>
    <w:rsid w:val="003A54B7"/>
    <w:rsid w:val="003A5A4D"/>
    <w:rsid w:val="003A5ADC"/>
    <w:rsid w:val="003A7111"/>
    <w:rsid w:val="003A7866"/>
    <w:rsid w:val="003B016F"/>
    <w:rsid w:val="003B1287"/>
    <w:rsid w:val="003B1B7F"/>
    <w:rsid w:val="003B22EA"/>
    <w:rsid w:val="003B2AC6"/>
    <w:rsid w:val="003B4E66"/>
    <w:rsid w:val="003B736C"/>
    <w:rsid w:val="003C05CA"/>
    <w:rsid w:val="003C1659"/>
    <w:rsid w:val="003C3BE3"/>
    <w:rsid w:val="003C71FB"/>
    <w:rsid w:val="003C760B"/>
    <w:rsid w:val="003D2002"/>
    <w:rsid w:val="003D3E6B"/>
    <w:rsid w:val="003D743D"/>
    <w:rsid w:val="003D7958"/>
    <w:rsid w:val="003E1BAE"/>
    <w:rsid w:val="003E65A5"/>
    <w:rsid w:val="003E7BA5"/>
    <w:rsid w:val="003E7EC1"/>
    <w:rsid w:val="003F13DF"/>
    <w:rsid w:val="003F260F"/>
    <w:rsid w:val="003F2F28"/>
    <w:rsid w:val="003F2F4D"/>
    <w:rsid w:val="003F64CC"/>
    <w:rsid w:val="003F7027"/>
    <w:rsid w:val="003F7769"/>
    <w:rsid w:val="00404568"/>
    <w:rsid w:val="00407FAD"/>
    <w:rsid w:val="00415351"/>
    <w:rsid w:val="0041676D"/>
    <w:rsid w:val="00420319"/>
    <w:rsid w:val="00422375"/>
    <w:rsid w:val="00424B8A"/>
    <w:rsid w:val="004261C0"/>
    <w:rsid w:val="00426E12"/>
    <w:rsid w:val="00427B65"/>
    <w:rsid w:val="00430C30"/>
    <w:rsid w:val="00431202"/>
    <w:rsid w:val="00432676"/>
    <w:rsid w:val="00432BDB"/>
    <w:rsid w:val="0043508E"/>
    <w:rsid w:val="004435ED"/>
    <w:rsid w:val="00444C1A"/>
    <w:rsid w:val="00450807"/>
    <w:rsid w:val="00453C8B"/>
    <w:rsid w:val="0045497C"/>
    <w:rsid w:val="004556BB"/>
    <w:rsid w:val="004627BE"/>
    <w:rsid w:val="004640CC"/>
    <w:rsid w:val="00464C4A"/>
    <w:rsid w:val="00465294"/>
    <w:rsid w:val="00465873"/>
    <w:rsid w:val="004669D5"/>
    <w:rsid w:val="0046782D"/>
    <w:rsid w:val="00471DE8"/>
    <w:rsid w:val="0047297B"/>
    <w:rsid w:val="00476ACF"/>
    <w:rsid w:val="00477430"/>
    <w:rsid w:val="00480366"/>
    <w:rsid w:val="00481006"/>
    <w:rsid w:val="004823F5"/>
    <w:rsid w:val="00483C3D"/>
    <w:rsid w:val="004842AC"/>
    <w:rsid w:val="004851CA"/>
    <w:rsid w:val="004867B6"/>
    <w:rsid w:val="00490430"/>
    <w:rsid w:val="00492BC2"/>
    <w:rsid w:val="004939D3"/>
    <w:rsid w:val="004A214F"/>
    <w:rsid w:val="004A3238"/>
    <w:rsid w:val="004A4717"/>
    <w:rsid w:val="004A4C7A"/>
    <w:rsid w:val="004A5CB3"/>
    <w:rsid w:val="004A7859"/>
    <w:rsid w:val="004B23D7"/>
    <w:rsid w:val="004B2634"/>
    <w:rsid w:val="004B29B9"/>
    <w:rsid w:val="004B4701"/>
    <w:rsid w:val="004B79D6"/>
    <w:rsid w:val="004C2758"/>
    <w:rsid w:val="004C3CA3"/>
    <w:rsid w:val="004C679F"/>
    <w:rsid w:val="004C7CD7"/>
    <w:rsid w:val="004C7F08"/>
    <w:rsid w:val="004D0D0D"/>
    <w:rsid w:val="004D1FA6"/>
    <w:rsid w:val="004D64C3"/>
    <w:rsid w:val="004E1D30"/>
    <w:rsid w:val="004E2668"/>
    <w:rsid w:val="004E2AA8"/>
    <w:rsid w:val="004E30C1"/>
    <w:rsid w:val="004E3495"/>
    <w:rsid w:val="004E6EEB"/>
    <w:rsid w:val="004E76CF"/>
    <w:rsid w:val="004F34CF"/>
    <w:rsid w:val="004F36F8"/>
    <w:rsid w:val="004F5AB4"/>
    <w:rsid w:val="004F7ECB"/>
    <w:rsid w:val="00500680"/>
    <w:rsid w:val="00501E0F"/>
    <w:rsid w:val="0050240C"/>
    <w:rsid w:val="00503049"/>
    <w:rsid w:val="00503761"/>
    <w:rsid w:val="005040DB"/>
    <w:rsid w:val="0050689D"/>
    <w:rsid w:val="0050798D"/>
    <w:rsid w:val="00513B3F"/>
    <w:rsid w:val="0051450B"/>
    <w:rsid w:val="00517F00"/>
    <w:rsid w:val="0052020B"/>
    <w:rsid w:val="00522AB2"/>
    <w:rsid w:val="005245D2"/>
    <w:rsid w:val="00532106"/>
    <w:rsid w:val="00540DAD"/>
    <w:rsid w:val="005429DE"/>
    <w:rsid w:val="0054394E"/>
    <w:rsid w:val="0054455B"/>
    <w:rsid w:val="00547D28"/>
    <w:rsid w:val="0055090B"/>
    <w:rsid w:val="00551570"/>
    <w:rsid w:val="00554825"/>
    <w:rsid w:val="0055490C"/>
    <w:rsid w:val="00556327"/>
    <w:rsid w:val="005602E0"/>
    <w:rsid w:val="005708D8"/>
    <w:rsid w:val="00571B35"/>
    <w:rsid w:val="00573CA5"/>
    <w:rsid w:val="0057470B"/>
    <w:rsid w:val="00575C7E"/>
    <w:rsid w:val="00576520"/>
    <w:rsid w:val="0058499C"/>
    <w:rsid w:val="00585B69"/>
    <w:rsid w:val="00593CC5"/>
    <w:rsid w:val="00597883"/>
    <w:rsid w:val="00597E84"/>
    <w:rsid w:val="005A0086"/>
    <w:rsid w:val="005A14E2"/>
    <w:rsid w:val="005A1C6A"/>
    <w:rsid w:val="005A34A5"/>
    <w:rsid w:val="005A54DA"/>
    <w:rsid w:val="005A5E1C"/>
    <w:rsid w:val="005A698F"/>
    <w:rsid w:val="005B185D"/>
    <w:rsid w:val="005B1AF7"/>
    <w:rsid w:val="005B35DE"/>
    <w:rsid w:val="005B40A7"/>
    <w:rsid w:val="005B5AA4"/>
    <w:rsid w:val="005B626D"/>
    <w:rsid w:val="005B7971"/>
    <w:rsid w:val="005C03D9"/>
    <w:rsid w:val="005C1847"/>
    <w:rsid w:val="005C231B"/>
    <w:rsid w:val="005C6103"/>
    <w:rsid w:val="005C66FB"/>
    <w:rsid w:val="005D0DB2"/>
    <w:rsid w:val="005D1044"/>
    <w:rsid w:val="005D2426"/>
    <w:rsid w:val="005D3D9A"/>
    <w:rsid w:val="005D6568"/>
    <w:rsid w:val="005D6B5F"/>
    <w:rsid w:val="005E0105"/>
    <w:rsid w:val="005E1148"/>
    <w:rsid w:val="005E2F40"/>
    <w:rsid w:val="005E4943"/>
    <w:rsid w:val="005E4B72"/>
    <w:rsid w:val="005E7F01"/>
    <w:rsid w:val="005F32B9"/>
    <w:rsid w:val="005F5215"/>
    <w:rsid w:val="005F5B39"/>
    <w:rsid w:val="005F5E19"/>
    <w:rsid w:val="00602788"/>
    <w:rsid w:val="00603430"/>
    <w:rsid w:val="00603889"/>
    <w:rsid w:val="006056E2"/>
    <w:rsid w:val="00605D21"/>
    <w:rsid w:val="006061C1"/>
    <w:rsid w:val="00607D09"/>
    <w:rsid w:val="00614C9E"/>
    <w:rsid w:val="00622477"/>
    <w:rsid w:val="006224E9"/>
    <w:rsid w:val="00622BCD"/>
    <w:rsid w:val="006236F6"/>
    <w:rsid w:val="006236FB"/>
    <w:rsid w:val="006248E0"/>
    <w:rsid w:val="00626FCD"/>
    <w:rsid w:val="00631C05"/>
    <w:rsid w:val="00633BEF"/>
    <w:rsid w:val="006349FC"/>
    <w:rsid w:val="00635C57"/>
    <w:rsid w:val="006362AA"/>
    <w:rsid w:val="006405B5"/>
    <w:rsid w:val="00642127"/>
    <w:rsid w:val="00642AA7"/>
    <w:rsid w:val="00643014"/>
    <w:rsid w:val="006437A4"/>
    <w:rsid w:val="00656A57"/>
    <w:rsid w:val="00661B3A"/>
    <w:rsid w:val="006644FD"/>
    <w:rsid w:val="006657C2"/>
    <w:rsid w:val="006671B3"/>
    <w:rsid w:val="006703D4"/>
    <w:rsid w:val="00673395"/>
    <w:rsid w:val="0067725E"/>
    <w:rsid w:val="006772C9"/>
    <w:rsid w:val="00680979"/>
    <w:rsid w:val="00681552"/>
    <w:rsid w:val="006836F1"/>
    <w:rsid w:val="00687205"/>
    <w:rsid w:val="00687F19"/>
    <w:rsid w:val="00690BAB"/>
    <w:rsid w:val="00691CDF"/>
    <w:rsid w:val="00691F6F"/>
    <w:rsid w:val="00693041"/>
    <w:rsid w:val="006A397C"/>
    <w:rsid w:val="006A529B"/>
    <w:rsid w:val="006A6900"/>
    <w:rsid w:val="006B692F"/>
    <w:rsid w:val="006B6C08"/>
    <w:rsid w:val="006B7EDA"/>
    <w:rsid w:val="006C3048"/>
    <w:rsid w:val="006C5DB6"/>
    <w:rsid w:val="006D22FA"/>
    <w:rsid w:val="006D4391"/>
    <w:rsid w:val="006D51B8"/>
    <w:rsid w:val="006E1B75"/>
    <w:rsid w:val="006E37C0"/>
    <w:rsid w:val="006E3E15"/>
    <w:rsid w:val="006E5D29"/>
    <w:rsid w:val="006E6539"/>
    <w:rsid w:val="006F12DD"/>
    <w:rsid w:val="006F4596"/>
    <w:rsid w:val="006F47DC"/>
    <w:rsid w:val="006F531D"/>
    <w:rsid w:val="006F685A"/>
    <w:rsid w:val="006F7C63"/>
    <w:rsid w:val="00700E24"/>
    <w:rsid w:val="007010A5"/>
    <w:rsid w:val="00701B81"/>
    <w:rsid w:val="00712F06"/>
    <w:rsid w:val="0071340F"/>
    <w:rsid w:val="00713784"/>
    <w:rsid w:val="007140AD"/>
    <w:rsid w:val="00714D2A"/>
    <w:rsid w:val="007152CB"/>
    <w:rsid w:val="00715E8E"/>
    <w:rsid w:val="007170FA"/>
    <w:rsid w:val="00727114"/>
    <w:rsid w:val="00727613"/>
    <w:rsid w:val="007376EF"/>
    <w:rsid w:val="007408FC"/>
    <w:rsid w:val="00743F0F"/>
    <w:rsid w:val="00752450"/>
    <w:rsid w:val="00752696"/>
    <w:rsid w:val="00760A2A"/>
    <w:rsid w:val="007660DF"/>
    <w:rsid w:val="00770BDF"/>
    <w:rsid w:val="00771667"/>
    <w:rsid w:val="0077302D"/>
    <w:rsid w:val="007746C7"/>
    <w:rsid w:val="00774E2B"/>
    <w:rsid w:val="00775C8C"/>
    <w:rsid w:val="007760BC"/>
    <w:rsid w:val="0078282F"/>
    <w:rsid w:val="00782CF2"/>
    <w:rsid w:val="00784099"/>
    <w:rsid w:val="0078430E"/>
    <w:rsid w:val="00784F66"/>
    <w:rsid w:val="0078584A"/>
    <w:rsid w:val="007914CC"/>
    <w:rsid w:val="00792A0B"/>
    <w:rsid w:val="0079608E"/>
    <w:rsid w:val="007A1ADD"/>
    <w:rsid w:val="007A1B9E"/>
    <w:rsid w:val="007A2223"/>
    <w:rsid w:val="007A2810"/>
    <w:rsid w:val="007A2D8B"/>
    <w:rsid w:val="007A37FD"/>
    <w:rsid w:val="007A4F74"/>
    <w:rsid w:val="007A638E"/>
    <w:rsid w:val="007A7979"/>
    <w:rsid w:val="007B1C2A"/>
    <w:rsid w:val="007B3364"/>
    <w:rsid w:val="007B745C"/>
    <w:rsid w:val="007C0DC6"/>
    <w:rsid w:val="007C25DC"/>
    <w:rsid w:val="007C6404"/>
    <w:rsid w:val="007C7202"/>
    <w:rsid w:val="007C7AA6"/>
    <w:rsid w:val="007D39A4"/>
    <w:rsid w:val="007D406A"/>
    <w:rsid w:val="007D4545"/>
    <w:rsid w:val="007D4866"/>
    <w:rsid w:val="007D6152"/>
    <w:rsid w:val="007D7510"/>
    <w:rsid w:val="007D7857"/>
    <w:rsid w:val="007E02D5"/>
    <w:rsid w:val="007E052C"/>
    <w:rsid w:val="007E0C80"/>
    <w:rsid w:val="007E1450"/>
    <w:rsid w:val="007E19F9"/>
    <w:rsid w:val="007E1A25"/>
    <w:rsid w:val="007E3260"/>
    <w:rsid w:val="007E3C64"/>
    <w:rsid w:val="007E5C4A"/>
    <w:rsid w:val="007E5F7B"/>
    <w:rsid w:val="007E754D"/>
    <w:rsid w:val="007F1156"/>
    <w:rsid w:val="007F3647"/>
    <w:rsid w:val="007F46DE"/>
    <w:rsid w:val="007F4AFE"/>
    <w:rsid w:val="007F7C5B"/>
    <w:rsid w:val="008050F6"/>
    <w:rsid w:val="00805865"/>
    <w:rsid w:val="00807EBC"/>
    <w:rsid w:val="008112BE"/>
    <w:rsid w:val="008200DB"/>
    <w:rsid w:val="00823603"/>
    <w:rsid w:val="00833432"/>
    <w:rsid w:val="00833C7C"/>
    <w:rsid w:val="00833F93"/>
    <w:rsid w:val="00836D63"/>
    <w:rsid w:val="00837E24"/>
    <w:rsid w:val="0084464D"/>
    <w:rsid w:val="00844B6A"/>
    <w:rsid w:val="008457E9"/>
    <w:rsid w:val="00845B9A"/>
    <w:rsid w:val="008464BF"/>
    <w:rsid w:val="00850636"/>
    <w:rsid w:val="00851657"/>
    <w:rsid w:val="00853816"/>
    <w:rsid w:val="00863E02"/>
    <w:rsid w:val="00870FAF"/>
    <w:rsid w:val="0087169F"/>
    <w:rsid w:val="00871AB2"/>
    <w:rsid w:val="008733D6"/>
    <w:rsid w:val="00873504"/>
    <w:rsid w:val="00873D84"/>
    <w:rsid w:val="008746C2"/>
    <w:rsid w:val="00874B49"/>
    <w:rsid w:val="00875062"/>
    <w:rsid w:val="00880482"/>
    <w:rsid w:val="00881651"/>
    <w:rsid w:val="0088773A"/>
    <w:rsid w:val="00887C2D"/>
    <w:rsid w:val="00891DAB"/>
    <w:rsid w:val="00893EE3"/>
    <w:rsid w:val="008951D0"/>
    <w:rsid w:val="00896E84"/>
    <w:rsid w:val="008A6172"/>
    <w:rsid w:val="008A62A2"/>
    <w:rsid w:val="008A6AA7"/>
    <w:rsid w:val="008A6F94"/>
    <w:rsid w:val="008B0A57"/>
    <w:rsid w:val="008B0E56"/>
    <w:rsid w:val="008B52A7"/>
    <w:rsid w:val="008B61A7"/>
    <w:rsid w:val="008B7DEB"/>
    <w:rsid w:val="008C2527"/>
    <w:rsid w:val="008C4A61"/>
    <w:rsid w:val="008C5A95"/>
    <w:rsid w:val="008C70B2"/>
    <w:rsid w:val="008D0AA4"/>
    <w:rsid w:val="008D2919"/>
    <w:rsid w:val="008D3DC7"/>
    <w:rsid w:val="008E20ED"/>
    <w:rsid w:val="008E216C"/>
    <w:rsid w:val="008E4234"/>
    <w:rsid w:val="008E57E6"/>
    <w:rsid w:val="008F2DB2"/>
    <w:rsid w:val="008F377B"/>
    <w:rsid w:val="008F51D3"/>
    <w:rsid w:val="00902C02"/>
    <w:rsid w:val="00907754"/>
    <w:rsid w:val="00907CF6"/>
    <w:rsid w:val="009105EF"/>
    <w:rsid w:val="00912114"/>
    <w:rsid w:val="00913F99"/>
    <w:rsid w:val="00915B83"/>
    <w:rsid w:val="00917C2B"/>
    <w:rsid w:val="00917C42"/>
    <w:rsid w:val="00922669"/>
    <w:rsid w:val="00922B99"/>
    <w:rsid w:val="00923E84"/>
    <w:rsid w:val="009254C6"/>
    <w:rsid w:val="00930D6E"/>
    <w:rsid w:val="00931A4A"/>
    <w:rsid w:val="0093296A"/>
    <w:rsid w:val="009332AF"/>
    <w:rsid w:val="00935488"/>
    <w:rsid w:val="0093564D"/>
    <w:rsid w:val="00935CD3"/>
    <w:rsid w:val="00937E1F"/>
    <w:rsid w:val="00940514"/>
    <w:rsid w:val="0094297C"/>
    <w:rsid w:val="0094327B"/>
    <w:rsid w:val="00945F7F"/>
    <w:rsid w:val="00946503"/>
    <w:rsid w:val="009520EC"/>
    <w:rsid w:val="00953BC2"/>
    <w:rsid w:val="00955CD4"/>
    <w:rsid w:val="009570B3"/>
    <w:rsid w:val="00957E06"/>
    <w:rsid w:val="00961201"/>
    <w:rsid w:val="009617F8"/>
    <w:rsid w:val="00961E17"/>
    <w:rsid w:val="009645E2"/>
    <w:rsid w:val="00975E0E"/>
    <w:rsid w:val="00975FDB"/>
    <w:rsid w:val="00984DF5"/>
    <w:rsid w:val="00985300"/>
    <w:rsid w:val="009853EF"/>
    <w:rsid w:val="00985956"/>
    <w:rsid w:val="00990B15"/>
    <w:rsid w:val="009926EA"/>
    <w:rsid w:val="009948C2"/>
    <w:rsid w:val="009952BE"/>
    <w:rsid w:val="0099605D"/>
    <w:rsid w:val="009A071A"/>
    <w:rsid w:val="009A169F"/>
    <w:rsid w:val="009A3939"/>
    <w:rsid w:val="009A3B59"/>
    <w:rsid w:val="009B0688"/>
    <w:rsid w:val="009B154B"/>
    <w:rsid w:val="009B1B0A"/>
    <w:rsid w:val="009B541E"/>
    <w:rsid w:val="009B6B6D"/>
    <w:rsid w:val="009C078A"/>
    <w:rsid w:val="009C28EC"/>
    <w:rsid w:val="009C38C0"/>
    <w:rsid w:val="009C4DD7"/>
    <w:rsid w:val="009C5F62"/>
    <w:rsid w:val="009C67B4"/>
    <w:rsid w:val="009C7A94"/>
    <w:rsid w:val="009D18CF"/>
    <w:rsid w:val="009D1D56"/>
    <w:rsid w:val="009D2DEB"/>
    <w:rsid w:val="009D53EC"/>
    <w:rsid w:val="009D5B9C"/>
    <w:rsid w:val="009D637C"/>
    <w:rsid w:val="009D775E"/>
    <w:rsid w:val="009E5494"/>
    <w:rsid w:val="009E5E24"/>
    <w:rsid w:val="009E608B"/>
    <w:rsid w:val="009E63C3"/>
    <w:rsid w:val="009E7B8C"/>
    <w:rsid w:val="009F2493"/>
    <w:rsid w:val="009F34D0"/>
    <w:rsid w:val="009F4250"/>
    <w:rsid w:val="009F45D8"/>
    <w:rsid w:val="009F4AB5"/>
    <w:rsid w:val="009F5D6A"/>
    <w:rsid w:val="009F6B4A"/>
    <w:rsid w:val="00A00004"/>
    <w:rsid w:val="00A00995"/>
    <w:rsid w:val="00A028E8"/>
    <w:rsid w:val="00A07C7D"/>
    <w:rsid w:val="00A1042B"/>
    <w:rsid w:val="00A14428"/>
    <w:rsid w:val="00A16C2B"/>
    <w:rsid w:val="00A1733B"/>
    <w:rsid w:val="00A27FC3"/>
    <w:rsid w:val="00A338AB"/>
    <w:rsid w:val="00A33B22"/>
    <w:rsid w:val="00A33E43"/>
    <w:rsid w:val="00A34A37"/>
    <w:rsid w:val="00A35EAC"/>
    <w:rsid w:val="00A40DAB"/>
    <w:rsid w:val="00A432F6"/>
    <w:rsid w:val="00A44315"/>
    <w:rsid w:val="00A52465"/>
    <w:rsid w:val="00A54157"/>
    <w:rsid w:val="00A55A14"/>
    <w:rsid w:val="00A562A7"/>
    <w:rsid w:val="00A565A9"/>
    <w:rsid w:val="00A574A8"/>
    <w:rsid w:val="00A61D47"/>
    <w:rsid w:val="00A62064"/>
    <w:rsid w:val="00A71575"/>
    <w:rsid w:val="00A76849"/>
    <w:rsid w:val="00A81EFB"/>
    <w:rsid w:val="00A82722"/>
    <w:rsid w:val="00A85BCE"/>
    <w:rsid w:val="00A85E94"/>
    <w:rsid w:val="00A86F22"/>
    <w:rsid w:val="00A926BA"/>
    <w:rsid w:val="00A932A1"/>
    <w:rsid w:val="00A938D2"/>
    <w:rsid w:val="00A93EF9"/>
    <w:rsid w:val="00A944C2"/>
    <w:rsid w:val="00AA0E60"/>
    <w:rsid w:val="00AA56BE"/>
    <w:rsid w:val="00AA6255"/>
    <w:rsid w:val="00AB0ED0"/>
    <w:rsid w:val="00AB21C5"/>
    <w:rsid w:val="00AB43F6"/>
    <w:rsid w:val="00AB6F4C"/>
    <w:rsid w:val="00AC0DE0"/>
    <w:rsid w:val="00AC27F9"/>
    <w:rsid w:val="00AC289C"/>
    <w:rsid w:val="00AD0A3D"/>
    <w:rsid w:val="00AD399C"/>
    <w:rsid w:val="00AD4F3E"/>
    <w:rsid w:val="00AD572C"/>
    <w:rsid w:val="00AE49C7"/>
    <w:rsid w:val="00AE4D0E"/>
    <w:rsid w:val="00AE656B"/>
    <w:rsid w:val="00AF168F"/>
    <w:rsid w:val="00B012F9"/>
    <w:rsid w:val="00B019EC"/>
    <w:rsid w:val="00B026DB"/>
    <w:rsid w:val="00B04ACE"/>
    <w:rsid w:val="00B05193"/>
    <w:rsid w:val="00B056E0"/>
    <w:rsid w:val="00B11162"/>
    <w:rsid w:val="00B111C3"/>
    <w:rsid w:val="00B11433"/>
    <w:rsid w:val="00B13FA2"/>
    <w:rsid w:val="00B145E6"/>
    <w:rsid w:val="00B15F6D"/>
    <w:rsid w:val="00B165FE"/>
    <w:rsid w:val="00B1720E"/>
    <w:rsid w:val="00B20423"/>
    <w:rsid w:val="00B21439"/>
    <w:rsid w:val="00B21822"/>
    <w:rsid w:val="00B21B2A"/>
    <w:rsid w:val="00B21FF6"/>
    <w:rsid w:val="00B25975"/>
    <w:rsid w:val="00B27844"/>
    <w:rsid w:val="00B319D2"/>
    <w:rsid w:val="00B31A80"/>
    <w:rsid w:val="00B339E1"/>
    <w:rsid w:val="00B33BC5"/>
    <w:rsid w:val="00B35457"/>
    <w:rsid w:val="00B35F71"/>
    <w:rsid w:val="00B429D7"/>
    <w:rsid w:val="00B44EB5"/>
    <w:rsid w:val="00B451E5"/>
    <w:rsid w:val="00B45A45"/>
    <w:rsid w:val="00B462C0"/>
    <w:rsid w:val="00B502AF"/>
    <w:rsid w:val="00B50696"/>
    <w:rsid w:val="00B547B5"/>
    <w:rsid w:val="00B557B8"/>
    <w:rsid w:val="00B56355"/>
    <w:rsid w:val="00B62E67"/>
    <w:rsid w:val="00B637BC"/>
    <w:rsid w:val="00B63820"/>
    <w:rsid w:val="00B64892"/>
    <w:rsid w:val="00B67594"/>
    <w:rsid w:val="00B67D73"/>
    <w:rsid w:val="00B74EE6"/>
    <w:rsid w:val="00B75693"/>
    <w:rsid w:val="00B768FB"/>
    <w:rsid w:val="00B813D5"/>
    <w:rsid w:val="00B831F6"/>
    <w:rsid w:val="00B837CB"/>
    <w:rsid w:val="00B84F89"/>
    <w:rsid w:val="00B85FB8"/>
    <w:rsid w:val="00B87077"/>
    <w:rsid w:val="00B90D7C"/>
    <w:rsid w:val="00B911E5"/>
    <w:rsid w:val="00B95D60"/>
    <w:rsid w:val="00BA31F1"/>
    <w:rsid w:val="00BA72BE"/>
    <w:rsid w:val="00BA7365"/>
    <w:rsid w:val="00BB0C69"/>
    <w:rsid w:val="00BB0EEC"/>
    <w:rsid w:val="00BB29A1"/>
    <w:rsid w:val="00BB3410"/>
    <w:rsid w:val="00BB7F13"/>
    <w:rsid w:val="00BC0BB1"/>
    <w:rsid w:val="00BC7016"/>
    <w:rsid w:val="00BC7D0C"/>
    <w:rsid w:val="00BD0611"/>
    <w:rsid w:val="00BD07E8"/>
    <w:rsid w:val="00BD223D"/>
    <w:rsid w:val="00BD601C"/>
    <w:rsid w:val="00BD672C"/>
    <w:rsid w:val="00BD7EC4"/>
    <w:rsid w:val="00BE13C6"/>
    <w:rsid w:val="00BE766B"/>
    <w:rsid w:val="00BE7B50"/>
    <w:rsid w:val="00BF186F"/>
    <w:rsid w:val="00BF2B85"/>
    <w:rsid w:val="00BF3DEB"/>
    <w:rsid w:val="00BF463A"/>
    <w:rsid w:val="00BF4D13"/>
    <w:rsid w:val="00BF4FC3"/>
    <w:rsid w:val="00BF5ADB"/>
    <w:rsid w:val="00C04E49"/>
    <w:rsid w:val="00C14BD3"/>
    <w:rsid w:val="00C20E63"/>
    <w:rsid w:val="00C22987"/>
    <w:rsid w:val="00C22E56"/>
    <w:rsid w:val="00C25456"/>
    <w:rsid w:val="00C25F97"/>
    <w:rsid w:val="00C26AF4"/>
    <w:rsid w:val="00C30EBD"/>
    <w:rsid w:val="00C30EC6"/>
    <w:rsid w:val="00C319FC"/>
    <w:rsid w:val="00C33DFA"/>
    <w:rsid w:val="00C353D6"/>
    <w:rsid w:val="00C4002B"/>
    <w:rsid w:val="00C40384"/>
    <w:rsid w:val="00C43753"/>
    <w:rsid w:val="00C475EE"/>
    <w:rsid w:val="00C47B2F"/>
    <w:rsid w:val="00C5061D"/>
    <w:rsid w:val="00C50B08"/>
    <w:rsid w:val="00C52965"/>
    <w:rsid w:val="00C52E27"/>
    <w:rsid w:val="00C541BF"/>
    <w:rsid w:val="00C56361"/>
    <w:rsid w:val="00C608D8"/>
    <w:rsid w:val="00C61D3B"/>
    <w:rsid w:val="00C64983"/>
    <w:rsid w:val="00C70C5F"/>
    <w:rsid w:val="00C847DC"/>
    <w:rsid w:val="00C905D0"/>
    <w:rsid w:val="00C9206A"/>
    <w:rsid w:val="00C92995"/>
    <w:rsid w:val="00C940C3"/>
    <w:rsid w:val="00C96119"/>
    <w:rsid w:val="00C96C7B"/>
    <w:rsid w:val="00CA3DCB"/>
    <w:rsid w:val="00CA4B30"/>
    <w:rsid w:val="00CB1FAD"/>
    <w:rsid w:val="00CB3DB3"/>
    <w:rsid w:val="00CB3E03"/>
    <w:rsid w:val="00CB71D2"/>
    <w:rsid w:val="00CC406A"/>
    <w:rsid w:val="00CC5A0C"/>
    <w:rsid w:val="00CD03F6"/>
    <w:rsid w:val="00CD2A3B"/>
    <w:rsid w:val="00CD5983"/>
    <w:rsid w:val="00CE6B07"/>
    <w:rsid w:val="00CF3416"/>
    <w:rsid w:val="00CF35DE"/>
    <w:rsid w:val="00CF36D2"/>
    <w:rsid w:val="00CF5861"/>
    <w:rsid w:val="00CF6443"/>
    <w:rsid w:val="00D00D7A"/>
    <w:rsid w:val="00D019C2"/>
    <w:rsid w:val="00D0397E"/>
    <w:rsid w:val="00D03AC3"/>
    <w:rsid w:val="00D044C4"/>
    <w:rsid w:val="00D05B16"/>
    <w:rsid w:val="00D15427"/>
    <w:rsid w:val="00D170BB"/>
    <w:rsid w:val="00D17A68"/>
    <w:rsid w:val="00D265E5"/>
    <w:rsid w:val="00D303B1"/>
    <w:rsid w:val="00D32AC0"/>
    <w:rsid w:val="00D33237"/>
    <w:rsid w:val="00D344A2"/>
    <w:rsid w:val="00D3517C"/>
    <w:rsid w:val="00D35B07"/>
    <w:rsid w:val="00D37680"/>
    <w:rsid w:val="00D403C4"/>
    <w:rsid w:val="00D4278B"/>
    <w:rsid w:val="00D42B03"/>
    <w:rsid w:val="00D45033"/>
    <w:rsid w:val="00D4651F"/>
    <w:rsid w:val="00D47187"/>
    <w:rsid w:val="00D55BA4"/>
    <w:rsid w:val="00D60332"/>
    <w:rsid w:val="00D608E7"/>
    <w:rsid w:val="00D634B9"/>
    <w:rsid w:val="00D720CF"/>
    <w:rsid w:val="00D7739F"/>
    <w:rsid w:val="00D80C73"/>
    <w:rsid w:val="00D80D26"/>
    <w:rsid w:val="00D83E35"/>
    <w:rsid w:val="00D87F33"/>
    <w:rsid w:val="00D92A9D"/>
    <w:rsid w:val="00D932DF"/>
    <w:rsid w:val="00D9424A"/>
    <w:rsid w:val="00D94FD7"/>
    <w:rsid w:val="00D973E7"/>
    <w:rsid w:val="00DA4E9E"/>
    <w:rsid w:val="00DA640A"/>
    <w:rsid w:val="00DA7DDB"/>
    <w:rsid w:val="00DB01DB"/>
    <w:rsid w:val="00DB071D"/>
    <w:rsid w:val="00DB55E4"/>
    <w:rsid w:val="00DB7F44"/>
    <w:rsid w:val="00DC0F57"/>
    <w:rsid w:val="00DC241D"/>
    <w:rsid w:val="00DC2D8B"/>
    <w:rsid w:val="00DC4859"/>
    <w:rsid w:val="00DC62BE"/>
    <w:rsid w:val="00DD2BF7"/>
    <w:rsid w:val="00DD306F"/>
    <w:rsid w:val="00DD30F0"/>
    <w:rsid w:val="00DD7357"/>
    <w:rsid w:val="00DE3240"/>
    <w:rsid w:val="00DE36C4"/>
    <w:rsid w:val="00DE3DFB"/>
    <w:rsid w:val="00DE43BD"/>
    <w:rsid w:val="00DE4FF3"/>
    <w:rsid w:val="00DF1204"/>
    <w:rsid w:val="00DF1835"/>
    <w:rsid w:val="00DF345F"/>
    <w:rsid w:val="00DF3725"/>
    <w:rsid w:val="00DF69FE"/>
    <w:rsid w:val="00E048AD"/>
    <w:rsid w:val="00E05F5E"/>
    <w:rsid w:val="00E076DF"/>
    <w:rsid w:val="00E128F6"/>
    <w:rsid w:val="00E14EC9"/>
    <w:rsid w:val="00E15A4A"/>
    <w:rsid w:val="00E164C9"/>
    <w:rsid w:val="00E217F5"/>
    <w:rsid w:val="00E21F50"/>
    <w:rsid w:val="00E23A50"/>
    <w:rsid w:val="00E2422B"/>
    <w:rsid w:val="00E27CD0"/>
    <w:rsid w:val="00E31F9D"/>
    <w:rsid w:val="00E325DC"/>
    <w:rsid w:val="00E32C7C"/>
    <w:rsid w:val="00E33FD7"/>
    <w:rsid w:val="00E349A9"/>
    <w:rsid w:val="00E349FB"/>
    <w:rsid w:val="00E35A88"/>
    <w:rsid w:val="00E36BD0"/>
    <w:rsid w:val="00E37007"/>
    <w:rsid w:val="00E4369D"/>
    <w:rsid w:val="00E43E5B"/>
    <w:rsid w:val="00E4635D"/>
    <w:rsid w:val="00E57B0D"/>
    <w:rsid w:val="00E57C2E"/>
    <w:rsid w:val="00E6231F"/>
    <w:rsid w:val="00E62A92"/>
    <w:rsid w:val="00E708EA"/>
    <w:rsid w:val="00E766F9"/>
    <w:rsid w:val="00E774F8"/>
    <w:rsid w:val="00E81188"/>
    <w:rsid w:val="00E840B6"/>
    <w:rsid w:val="00E84C0E"/>
    <w:rsid w:val="00E85065"/>
    <w:rsid w:val="00E85411"/>
    <w:rsid w:val="00E87019"/>
    <w:rsid w:val="00E875E5"/>
    <w:rsid w:val="00E9310F"/>
    <w:rsid w:val="00E94D50"/>
    <w:rsid w:val="00E957CF"/>
    <w:rsid w:val="00E97EEF"/>
    <w:rsid w:val="00EA0E58"/>
    <w:rsid w:val="00EA2910"/>
    <w:rsid w:val="00EA3215"/>
    <w:rsid w:val="00EA4F9C"/>
    <w:rsid w:val="00EA5EE9"/>
    <w:rsid w:val="00EB28E5"/>
    <w:rsid w:val="00EB3783"/>
    <w:rsid w:val="00EB4BA7"/>
    <w:rsid w:val="00EC348D"/>
    <w:rsid w:val="00EC45ED"/>
    <w:rsid w:val="00EC5159"/>
    <w:rsid w:val="00EC58CA"/>
    <w:rsid w:val="00EC7184"/>
    <w:rsid w:val="00ED1B0F"/>
    <w:rsid w:val="00ED3E53"/>
    <w:rsid w:val="00ED7300"/>
    <w:rsid w:val="00ED7C12"/>
    <w:rsid w:val="00EE1A0C"/>
    <w:rsid w:val="00EE1C8B"/>
    <w:rsid w:val="00EE22DD"/>
    <w:rsid w:val="00EE67C5"/>
    <w:rsid w:val="00EE7D08"/>
    <w:rsid w:val="00EF06A4"/>
    <w:rsid w:val="00EF2D4A"/>
    <w:rsid w:val="00EF31CF"/>
    <w:rsid w:val="00EF362C"/>
    <w:rsid w:val="00EF3C8F"/>
    <w:rsid w:val="00EF5DA1"/>
    <w:rsid w:val="00EF5EC8"/>
    <w:rsid w:val="00F0109E"/>
    <w:rsid w:val="00F010B3"/>
    <w:rsid w:val="00F022EA"/>
    <w:rsid w:val="00F0307D"/>
    <w:rsid w:val="00F0473C"/>
    <w:rsid w:val="00F04F97"/>
    <w:rsid w:val="00F055C1"/>
    <w:rsid w:val="00F10E54"/>
    <w:rsid w:val="00F130FC"/>
    <w:rsid w:val="00F1595B"/>
    <w:rsid w:val="00F16F88"/>
    <w:rsid w:val="00F21B9A"/>
    <w:rsid w:val="00F2377B"/>
    <w:rsid w:val="00F24CBD"/>
    <w:rsid w:val="00F25462"/>
    <w:rsid w:val="00F32275"/>
    <w:rsid w:val="00F32B3E"/>
    <w:rsid w:val="00F342F1"/>
    <w:rsid w:val="00F3490F"/>
    <w:rsid w:val="00F35A4C"/>
    <w:rsid w:val="00F371E2"/>
    <w:rsid w:val="00F37991"/>
    <w:rsid w:val="00F37EDF"/>
    <w:rsid w:val="00F53219"/>
    <w:rsid w:val="00F539B9"/>
    <w:rsid w:val="00F542A2"/>
    <w:rsid w:val="00F62C01"/>
    <w:rsid w:val="00F63F0E"/>
    <w:rsid w:val="00F643C4"/>
    <w:rsid w:val="00F672D1"/>
    <w:rsid w:val="00F67F66"/>
    <w:rsid w:val="00F732D7"/>
    <w:rsid w:val="00F736CB"/>
    <w:rsid w:val="00F77AAA"/>
    <w:rsid w:val="00F80D07"/>
    <w:rsid w:val="00F81845"/>
    <w:rsid w:val="00F8614A"/>
    <w:rsid w:val="00F864EB"/>
    <w:rsid w:val="00F92D18"/>
    <w:rsid w:val="00F95363"/>
    <w:rsid w:val="00FA0FA3"/>
    <w:rsid w:val="00FA354C"/>
    <w:rsid w:val="00FA4F55"/>
    <w:rsid w:val="00FA5FEA"/>
    <w:rsid w:val="00FA7D3E"/>
    <w:rsid w:val="00FB05CD"/>
    <w:rsid w:val="00FB2939"/>
    <w:rsid w:val="00FB3ABF"/>
    <w:rsid w:val="00FB5845"/>
    <w:rsid w:val="00FB66EF"/>
    <w:rsid w:val="00FB6C13"/>
    <w:rsid w:val="00FC0223"/>
    <w:rsid w:val="00FC1B9E"/>
    <w:rsid w:val="00FC4569"/>
    <w:rsid w:val="00FC47C5"/>
    <w:rsid w:val="00FC74F6"/>
    <w:rsid w:val="00FD1D6E"/>
    <w:rsid w:val="00FD2DB5"/>
    <w:rsid w:val="00FE445F"/>
    <w:rsid w:val="00FF04B6"/>
    <w:rsid w:val="00FF221C"/>
    <w:rsid w:val="00FF34BA"/>
    <w:rsid w:val="00FF3E67"/>
    <w:rsid w:val="00FF3EE2"/>
    <w:rsid w:val="00FF4417"/>
    <w:rsid w:val="00FF47C6"/>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L&amp;pubNum=1000547&amp;cite=47CFRS1.106&amp;originatingDoc=I9a5eb752832611e1ac60ad556f635d49&amp;refType=RB&amp;originationContext=document&amp;transitionType=DocumentItem&amp;contextData=(sc.Search)" TargetMode="External"/><Relationship Id="rId2" Type="http://schemas.openxmlformats.org/officeDocument/2006/relationships/hyperlink" Target="https://a.next.westlaw.com/Link/Document/FullText?findType=L&amp;pubNum=1000546&amp;cite=47USCAS405&amp;originatingDoc=I9a5eb752832611e1ac60ad556f635d49&amp;refType=RB&amp;originationContext=document&amp;transitionType=DocumentItem&amp;contextData=(sc.Search)" TargetMode="External"/><Relationship Id="rId1" Type="http://schemas.openxmlformats.org/officeDocument/2006/relationships/hyperlink" Target="https://a.next.westlaw.com/Link/Document/FullText?findType=Y&amp;serNum=1993255435&amp;pubNum=265&amp;originatingDoc=I06c002552bea11db8ac4e022126eafc3&amp;refType=CA&amp;originationContext=document&amp;transitionType=DocumentItem&amp;contextData=(sc.Search)" TargetMode="External"/><Relationship Id="rId6" Type="http://schemas.openxmlformats.org/officeDocument/2006/relationships/hyperlink" Target="https://a.next.westlaw.com/Link/Document/FullText?findType=Y&amp;serNum=1998271837&amp;pubNum=4493&amp;originatingDoc=I0b9781492bf211dbbb4d83d7c3c3a165&amp;refType=CA&amp;fi=co_pp_sp_4493_15953&amp;originationContext=document&amp;transitionType=DocumentItem&amp;contextData=(sc.DocLink)" TargetMode="External"/><Relationship Id="rId5" Type="http://schemas.openxmlformats.org/officeDocument/2006/relationships/hyperlink" Target="https://a.next.westlaw.com/Link/Document/FullText?findType=Y&amp;serNum=1986104411&amp;pubNum=350&amp;originatingDoc=I9a5eb752832611e1ac60ad556f635d49&amp;refType=RP&amp;fi=co_pp_sp_350_951&amp;originationContext=document&amp;transitionType=DocumentItem&amp;contextData=(sc.Search)" TargetMode="External"/><Relationship Id="rId4" Type="http://schemas.openxmlformats.org/officeDocument/2006/relationships/hyperlink" Target="https://a.next.westlaw.com/Link/Document/FullText?findType=Y&amp;serNum=1976145393&amp;pubNum=350&amp;originatingDoc=I9a5eb752832611e1ac60ad556f635d49&amp;refType=RP&amp;fi=co_pp_sp_350_1091&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3</Pages>
  <Words>3834</Words>
  <Characters>21328</Characters>
  <Application>Microsoft Office Word</Application>
  <DocSecurity>0</DocSecurity>
  <Lines>315</Lines>
  <Paragraphs>62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25236</CharactersWithSpaces>
  <SharedDoc>false</SharedDoc>
  <HyperlinkBase> </HyperlinkBase>
  <HLinks>
    <vt:vector size="36" baseType="variant">
      <vt:variant>
        <vt:i4>4259852</vt:i4>
      </vt:variant>
      <vt:variant>
        <vt:i4>15</vt:i4>
      </vt:variant>
      <vt:variant>
        <vt:i4>0</vt:i4>
      </vt:variant>
      <vt:variant>
        <vt:i4>5</vt:i4>
      </vt:variant>
      <vt:variant>
        <vt:lpwstr>https://a.next.westlaw.com/Link/Document/FullText?findType=Y&amp;serNum=1998271837&amp;pubNum=4493&amp;originatingDoc=I0b9781492bf211dbbb4d83d7c3c3a165&amp;refType=CA&amp;fi=co_pp_sp_4493_15953&amp;originationContext=document&amp;transitionType=DocumentItem&amp;contextData=(sc.DocLink)</vt:lpwstr>
      </vt:variant>
      <vt:variant>
        <vt:lpwstr>co_pp_sp_4493_15953</vt:lpwstr>
      </vt:variant>
      <vt:variant>
        <vt:i4>1441813</vt:i4>
      </vt:variant>
      <vt:variant>
        <vt:i4>12</vt:i4>
      </vt:variant>
      <vt:variant>
        <vt:i4>0</vt:i4>
      </vt:variant>
      <vt:variant>
        <vt:i4>5</vt:i4>
      </vt:variant>
      <vt:variant>
        <vt:lpwstr>https://a.next.westlaw.com/Link/Document/FullText?findType=Y&amp;serNum=1986104411&amp;pubNum=350&amp;originatingDoc=I9a5eb752832611e1ac60ad556f635d49&amp;refType=RP&amp;fi=co_pp_sp_350_951&amp;originationContext=document&amp;transitionType=DocumentItem&amp;contextData=(sc.Search)</vt:lpwstr>
      </vt:variant>
      <vt:variant>
        <vt:lpwstr>co_pp_sp_350_951</vt:lpwstr>
      </vt:variant>
      <vt:variant>
        <vt:i4>7471214</vt:i4>
      </vt:variant>
      <vt:variant>
        <vt:i4>9</vt:i4>
      </vt:variant>
      <vt:variant>
        <vt:i4>0</vt:i4>
      </vt:variant>
      <vt:variant>
        <vt:i4>5</vt:i4>
      </vt:variant>
      <vt:variant>
        <vt:lpwstr>https://a.next.westlaw.com/Link/Document/FullText?findType=Y&amp;serNum=1976145393&amp;pubNum=350&amp;originatingDoc=I9a5eb752832611e1ac60ad556f635d49&amp;refType=RP&amp;fi=co_pp_sp_350_1091&amp;originationContext=document&amp;transitionType=DocumentItem&amp;contextData=(sc.Search)</vt:lpwstr>
      </vt:variant>
      <vt:variant>
        <vt:lpwstr>co_pp_sp_350_1091</vt:lpwstr>
      </vt:variant>
      <vt:variant>
        <vt:i4>196628</vt:i4>
      </vt:variant>
      <vt:variant>
        <vt:i4>6</vt:i4>
      </vt:variant>
      <vt:variant>
        <vt:i4>0</vt:i4>
      </vt:variant>
      <vt:variant>
        <vt:i4>5</vt:i4>
      </vt:variant>
      <vt:variant>
        <vt:lpwstr>https://a.next.westlaw.com/Link/Document/FullText?findType=L&amp;pubNum=1000547&amp;cite=47CFRS1.106&amp;originatingDoc=I9a5eb752832611e1ac60ad556f635d49&amp;refType=RB&amp;originationContext=document&amp;transitionType=DocumentItem&amp;contextData=(sc.Search)</vt:lpwstr>
      </vt:variant>
      <vt:variant>
        <vt:lpwstr>co_pp_ae0d0000c5150</vt:lpwstr>
      </vt:variant>
      <vt:variant>
        <vt:i4>6619244</vt:i4>
      </vt:variant>
      <vt:variant>
        <vt:i4>3</vt:i4>
      </vt:variant>
      <vt:variant>
        <vt:i4>0</vt:i4>
      </vt:variant>
      <vt:variant>
        <vt:i4>5</vt:i4>
      </vt:variant>
      <vt:variant>
        <vt:lpwstr>https://a.next.westlaw.com/Link/Document/FullText?findType=L&amp;pubNum=1000546&amp;cite=47USCAS405&amp;originatingDoc=I9a5eb752832611e1ac60ad556f635d49&amp;refType=RB&amp;originationContext=document&amp;transitionType=DocumentItem&amp;contextData=(sc.Search)</vt:lpwstr>
      </vt:variant>
      <vt:variant>
        <vt:lpwstr>co_pp_8b3b0000958a4</vt:lpwstr>
      </vt:variant>
      <vt:variant>
        <vt:i4>4259844</vt:i4>
      </vt:variant>
      <vt:variant>
        <vt:i4>0</vt:i4>
      </vt:variant>
      <vt:variant>
        <vt:i4>0</vt:i4>
      </vt:variant>
      <vt:variant>
        <vt:i4>5</vt:i4>
      </vt:variant>
      <vt:variant>
        <vt:lpwstr>https://a.next.westlaw.com/Link/Document/FullText?findType=Y&amp;serNum=1993255435&amp;pubNum=265&amp;originatingDoc=I06c002552bea11db8ac4e022126eafc3&amp;refType=CA&amp;originationContext=document&amp;transitionType=DocumentItem&amp;contextData=(sc.Search)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2016-02-02T02:28:00Z</cp:lastPrinted>
  <dcterms:created xsi:type="dcterms:W3CDTF">2016-02-03T22:15:00Z</dcterms:created>
  <dcterms:modified xsi:type="dcterms:W3CDTF">2016-02-03T22:15:00Z</dcterms:modified>
  <cp:category> </cp:category>
  <cp:contentStatus> </cp:contentStatus>
</cp:coreProperties>
</file>