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B48BD" w14:textId="77777777" w:rsidR="004C2EE3" w:rsidRPr="001C7620" w:rsidRDefault="004C2EE3">
      <w:pPr>
        <w:jc w:val="center"/>
        <w:rPr>
          <w:b/>
          <w:szCs w:val="22"/>
        </w:rPr>
      </w:pPr>
      <w:bookmarkStart w:id="0" w:name="_GoBack"/>
      <w:bookmarkEnd w:id="0"/>
      <w:r w:rsidRPr="001C7620">
        <w:rPr>
          <w:b/>
          <w:kern w:val="0"/>
          <w:szCs w:val="22"/>
        </w:rPr>
        <w:t>Before</w:t>
      </w:r>
      <w:r w:rsidRPr="001C7620">
        <w:rPr>
          <w:b/>
          <w:szCs w:val="22"/>
        </w:rPr>
        <w:t xml:space="preserve"> the</w:t>
      </w:r>
    </w:p>
    <w:p w14:paraId="5E62685B" w14:textId="77777777" w:rsidR="00921803" w:rsidRPr="001C7620" w:rsidRDefault="00921803" w:rsidP="00921803">
      <w:pPr>
        <w:pStyle w:val="StyleBoldCentered"/>
        <w:rPr>
          <w:rFonts w:ascii="Times New Roman" w:hAnsi="Times New Roman"/>
        </w:rPr>
      </w:pPr>
      <w:r w:rsidRPr="001C7620">
        <w:rPr>
          <w:rFonts w:ascii="Times New Roman" w:hAnsi="Times New Roman"/>
        </w:rPr>
        <w:t>F</w:t>
      </w:r>
      <w:r w:rsidRPr="001C7620">
        <w:rPr>
          <w:rFonts w:ascii="Times New Roman" w:hAnsi="Times New Roman"/>
          <w:caps w:val="0"/>
        </w:rPr>
        <w:t>ederal Communications Commission</w:t>
      </w:r>
    </w:p>
    <w:p w14:paraId="004A41E8" w14:textId="77777777" w:rsidR="004C2EE3" w:rsidRPr="001C7620" w:rsidRDefault="00810B6F" w:rsidP="00096D8C">
      <w:pPr>
        <w:pStyle w:val="StyleBoldCentered"/>
        <w:rPr>
          <w:rFonts w:ascii="Times New Roman" w:hAnsi="Times New Roman"/>
        </w:rPr>
      </w:pPr>
      <w:r w:rsidRPr="001C7620">
        <w:rPr>
          <w:rFonts w:ascii="Times New Roman" w:hAnsi="Times New Roman"/>
          <w:caps w:val="0"/>
        </w:rPr>
        <w:t>Washington, D.C. 20554</w:t>
      </w:r>
    </w:p>
    <w:p w14:paraId="3BCF0266" w14:textId="77777777" w:rsidR="004C2EE3" w:rsidRPr="001C7620" w:rsidRDefault="004C2EE3" w:rsidP="0070224F">
      <w:pPr>
        <w:rPr>
          <w:szCs w:val="22"/>
        </w:rPr>
      </w:pPr>
    </w:p>
    <w:p w14:paraId="0F9BE7D7" w14:textId="77777777" w:rsidR="004C2EE3" w:rsidRPr="001C7620"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1C7620" w14:paraId="7FE957AA" w14:textId="77777777">
        <w:tc>
          <w:tcPr>
            <w:tcW w:w="4698" w:type="dxa"/>
          </w:tcPr>
          <w:p w14:paraId="6B19CA5E" w14:textId="77777777" w:rsidR="004C2EE3" w:rsidRPr="001C7620" w:rsidRDefault="004C2EE3">
            <w:pPr>
              <w:tabs>
                <w:tab w:val="center" w:pos="4680"/>
              </w:tabs>
              <w:suppressAutoHyphens/>
              <w:rPr>
                <w:spacing w:val="-2"/>
                <w:szCs w:val="22"/>
              </w:rPr>
            </w:pPr>
            <w:r w:rsidRPr="001C7620">
              <w:rPr>
                <w:spacing w:val="-2"/>
                <w:szCs w:val="22"/>
              </w:rPr>
              <w:t>In the Matter of</w:t>
            </w:r>
          </w:p>
          <w:p w14:paraId="577558E1" w14:textId="77777777" w:rsidR="004C2EE3" w:rsidRPr="001C7620" w:rsidRDefault="004C2EE3">
            <w:pPr>
              <w:tabs>
                <w:tab w:val="center" w:pos="4680"/>
              </w:tabs>
              <w:suppressAutoHyphens/>
              <w:rPr>
                <w:spacing w:val="-2"/>
                <w:szCs w:val="22"/>
              </w:rPr>
            </w:pPr>
          </w:p>
          <w:p w14:paraId="4BDF9CC2" w14:textId="77777777" w:rsidR="004C2EE3" w:rsidRPr="001C7620" w:rsidRDefault="00533BC3" w:rsidP="006D0BB1">
            <w:pPr>
              <w:tabs>
                <w:tab w:val="center" w:pos="4680"/>
              </w:tabs>
              <w:suppressAutoHyphens/>
              <w:rPr>
                <w:i/>
                <w:spacing w:val="-2"/>
                <w:szCs w:val="22"/>
              </w:rPr>
            </w:pPr>
            <w:r w:rsidRPr="001C7620">
              <w:rPr>
                <w:spacing w:val="-2"/>
                <w:szCs w:val="22"/>
              </w:rPr>
              <w:t xml:space="preserve">Improving Public Safety Communications in the 800 MHz Band – Petition for Declaratory Ruling </w:t>
            </w:r>
            <w:r w:rsidR="006D0BB1">
              <w:rPr>
                <w:spacing w:val="-2"/>
                <w:szCs w:val="22"/>
              </w:rPr>
              <w:t xml:space="preserve">by </w:t>
            </w:r>
            <w:r w:rsidRPr="001C7620">
              <w:rPr>
                <w:spacing w:val="-2"/>
                <w:szCs w:val="22"/>
              </w:rPr>
              <w:t xml:space="preserve">Comunicaciones Digitales del Norte, S.A. de C.V., </w:t>
            </w:r>
            <w:r w:rsidR="006D0BB1">
              <w:t xml:space="preserve">Radio Sistemas de Tamaulipas, S.A. de C.V., </w:t>
            </w:r>
            <w:r w:rsidR="006D0BB1" w:rsidRPr="00E178E3">
              <w:rPr>
                <w:iCs/>
              </w:rPr>
              <w:t>Troncatel, S.A. de C.V.</w:t>
            </w:r>
            <w:r w:rsidR="006D0BB1">
              <w:rPr>
                <w:iCs/>
              </w:rPr>
              <w:t xml:space="preserve">, and </w:t>
            </w:r>
            <w:r w:rsidR="006D0BB1" w:rsidRPr="00E178E3">
              <w:rPr>
                <w:iCs/>
              </w:rPr>
              <w:t>Union Agricola Regional del Norte de Tamaulipas</w:t>
            </w:r>
            <w:r w:rsidRPr="001C7620">
              <w:rPr>
                <w:i/>
                <w:spacing w:val="-2"/>
                <w:szCs w:val="22"/>
              </w:rPr>
              <w:t>.</w:t>
            </w:r>
          </w:p>
        </w:tc>
        <w:tc>
          <w:tcPr>
            <w:tcW w:w="630" w:type="dxa"/>
          </w:tcPr>
          <w:p w14:paraId="5C8DA354" w14:textId="77777777" w:rsidR="004C2EE3" w:rsidRPr="001C7620" w:rsidRDefault="004C2EE3">
            <w:pPr>
              <w:tabs>
                <w:tab w:val="center" w:pos="4680"/>
              </w:tabs>
              <w:suppressAutoHyphens/>
              <w:rPr>
                <w:b/>
                <w:spacing w:val="-2"/>
                <w:szCs w:val="22"/>
              </w:rPr>
            </w:pPr>
            <w:r w:rsidRPr="001C7620">
              <w:rPr>
                <w:b/>
                <w:spacing w:val="-2"/>
                <w:szCs w:val="22"/>
              </w:rPr>
              <w:t>)</w:t>
            </w:r>
          </w:p>
          <w:p w14:paraId="40BFBA16" w14:textId="77777777" w:rsidR="004C2EE3" w:rsidRPr="001C7620" w:rsidRDefault="004C2EE3">
            <w:pPr>
              <w:tabs>
                <w:tab w:val="center" w:pos="4680"/>
              </w:tabs>
              <w:suppressAutoHyphens/>
              <w:rPr>
                <w:b/>
                <w:spacing w:val="-2"/>
                <w:szCs w:val="22"/>
              </w:rPr>
            </w:pPr>
            <w:r w:rsidRPr="001C7620">
              <w:rPr>
                <w:b/>
                <w:spacing w:val="-2"/>
                <w:szCs w:val="22"/>
              </w:rPr>
              <w:t>)</w:t>
            </w:r>
          </w:p>
          <w:p w14:paraId="1652BF67" w14:textId="77777777" w:rsidR="004C2EE3" w:rsidRPr="001C7620" w:rsidRDefault="004C2EE3">
            <w:pPr>
              <w:tabs>
                <w:tab w:val="center" w:pos="4680"/>
              </w:tabs>
              <w:suppressAutoHyphens/>
              <w:rPr>
                <w:b/>
                <w:spacing w:val="-2"/>
                <w:szCs w:val="22"/>
              </w:rPr>
            </w:pPr>
            <w:r w:rsidRPr="001C7620">
              <w:rPr>
                <w:b/>
                <w:spacing w:val="-2"/>
                <w:szCs w:val="22"/>
              </w:rPr>
              <w:t>)</w:t>
            </w:r>
          </w:p>
          <w:p w14:paraId="7F858AFC" w14:textId="77777777" w:rsidR="004C2EE3" w:rsidRPr="001C7620" w:rsidRDefault="004C2EE3">
            <w:pPr>
              <w:tabs>
                <w:tab w:val="center" w:pos="4680"/>
              </w:tabs>
              <w:suppressAutoHyphens/>
              <w:rPr>
                <w:b/>
                <w:spacing w:val="-2"/>
                <w:szCs w:val="22"/>
              </w:rPr>
            </w:pPr>
            <w:r w:rsidRPr="001C7620">
              <w:rPr>
                <w:b/>
                <w:spacing w:val="-2"/>
                <w:szCs w:val="22"/>
              </w:rPr>
              <w:t>)</w:t>
            </w:r>
          </w:p>
          <w:p w14:paraId="4131EB12" w14:textId="77777777" w:rsidR="004C2EE3" w:rsidRPr="001C7620" w:rsidRDefault="004C2EE3">
            <w:pPr>
              <w:tabs>
                <w:tab w:val="center" w:pos="4680"/>
              </w:tabs>
              <w:suppressAutoHyphens/>
              <w:rPr>
                <w:b/>
                <w:spacing w:val="-2"/>
                <w:szCs w:val="22"/>
              </w:rPr>
            </w:pPr>
            <w:r w:rsidRPr="001C7620">
              <w:rPr>
                <w:b/>
                <w:spacing w:val="-2"/>
                <w:szCs w:val="22"/>
              </w:rPr>
              <w:t>)</w:t>
            </w:r>
          </w:p>
          <w:p w14:paraId="3313DF64" w14:textId="77777777" w:rsidR="004C2EE3" w:rsidRPr="001C7620" w:rsidRDefault="004C2EE3">
            <w:pPr>
              <w:tabs>
                <w:tab w:val="center" w:pos="4680"/>
              </w:tabs>
              <w:suppressAutoHyphens/>
              <w:rPr>
                <w:b/>
                <w:spacing w:val="-2"/>
                <w:szCs w:val="22"/>
              </w:rPr>
            </w:pPr>
            <w:r w:rsidRPr="001C7620">
              <w:rPr>
                <w:b/>
                <w:spacing w:val="-2"/>
                <w:szCs w:val="22"/>
              </w:rPr>
              <w:t>)</w:t>
            </w:r>
          </w:p>
          <w:p w14:paraId="1C6DCE9B" w14:textId="77777777" w:rsidR="004C2EE3" w:rsidRPr="001C7620" w:rsidRDefault="004C2EE3">
            <w:pPr>
              <w:tabs>
                <w:tab w:val="center" w:pos="4680"/>
              </w:tabs>
              <w:suppressAutoHyphens/>
              <w:rPr>
                <w:b/>
                <w:spacing w:val="-2"/>
                <w:szCs w:val="22"/>
              </w:rPr>
            </w:pPr>
            <w:r w:rsidRPr="001C7620">
              <w:rPr>
                <w:b/>
                <w:spacing w:val="-2"/>
                <w:szCs w:val="22"/>
              </w:rPr>
              <w:t>)</w:t>
            </w:r>
          </w:p>
          <w:p w14:paraId="3B9BCA87" w14:textId="77777777" w:rsidR="004C2EE3" w:rsidRPr="001C7620" w:rsidRDefault="004C2EE3">
            <w:pPr>
              <w:tabs>
                <w:tab w:val="center" w:pos="4680"/>
              </w:tabs>
              <w:suppressAutoHyphens/>
              <w:rPr>
                <w:b/>
                <w:spacing w:val="-2"/>
                <w:szCs w:val="22"/>
              </w:rPr>
            </w:pPr>
            <w:r w:rsidRPr="001C7620">
              <w:rPr>
                <w:b/>
                <w:spacing w:val="-2"/>
                <w:szCs w:val="22"/>
              </w:rPr>
              <w:t>)</w:t>
            </w:r>
          </w:p>
          <w:p w14:paraId="62B57C0D" w14:textId="77777777" w:rsidR="004C2EE3" w:rsidRPr="001C7620" w:rsidRDefault="004C2EE3">
            <w:pPr>
              <w:tabs>
                <w:tab w:val="center" w:pos="4680"/>
              </w:tabs>
              <w:suppressAutoHyphens/>
              <w:rPr>
                <w:spacing w:val="-2"/>
                <w:szCs w:val="22"/>
              </w:rPr>
            </w:pPr>
            <w:r w:rsidRPr="001C7620">
              <w:rPr>
                <w:b/>
                <w:spacing w:val="-2"/>
                <w:szCs w:val="22"/>
              </w:rPr>
              <w:t>)</w:t>
            </w:r>
          </w:p>
        </w:tc>
        <w:tc>
          <w:tcPr>
            <w:tcW w:w="4248" w:type="dxa"/>
          </w:tcPr>
          <w:p w14:paraId="6764E4D9" w14:textId="77777777" w:rsidR="004C2EE3" w:rsidRPr="001C7620" w:rsidRDefault="004C2EE3">
            <w:pPr>
              <w:tabs>
                <w:tab w:val="center" w:pos="4680"/>
              </w:tabs>
              <w:suppressAutoHyphens/>
              <w:rPr>
                <w:spacing w:val="-2"/>
                <w:szCs w:val="22"/>
              </w:rPr>
            </w:pPr>
          </w:p>
          <w:p w14:paraId="24AC48C7" w14:textId="77777777" w:rsidR="004C2EE3" w:rsidRPr="001C7620" w:rsidRDefault="004C2EE3">
            <w:pPr>
              <w:pStyle w:val="TOAHeading"/>
              <w:tabs>
                <w:tab w:val="clear" w:pos="9360"/>
                <w:tab w:val="center" w:pos="4680"/>
              </w:tabs>
              <w:rPr>
                <w:spacing w:val="-2"/>
                <w:szCs w:val="22"/>
              </w:rPr>
            </w:pPr>
          </w:p>
          <w:p w14:paraId="0070BC02" w14:textId="77777777" w:rsidR="004C2EE3" w:rsidRPr="001C7620" w:rsidRDefault="00533BC3">
            <w:pPr>
              <w:tabs>
                <w:tab w:val="center" w:pos="4680"/>
              </w:tabs>
              <w:suppressAutoHyphens/>
              <w:rPr>
                <w:spacing w:val="-2"/>
                <w:szCs w:val="22"/>
              </w:rPr>
            </w:pPr>
            <w:r w:rsidRPr="001C7620">
              <w:rPr>
                <w:spacing w:val="-2"/>
                <w:szCs w:val="22"/>
              </w:rPr>
              <w:t>WT Docket No. 02-55</w:t>
            </w:r>
          </w:p>
        </w:tc>
      </w:tr>
    </w:tbl>
    <w:p w14:paraId="35D504C7" w14:textId="77777777" w:rsidR="004C2EE3" w:rsidRPr="001C7620" w:rsidRDefault="004C2EE3" w:rsidP="0070224F">
      <w:pPr>
        <w:rPr>
          <w:szCs w:val="22"/>
        </w:rPr>
      </w:pPr>
    </w:p>
    <w:p w14:paraId="48251A96" w14:textId="77777777" w:rsidR="00841AB1" w:rsidRPr="00E21C93" w:rsidRDefault="003F57FE" w:rsidP="00F021FA">
      <w:pPr>
        <w:pStyle w:val="StyleBoldCentered"/>
        <w:rPr>
          <w:rFonts w:ascii="Times New Roman" w:hAnsi="Times New Roman"/>
        </w:rPr>
      </w:pPr>
      <w:r w:rsidRPr="009E6601">
        <w:rPr>
          <w:rFonts w:ascii="Times New Roman" w:hAnsi="Times New Roman"/>
        </w:rPr>
        <w:t>ORDER</w:t>
      </w:r>
    </w:p>
    <w:p w14:paraId="5279D398" w14:textId="77777777" w:rsidR="004C2EE3" w:rsidRPr="001C7620" w:rsidRDefault="004C2EE3">
      <w:pPr>
        <w:tabs>
          <w:tab w:val="left" w:pos="-720"/>
        </w:tabs>
        <w:suppressAutoHyphens/>
        <w:spacing w:line="227" w:lineRule="auto"/>
        <w:rPr>
          <w:spacing w:val="-2"/>
          <w:szCs w:val="22"/>
        </w:rPr>
      </w:pPr>
    </w:p>
    <w:p w14:paraId="26B745A9" w14:textId="43CB039A" w:rsidR="004C2EE3" w:rsidRPr="001C7620" w:rsidRDefault="004C2EE3" w:rsidP="00133F79">
      <w:pPr>
        <w:tabs>
          <w:tab w:val="left" w:pos="720"/>
          <w:tab w:val="right" w:pos="9360"/>
        </w:tabs>
        <w:suppressAutoHyphens/>
        <w:spacing w:line="227" w:lineRule="auto"/>
        <w:rPr>
          <w:spacing w:val="-2"/>
          <w:szCs w:val="22"/>
        </w:rPr>
      </w:pPr>
      <w:r w:rsidRPr="001C7620">
        <w:rPr>
          <w:b/>
          <w:spacing w:val="-2"/>
          <w:szCs w:val="22"/>
        </w:rPr>
        <w:t xml:space="preserve">Adopted:  </w:t>
      </w:r>
      <w:r w:rsidR="0044480D">
        <w:rPr>
          <w:b/>
          <w:spacing w:val="-2"/>
          <w:szCs w:val="22"/>
        </w:rPr>
        <w:t>October 27, 2016</w:t>
      </w:r>
      <w:r w:rsidRPr="001C7620">
        <w:rPr>
          <w:b/>
          <w:spacing w:val="-2"/>
          <w:szCs w:val="22"/>
        </w:rPr>
        <w:tab/>
      </w:r>
      <w:r w:rsidR="00822CE0" w:rsidRPr="001C7620">
        <w:rPr>
          <w:b/>
          <w:spacing w:val="-2"/>
          <w:szCs w:val="22"/>
        </w:rPr>
        <w:t>Released</w:t>
      </w:r>
      <w:r w:rsidRPr="001C7620">
        <w:rPr>
          <w:b/>
          <w:spacing w:val="-2"/>
          <w:szCs w:val="22"/>
        </w:rPr>
        <w:t>:</w:t>
      </w:r>
      <w:r w:rsidR="00822CE0" w:rsidRPr="001C7620">
        <w:rPr>
          <w:b/>
          <w:spacing w:val="-2"/>
          <w:szCs w:val="22"/>
        </w:rPr>
        <w:t xml:space="preserve"> </w:t>
      </w:r>
      <w:r w:rsidRPr="001C7620">
        <w:rPr>
          <w:b/>
          <w:spacing w:val="-2"/>
          <w:szCs w:val="22"/>
        </w:rPr>
        <w:t xml:space="preserve"> </w:t>
      </w:r>
      <w:r w:rsidR="0044480D">
        <w:rPr>
          <w:b/>
          <w:spacing w:val="-2"/>
          <w:szCs w:val="22"/>
        </w:rPr>
        <w:t>October 27, 2016</w:t>
      </w:r>
    </w:p>
    <w:p w14:paraId="5FF83D42" w14:textId="77777777" w:rsidR="00822CE0" w:rsidRPr="001C7620" w:rsidRDefault="00822CE0">
      <w:pPr>
        <w:rPr>
          <w:szCs w:val="22"/>
        </w:rPr>
      </w:pPr>
    </w:p>
    <w:p w14:paraId="5152F726" w14:textId="77777777" w:rsidR="004C2EE3" w:rsidRPr="001C7620" w:rsidRDefault="004C2EE3">
      <w:pPr>
        <w:rPr>
          <w:spacing w:val="-2"/>
          <w:szCs w:val="22"/>
        </w:rPr>
      </w:pPr>
      <w:r w:rsidRPr="001C7620">
        <w:rPr>
          <w:szCs w:val="22"/>
        </w:rPr>
        <w:t xml:space="preserve">By </w:t>
      </w:r>
      <w:r w:rsidR="004E4A22" w:rsidRPr="001C7620">
        <w:rPr>
          <w:szCs w:val="22"/>
        </w:rPr>
        <w:t>the</w:t>
      </w:r>
      <w:r w:rsidR="00533BC3" w:rsidRPr="001C7620">
        <w:rPr>
          <w:szCs w:val="22"/>
        </w:rPr>
        <w:t xml:space="preserve"> Chief, Public Safety and Homeland Security Bureau </w:t>
      </w:r>
      <w:r w:rsidR="00662E30">
        <w:rPr>
          <w:szCs w:val="22"/>
        </w:rPr>
        <w:t>and the Chief, International Bureau:</w:t>
      </w:r>
    </w:p>
    <w:p w14:paraId="76E05567" w14:textId="77777777" w:rsidR="00412FC5" w:rsidRPr="001C7620" w:rsidRDefault="00412FC5" w:rsidP="00412FC5">
      <w:pPr>
        <w:rPr>
          <w:szCs w:val="22"/>
        </w:rPr>
      </w:pPr>
    </w:p>
    <w:p w14:paraId="17394024" w14:textId="77777777" w:rsidR="002C00E8" w:rsidRPr="001C7620" w:rsidRDefault="00533BC3" w:rsidP="002C00E8">
      <w:pPr>
        <w:pStyle w:val="Heading1"/>
        <w:rPr>
          <w:rFonts w:ascii="Times New Roman" w:hAnsi="Times New Roman"/>
          <w:szCs w:val="22"/>
        </w:rPr>
      </w:pPr>
      <w:r w:rsidRPr="001C7620">
        <w:rPr>
          <w:rFonts w:ascii="Times New Roman" w:hAnsi="Times New Roman"/>
          <w:szCs w:val="22"/>
        </w:rPr>
        <w:t>Introduction</w:t>
      </w:r>
    </w:p>
    <w:p w14:paraId="0A5E51F7" w14:textId="77777777" w:rsidR="00533BC3" w:rsidRPr="001C7620" w:rsidRDefault="00533BC3" w:rsidP="00533BC3">
      <w:pPr>
        <w:pStyle w:val="ParaNum"/>
        <w:rPr>
          <w:szCs w:val="22"/>
        </w:rPr>
      </w:pPr>
      <w:r w:rsidRPr="001C7620">
        <w:rPr>
          <w:szCs w:val="22"/>
        </w:rPr>
        <w:t xml:space="preserve">On July 29, 2016, </w:t>
      </w:r>
      <w:r w:rsidR="00662E30">
        <w:rPr>
          <w:szCs w:val="22"/>
        </w:rPr>
        <w:t xml:space="preserve">four Mexican radio licensees operating 800 MHz trunked mobile systems, </w:t>
      </w:r>
      <w:r w:rsidRPr="001C7620">
        <w:rPr>
          <w:szCs w:val="22"/>
        </w:rPr>
        <w:t xml:space="preserve">Comunicaciones Digitales del Norte, S.A. de C.V., </w:t>
      </w:r>
      <w:r w:rsidR="00662E30">
        <w:t xml:space="preserve">Radio Sistemas de Tamaulipas, S.A. de C.V., </w:t>
      </w:r>
      <w:r w:rsidR="00662E30" w:rsidRPr="00E178E3">
        <w:rPr>
          <w:iCs/>
        </w:rPr>
        <w:t>Troncatel, S.A. de C.V.</w:t>
      </w:r>
      <w:r w:rsidR="00662E30">
        <w:rPr>
          <w:iCs/>
        </w:rPr>
        <w:t xml:space="preserve">, and </w:t>
      </w:r>
      <w:r w:rsidR="00662E30" w:rsidRPr="00E178E3">
        <w:rPr>
          <w:iCs/>
        </w:rPr>
        <w:t>Union Agricola Regional del Norte de Tamaulipas</w:t>
      </w:r>
      <w:r w:rsidR="00662E30">
        <w:rPr>
          <w:iCs/>
        </w:rPr>
        <w:t xml:space="preserve"> (collectively, Petitioners),</w:t>
      </w:r>
      <w:r w:rsidR="00E178E3" w:rsidRPr="001C7620">
        <w:rPr>
          <w:i/>
          <w:szCs w:val="22"/>
        </w:rPr>
        <w:t xml:space="preserve"> </w:t>
      </w:r>
      <w:r w:rsidR="009021A6" w:rsidRPr="00CA2B67">
        <w:rPr>
          <w:szCs w:val="22"/>
        </w:rPr>
        <w:t>jointly</w:t>
      </w:r>
      <w:r w:rsidR="009021A6">
        <w:rPr>
          <w:i/>
          <w:szCs w:val="22"/>
        </w:rPr>
        <w:t xml:space="preserve"> </w:t>
      </w:r>
      <w:r w:rsidR="00E178E3" w:rsidRPr="001C7620">
        <w:rPr>
          <w:szCs w:val="22"/>
        </w:rPr>
        <w:t>filed a Petition for Declaratory Ruling (Petition) with the Commission.</w:t>
      </w:r>
      <w:r w:rsidR="00662E30">
        <w:rPr>
          <w:rStyle w:val="FootnoteReference"/>
          <w:szCs w:val="22"/>
        </w:rPr>
        <w:footnoteReference w:id="2"/>
      </w:r>
      <w:r w:rsidR="00E178E3" w:rsidRPr="001C7620">
        <w:rPr>
          <w:szCs w:val="22"/>
        </w:rPr>
        <w:t xml:space="preserve">  For the reasons set out below, we dismiss the Petition.</w:t>
      </w:r>
    </w:p>
    <w:p w14:paraId="5F7B1CA3" w14:textId="77777777" w:rsidR="00E178E3" w:rsidRPr="001C7620" w:rsidRDefault="00E178E3" w:rsidP="00E178E3">
      <w:pPr>
        <w:pStyle w:val="Heading1"/>
        <w:rPr>
          <w:rFonts w:ascii="Times New Roman" w:hAnsi="Times New Roman"/>
          <w:szCs w:val="22"/>
        </w:rPr>
      </w:pPr>
      <w:r w:rsidRPr="001C7620">
        <w:rPr>
          <w:rFonts w:ascii="Times New Roman" w:hAnsi="Times New Roman"/>
          <w:szCs w:val="22"/>
        </w:rPr>
        <w:t>background</w:t>
      </w:r>
    </w:p>
    <w:p w14:paraId="110683FE" w14:textId="77777777" w:rsidR="004704B8" w:rsidRPr="004E35C8" w:rsidRDefault="00BB45FF" w:rsidP="00662E30">
      <w:pPr>
        <w:pStyle w:val="ParaNum"/>
        <w:rPr>
          <w:szCs w:val="22"/>
        </w:rPr>
      </w:pPr>
      <w:r>
        <w:rPr>
          <w:szCs w:val="22"/>
        </w:rPr>
        <w:t xml:space="preserve">Petitioners </w:t>
      </w:r>
      <w:r w:rsidR="00E178E3" w:rsidRPr="001C7620">
        <w:rPr>
          <w:szCs w:val="22"/>
        </w:rPr>
        <w:t>operate 800 MHz trunked mobile systems in Mexico</w:t>
      </w:r>
      <w:r w:rsidR="00662E30">
        <w:rPr>
          <w:szCs w:val="22"/>
        </w:rPr>
        <w:t xml:space="preserve"> in the vicinity of the U</w:t>
      </w:r>
      <w:r w:rsidR="008D6853">
        <w:rPr>
          <w:szCs w:val="22"/>
        </w:rPr>
        <w:t>.</w:t>
      </w:r>
      <w:r w:rsidR="00662E30">
        <w:rPr>
          <w:szCs w:val="22"/>
        </w:rPr>
        <w:t>S</w:t>
      </w:r>
      <w:r w:rsidR="008D6853">
        <w:rPr>
          <w:szCs w:val="22"/>
        </w:rPr>
        <w:t>.</w:t>
      </w:r>
      <w:r w:rsidR="00662E30">
        <w:rPr>
          <w:szCs w:val="22"/>
        </w:rPr>
        <w:t>-Mexico border</w:t>
      </w:r>
      <w:r w:rsidR="00E178E3" w:rsidRPr="001C7620">
        <w:rPr>
          <w:szCs w:val="22"/>
        </w:rPr>
        <w:t xml:space="preserve">.  Pursuant to </w:t>
      </w:r>
      <w:r w:rsidR="00662E30">
        <w:rPr>
          <w:szCs w:val="22"/>
        </w:rPr>
        <w:t xml:space="preserve">the </w:t>
      </w:r>
      <w:r w:rsidR="00662E30" w:rsidRPr="00662E30">
        <w:rPr>
          <w:szCs w:val="22"/>
        </w:rPr>
        <w:t xml:space="preserve">June 8, 2012, agreement </w:t>
      </w:r>
      <w:r w:rsidR="00662E30">
        <w:rPr>
          <w:szCs w:val="22"/>
        </w:rPr>
        <w:t xml:space="preserve">between the United States and Mexico </w:t>
      </w:r>
      <w:r w:rsidR="00662E30" w:rsidRPr="00662E30">
        <w:rPr>
          <w:szCs w:val="22"/>
        </w:rPr>
        <w:t>modifying the international allocation of 800 MHz spectrum in the U.S.-Mexico border region</w:t>
      </w:r>
      <w:r w:rsidR="00E178E3" w:rsidRPr="001C7620">
        <w:rPr>
          <w:snapToGrid/>
          <w:kern w:val="0"/>
          <w:szCs w:val="22"/>
        </w:rPr>
        <w:t xml:space="preserve"> (Amended Protocol),</w:t>
      </w:r>
      <w:r w:rsidR="000C4E02" w:rsidRPr="000C4E02">
        <w:rPr>
          <w:rStyle w:val="FootnoteReference"/>
          <w:szCs w:val="22"/>
        </w:rPr>
        <w:t xml:space="preserve"> </w:t>
      </w:r>
      <w:r w:rsidR="000C4E02">
        <w:rPr>
          <w:rStyle w:val="FootnoteReference"/>
          <w:szCs w:val="22"/>
        </w:rPr>
        <w:footnoteReference w:id="3"/>
      </w:r>
      <w:r w:rsidR="000C4E02">
        <w:rPr>
          <w:szCs w:val="22"/>
        </w:rPr>
        <w:t xml:space="preserve"> </w:t>
      </w:r>
      <w:r w:rsidR="00432ED7">
        <w:rPr>
          <w:snapToGrid/>
          <w:kern w:val="0"/>
          <w:szCs w:val="22"/>
        </w:rPr>
        <w:t xml:space="preserve">Petitioners </w:t>
      </w:r>
      <w:r w:rsidR="00F10830">
        <w:rPr>
          <w:snapToGrid/>
          <w:kern w:val="0"/>
          <w:szCs w:val="22"/>
        </w:rPr>
        <w:t xml:space="preserve">and </w:t>
      </w:r>
      <w:r w:rsidR="00E178E3" w:rsidRPr="001C7620">
        <w:rPr>
          <w:snapToGrid/>
          <w:kern w:val="0"/>
          <w:szCs w:val="22"/>
        </w:rPr>
        <w:t xml:space="preserve">certain </w:t>
      </w:r>
      <w:r w:rsidR="00432ED7">
        <w:rPr>
          <w:snapToGrid/>
          <w:kern w:val="0"/>
          <w:szCs w:val="22"/>
        </w:rPr>
        <w:t xml:space="preserve">other </w:t>
      </w:r>
      <w:r w:rsidR="00E178E3" w:rsidRPr="001C7620">
        <w:rPr>
          <w:snapToGrid/>
          <w:kern w:val="0"/>
          <w:szCs w:val="22"/>
        </w:rPr>
        <w:t>Mexic</w:t>
      </w:r>
      <w:r w:rsidR="00432ED7">
        <w:rPr>
          <w:snapToGrid/>
          <w:kern w:val="0"/>
          <w:szCs w:val="22"/>
        </w:rPr>
        <w:t>an</w:t>
      </w:r>
      <w:r w:rsidR="00E178E3" w:rsidRPr="001C7620">
        <w:rPr>
          <w:snapToGrid/>
          <w:kern w:val="0"/>
          <w:szCs w:val="22"/>
        </w:rPr>
        <w:t xml:space="preserve"> </w:t>
      </w:r>
      <w:r w:rsidR="006A328E" w:rsidRPr="001C7620">
        <w:rPr>
          <w:snapToGrid/>
          <w:kern w:val="0"/>
          <w:szCs w:val="22"/>
        </w:rPr>
        <w:t xml:space="preserve">800 MHz </w:t>
      </w:r>
      <w:r w:rsidR="00432ED7">
        <w:rPr>
          <w:snapToGrid/>
          <w:kern w:val="0"/>
          <w:szCs w:val="22"/>
        </w:rPr>
        <w:t xml:space="preserve">licensees </w:t>
      </w:r>
      <w:r w:rsidR="006D0BB1">
        <w:rPr>
          <w:snapToGrid/>
          <w:kern w:val="0"/>
          <w:szCs w:val="22"/>
        </w:rPr>
        <w:t xml:space="preserve">in the U.S.-Mexico “Sharing Zone” </w:t>
      </w:r>
      <w:r w:rsidR="006A328E" w:rsidRPr="001C7620">
        <w:rPr>
          <w:snapToGrid/>
          <w:kern w:val="0"/>
          <w:szCs w:val="22"/>
        </w:rPr>
        <w:t>must change their operating frequencies to conform to a revised border area band plan contai</w:t>
      </w:r>
      <w:r w:rsidR="00123098" w:rsidRPr="001C7620">
        <w:rPr>
          <w:snapToGrid/>
          <w:kern w:val="0"/>
          <w:szCs w:val="22"/>
        </w:rPr>
        <w:t>ned within the Amended Protocol.</w:t>
      </w:r>
      <w:r w:rsidR="007520E4">
        <w:rPr>
          <w:rStyle w:val="FootnoteReference"/>
          <w:snapToGrid/>
          <w:kern w:val="0"/>
          <w:szCs w:val="22"/>
        </w:rPr>
        <w:footnoteReference w:id="4"/>
      </w:r>
      <w:r w:rsidR="00123098" w:rsidRPr="001C7620">
        <w:rPr>
          <w:snapToGrid/>
          <w:kern w:val="0"/>
          <w:szCs w:val="22"/>
        </w:rPr>
        <w:t xml:space="preserve">  To implement the Amended Protocol, the Instituto Federal de Telecomunicaciones (IFT), the Mexico telecommunications regulator</w:t>
      </w:r>
      <w:r w:rsidR="00922C44">
        <w:rPr>
          <w:snapToGrid/>
          <w:kern w:val="0"/>
          <w:szCs w:val="22"/>
        </w:rPr>
        <w:t>,</w:t>
      </w:r>
      <w:r w:rsidR="00123098" w:rsidRPr="001C7620">
        <w:rPr>
          <w:snapToGrid/>
          <w:kern w:val="0"/>
          <w:szCs w:val="22"/>
        </w:rPr>
        <w:t xml:space="preserve"> </w:t>
      </w:r>
      <w:r w:rsidR="00496BBB" w:rsidRPr="001C7620">
        <w:rPr>
          <w:snapToGrid/>
          <w:kern w:val="0"/>
          <w:szCs w:val="22"/>
        </w:rPr>
        <w:t xml:space="preserve">has </w:t>
      </w:r>
      <w:r w:rsidR="00123098" w:rsidRPr="001C7620">
        <w:rPr>
          <w:snapToGrid/>
          <w:kern w:val="0"/>
          <w:szCs w:val="22"/>
        </w:rPr>
        <w:t xml:space="preserve">ordered </w:t>
      </w:r>
      <w:r w:rsidR="00A24545">
        <w:rPr>
          <w:snapToGrid/>
          <w:kern w:val="0"/>
          <w:szCs w:val="22"/>
        </w:rPr>
        <w:t>Petitioners</w:t>
      </w:r>
      <w:r w:rsidR="00123098" w:rsidRPr="001C7620">
        <w:rPr>
          <w:snapToGrid/>
          <w:kern w:val="0"/>
          <w:szCs w:val="22"/>
        </w:rPr>
        <w:t xml:space="preserve"> to vacate their 800 MHz operating frequencies and </w:t>
      </w:r>
      <w:r w:rsidR="0014791C">
        <w:rPr>
          <w:snapToGrid/>
          <w:kern w:val="0"/>
          <w:szCs w:val="22"/>
        </w:rPr>
        <w:t xml:space="preserve">move </w:t>
      </w:r>
      <w:r w:rsidR="006A328E" w:rsidRPr="001C7620">
        <w:rPr>
          <w:snapToGrid/>
          <w:kern w:val="0"/>
          <w:szCs w:val="22"/>
        </w:rPr>
        <w:t>to the 400 MHz band.</w:t>
      </w:r>
      <w:bookmarkStart w:id="1" w:name="_Ref462669422"/>
      <w:r w:rsidR="00F10324">
        <w:rPr>
          <w:rStyle w:val="FootnoteReference"/>
          <w:snapToGrid/>
          <w:kern w:val="0"/>
          <w:szCs w:val="22"/>
        </w:rPr>
        <w:footnoteReference w:id="5"/>
      </w:r>
      <w:bookmarkEnd w:id="1"/>
      <w:r w:rsidR="00271C21" w:rsidRPr="001C7620">
        <w:rPr>
          <w:snapToGrid/>
          <w:kern w:val="0"/>
          <w:szCs w:val="22"/>
        </w:rPr>
        <w:t xml:space="preserve"> </w:t>
      </w:r>
    </w:p>
    <w:p w14:paraId="42025488" w14:textId="78E34E79" w:rsidR="004704B8" w:rsidRPr="00EC347F" w:rsidRDefault="004704B8" w:rsidP="004704B8">
      <w:pPr>
        <w:pStyle w:val="ParaNum"/>
        <w:rPr>
          <w:szCs w:val="22"/>
        </w:rPr>
      </w:pPr>
      <w:r w:rsidRPr="00D133B0">
        <w:rPr>
          <w:snapToGrid/>
          <w:szCs w:val="22"/>
        </w:rPr>
        <w:lastRenderedPageBreak/>
        <w:t>The Amended Protocol</w:t>
      </w:r>
      <w:r w:rsidRPr="00EC347F">
        <w:rPr>
          <w:snapToGrid/>
          <w:szCs w:val="22"/>
        </w:rPr>
        <w:t xml:space="preserve"> provides for </w:t>
      </w:r>
      <w:r w:rsidR="001029EB">
        <w:rPr>
          <w:snapToGrid/>
          <w:szCs w:val="22"/>
        </w:rPr>
        <w:t xml:space="preserve">Mexican </w:t>
      </w:r>
      <w:r w:rsidRPr="00EC347F">
        <w:rPr>
          <w:snapToGrid/>
          <w:szCs w:val="22"/>
        </w:rPr>
        <w:t>incumbent operators</w:t>
      </w:r>
      <w:r w:rsidR="00F10324">
        <w:rPr>
          <w:snapToGrid/>
          <w:szCs w:val="22"/>
        </w:rPr>
        <w:t xml:space="preserve"> that are required to relocate</w:t>
      </w:r>
      <w:r w:rsidRPr="00EC347F">
        <w:rPr>
          <w:snapToGrid/>
          <w:szCs w:val="22"/>
        </w:rPr>
        <w:t xml:space="preserve"> to be compensated for their “reasonable costs” to transition to replacement channels.</w:t>
      </w:r>
      <w:r w:rsidR="00E619BB">
        <w:rPr>
          <w:rStyle w:val="FootnoteReference"/>
          <w:snapToGrid/>
          <w:szCs w:val="22"/>
        </w:rPr>
        <w:footnoteReference w:id="6"/>
      </w:r>
      <w:r w:rsidRPr="00EC347F">
        <w:rPr>
          <w:snapToGrid/>
          <w:szCs w:val="22"/>
        </w:rPr>
        <w:t xml:space="preserve">  It states that the U.S. and Mexican agencies implementing the Amended Protocol “shall insure that operators or related corporate entities operating in the co-primary allotment</w:t>
      </w:r>
      <w:r>
        <w:rPr>
          <w:rStyle w:val="FootnoteReference"/>
          <w:snapToGrid/>
          <w:szCs w:val="22"/>
        </w:rPr>
        <w:footnoteReference w:id="7"/>
      </w:r>
      <w:r w:rsidRPr="00D133B0">
        <w:rPr>
          <w:snapToGrid/>
          <w:szCs w:val="22"/>
        </w:rPr>
        <w:t xml:space="preserve"> cover all such reasonable costs of incumbent operators in Mexico that are associated with the transition to comparable facilities on the replacement channel</w:t>
      </w:r>
      <w:r w:rsidR="000D7FD2">
        <w:rPr>
          <w:snapToGrid/>
          <w:szCs w:val="22"/>
        </w:rPr>
        <w:t>s</w:t>
      </w:r>
      <w:r w:rsidRPr="00D133B0">
        <w:rPr>
          <w:snapToGrid/>
          <w:szCs w:val="22"/>
        </w:rPr>
        <w:t>.”</w:t>
      </w:r>
      <w:r w:rsidRPr="001C7620">
        <w:rPr>
          <w:rStyle w:val="FootnoteReference"/>
          <w:snapToGrid/>
          <w:kern w:val="0"/>
          <w:sz w:val="22"/>
          <w:szCs w:val="22"/>
        </w:rPr>
        <w:footnoteReference w:id="8"/>
      </w:r>
      <w:r w:rsidRPr="00D133B0">
        <w:rPr>
          <w:snapToGrid/>
          <w:szCs w:val="22"/>
        </w:rPr>
        <w:t xml:space="preserve">  If the Mexican </w:t>
      </w:r>
      <w:r w:rsidRPr="00EC347F">
        <w:rPr>
          <w:snapToGrid/>
          <w:szCs w:val="22"/>
        </w:rPr>
        <w:t xml:space="preserve">incumbents are relocated outside the 800 MHz band – as IFT </w:t>
      </w:r>
      <w:r w:rsidR="00352984">
        <w:rPr>
          <w:snapToGrid/>
          <w:szCs w:val="22"/>
        </w:rPr>
        <w:t xml:space="preserve">has directed </w:t>
      </w:r>
      <w:r w:rsidRPr="00EC347F">
        <w:rPr>
          <w:snapToGrid/>
          <w:szCs w:val="22"/>
        </w:rPr>
        <w:t>in Petitioners’ case – the Amended Protocol provides for compensation “only up to an amount comparable to the reasonable cost of a transition inside the</w:t>
      </w:r>
      <w:r w:rsidRPr="00D133B0">
        <w:rPr>
          <w:snapToGrid/>
          <w:szCs w:val="22"/>
        </w:rPr>
        <w:t xml:space="preserve"> </w:t>
      </w:r>
      <w:r w:rsidR="000809B1">
        <w:rPr>
          <w:snapToGrid/>
          <w:szCs w:val="22"/>
        </w:rPr>
        <w:t xml:space="preserve">806-824/851-869 MHz </w:t>
      </w:r>
      <w:r w:rsidRPr="004704B8">
        <w:rPr>
          <w:snapToGrid/>
          <w:szCs w:val="22"/>
        </w:rPr>
        <w:t>b</w:t>
      </w:r>
      <w:r w:rsidRPr="00EC347F">
        <w:rPr>
          <w:snapToGrid/>
          <w:szCs w:val="22"/>
        </w:rPr>
        <w:t>and.</w:t>
      </w:r>
      <w:r w:rsidR="000569AA">
        <w:rPr>
          <w:snapToGrid/>
          <w:szCs w:val="22"/>
        </w:rPr>
        <w:t>”</w:t>
      </w:r>
      <w:r w:rsidRPr="001C7620">
        <w:rPr>
          <w:rStyle w:val="FootnoteReference"/>
          <w:snapToGrid/>
          <w:kern w:val="0"/>
          <w:sz w:val="22"/>
          <w:szCs w:val="22"/>
        </w:rPr>
        <w:footnoteReference w:id="9"/>
      </w:r>
    </w:p>
    <w:p w14:paraId="6E71B427" w14:textId="43467AEF" w:rsidR="000C4E02" w:rsidRPr="004704B8" w:rsidRDefault="000C4E02" w:rsidP="003C3D0E">
      <w:pPr>
        <w:pStyle w:val="ParaNum"/>
        <w:rPr>
          <w:snapToGrid/>
          <w:kern w:val="0"/>
          <w:szCs w:val="22"/>
        </w:rPr>
      </w:pPr>
      <w:r w:rsidRPr="004704B8">
        <w:rPr>
          <w:snapToGrid/>
          <w:kern w:val="0"/>
          <w:szCs w:val="22"/>
        </w:rPr>
        <w:t>In their Petition, Petit</w:t>
      </w:r>
      <w:r w:rsidR="006D0BB1" w:rsidRPr="004704B8">
        <w:rPr>
          <w:snapToGrid/>
          <w:kern w:val="0"/>
          <w:szCs w:val="22"/>
        </w:rPr>
        <w:t>i</w:t>
      </w:r>
      <w:r w:rsidRPr="004704B8">
        <w:rPr>
          <w:snapToGrid/>
          <w:kern w:val="0"/>
          <w:szCs w:val="22"/>
        </w:rPr>
        <w:t xml:space="preserve">oners seek a </w:t>
      </w:r>
      <w:r w:rsidR="0014791C" w:rsidRPr="004704B8">
        <w:rPr>
          <w:snapToGrid/>
          <w:kern w:val="0"/>
          <w:szCs w:val="22"/>
        </w:rPr>
        <w:t>d</w:t>
      </w:r>
      <w:r w:rsidRPr="004704B8">
        <w:rPr>
          <w:snapToGrid/>
          <w:kern w:val="0"/>
          <w:szCs w:val="22"/>
        </w:rPr>
        <w:t xml:space="preserve">eclaratory </w:t>
      </w:r>
      <w:r w:rsidR="0014791C" w:rsidRPr="004704B8">
        <w:rPr>
          <w:snapToGrid/>
          <w:kern w:val="0"/>
          <w:szCs w:val="22"/>
        </w:rPr>
        <w:t>r</w:t>
      </w:r>
      <w:r w:rsidRPr="004704B8">
        <w:rPr>
          <w:snapToGrid/>
          <w:kern w:val="0"/>
          <w:szCs w:val="22"/>
        </w:rPr>
        <w:t xml:space="preserve">uling </w:t>
      </w:r>
      <w:r w:rsidR="00EF28B1">
        <w:rPr>
          <w:snapToGrid/>
          <w:kern w:val="0"/>
          <w:szCs w:val="22"/>
        </w:rPr>
        <w:t xml:space="preserve">from the Commission </w:t>
      </w:r>
      <w:r w:rsidRPr="004704B8">
        <w:rPr>
          <w:snapToGrid/>
          <w:kern w:val="0"/>
          <w:szCs w:val="22"/>
        </w:rPr>
        <w:t xml:space="preserve">that Sprint Corporation </w:t>
      </w:r>
      <w:r w:rsidR="0014791C" w:rsidRPr="004704B8">
        <w:rPr>
          <w:snapToGrid/>
          <w:kern w:val="0"/>
          <w:szCs w:val="22"/>
        </w:rPr>
        <w:t xml:space="preserve">(Sprint) </w:t>
      </w:r>
      <w:r w:rsidRPr="004704B8">
        <w:rPr>
          <w:snapToGrid/>
          <w:kern w:val="0"/>
          <w:szCs w:val="22"/>
        </w:rPr>
        <w:t>and/or AT&amp;T, Inc.</w:t>
      </w:r>
      <w:r w:rsidR="0014791C" w:rsidRPr="004704B8">
        <w:rPr>
          <w:snapToGrid/>
          <w:kern w:val="0"/>
          <w:szCs w:val="22"/>
        </w:rPr>
        <w:t xml:space="preserve"> (AT&amp;T)</w:t>
      </w:r>
      <w:r w:rsidRPr="004704B8">
        <w:rPr>
          <w:snapToGrid/>
          <w:kern w:val="0"/>
          <w:szCs w:val="22"/>
        </w:rPr>
        <w:t xml:space="preserve"> </w:t>
      </w:r>
      <w:r w:rsidR="000809B1">
        <w:rPr>
          <w:snapToGrid/>
          <w:kern w:val="0"/>
          <w:szCs w:val="22"/>
        </w:rPr>
        <w:t>be</w:t>
      </w:r>
      <w:r w:rsidRPr="004704B8">
        <w:rPr>
          <w:snapToGrid/>
          <w:kern w:val="0"/>
          <w:szCs w:val="22"/>
        </w:rPr>
        <w:t xml:space="preserve"> obligated to compensate Petitioners for </w:t>
      </w:r>
      <w:r w:rsidR="0014791C" w:rsidRPr="004704B8">
        <w:rPr>
          <w:snapToGrid/>
          <w:kern w:val="0"/>
          <w:szCs w:val="22"/>
        </w:rPr>
        <w:t>their “</w:t>
      </w:r>
      <w:r w:rsidRPr="004704B8">
        <w:rPr>
          <w:snapToGrid/>
          <w:kern w:val="0"/>
          <w:szCs w:val="22"/>
        </w:rPr>
        <w:t>reasonable costs</w:t>
      </w:r>
      <w:r w:rsidR="0014791C" w:rsidRPr="004704B8">
        <w:rPr>
          <w:snapToGrid/>
          <w:kern w:val="0"/>
          <w:szCs w:val="22"/>
        </w:rPr>
        <w:t xml:space="preserve">” to reband or relocate their </w:t>
      </w:r>
      <w:r w:rsidR="006D0BB1" w:rsidRPr="004704B8">
        <w:rPr>
          <w:snapToGrid/>
          <w:kern w:val="0"/>
          <w:szCs w:val="22"/>
        </w:rPr>
        <w:t xml:space="preserve">operations </w:t>
      </w:r>
      <w:r w:rsidR="007520E4" w:rsidRPr="004704B8">
        <w:rPr>
          <w:snapToGrid/>
          <w:kern w:val="0"/>
          <w:szCs w:val="22"/>
        </w:rPr>
        <w:t>“as ma</w:t>
      </w:r>
      <w:r w:rsidRPr="004704B8">
        <w:rPr>
          <w:snapToGrid/>
          <w:kern w:val="0"/>
          <w:szCs w:val="22"/>
        </w:rPr>
        <w:t>y be required by IFT</w:t>
      </w:r>
      <w:r w:rsidR="0014791C" w:rsidRPr="004704B8">
        <w:rPr>
          <w:snapToGrid/>
          <w:kern w:val="0"/>
          <w:szCs w:val="22"/>
        </w:rPr>
        <w:t>.”</w:t>
      </w:r>
      <w:r w:rsidR="005F35F4">
        <w:rPr>
          <w:rStyle w:val="FootnoteReference"/>
          <w:snapToGrid/>
          <w:kern w:val="0"/>
          <w:szCs w:val="22"/>
        </w:rPr>
        <w:footnoteReference w:id="10"/>
      </w:r>
      <w:r w:rsidR="0014791C" w:rsidRPr="004704B8">
        <w:rPr>
          <w:snapToGrid/>
          <w:kern w:val="0"/>
          <w:szCs w:val="22"/>
        </w:rPr>
        <w:t xml:space="preserve">  Petitioners also request that the</w:t>
      </w:r>
      <w:r w:rsidR="004704B8">
        <w:rPr>
          <w:snapToGrid/>
          <w:kern w:val="0"/>
          <w:szCs w:val="22"/>
        </w:rPr>
        <w:t xml:space="preserve"> U.S.-Mexico </w:t>
      </w:r>
      <w:r w:rsidR="0014791C" w:rsidRPr="004704B8">
        <w:rPr>
          <w:snapToGrid/>
          <w:kern w:val="0"/>
          <w:szCs w:val="22"/>
        </w:rPr>
        <w:t>Task Force, established by the Commission and IFT to implement the Amended Protocol, “engage in dialog</w:t>
      </w:r>
      <w:r w:rsidR="006D0BB1" w:rsidRPr="004704B8">
        <w:rPr>
          <w:snapToGrid/>
          <w:kern w:val="0"/>
          <w:szCs w:val="22"/>
        </w:rPr>
        <w:t>u</w:t>
      </w:r>
      <w:r w:rsidR="0014791C" w:rsidRPr="004704B8">
        <w:rPr>
          <w:snapToGrid/>
          <w:kern w:val="0"/>
          <w:szCs w:val="22"/>
        </w:rPr>
        <w:t>e with Petitioners, IFT, Sprint Corporation, AT&amp;T Mexico and any other party that the Task Force deems responsible for compensating and assisting implementation of the necessary transition actions of the Mexican licensees.”</w:t>
      </w:r>
      <w:r w:rsidR="005F35F4">
        <w:rPr>
          <w:rStyle w:val="FootnoteReference"/>
          <w:snapToGrid/>
          <w:kern w:val="0"/>
          <w:szCs w:val="22"/>
        </w:rPr>
        <w:footnoteReference w:id="11"/>
      </w:r>
      <w:r w:rsidR="0014791C" w:rsidRPr="004704B8">
        <w:rPr>
          <w:snapToGrid/>
          <w:kern w:val="0"/>
          <w:szCs w:val="22"/>
        </w:rPr>
        <w:t xml:space="preserve"> </w:t>
      </w:r>
    </w:p>
    <w:p w14:paraId="1B1938B4" w14:textId="77777777" w:rsidR="006D0BB1" w:rsidRPr="001362A2" w:rsidRDefault="004704B8" w:rsidP="00991713">
      <w:pPr>
        <w:pStyle w:val="ParaNum"/>
        <w:rPr>
          <w:snapToGrid/>
          <w:szCs w:val="22"/>
        </w:rPr>
      </w:pPr>
      <w:r>
        <w:rPr>
          <w:snapToGrid/>
        </w:rPr>
        <w:t xml:space="preserve">In support of their request, </w:t>
      </w:r>
      <w:r w:rsidR="006D0BB1" w:rsidRPr="00991713">
        <w:rPr>
          <w:snapToGrid/>
        </w:rPr>
        <w:t>Petition</w:t>
      </w:r>
      <w:r w:rsidR="001362A2">
        <w:rPr>
          <w:snapToGrid/>
        </w:rPr>
        <w:t>ers</w:t>
      </w:r>
      <w:r w:rsidR="006D0BB1" w:rsidRPr="00991713">
        <w:rPr>
          <w:snapToGrid/>
        </w:rPr>
        <w:t xml:space="preserve"> </w:t>
      </w:r>
      <w:r w:rsidR="00B57452">
        <w:rPr>
          <w:snapToGrid/>
        </w:rPr>
        <w:t>state</w:t>
      </w:r>
      <w:r w:rsidR="006D0BB1" w:rsidRPr="00991713">
        <w:rPr>
          <w:snapToGrid/>
        </w:rPr>
        <w:t xml:space="preserve"> that</w:t>
      </w:r>
      <w:r w:rsidR="00B57452">
        <w:rPr>
          <w:snapToGrid/>
        </w:rPr>
        <w:t>,</w:t>
      </w:r>
      <w:r w:rsidR="006D0BB1" w:rsidRPr="00991713">
        <w:rPr>
          <w:snapToGrid/>
        </w:rPr>
        <w:t xml:space="preserve"> on July 27, 2011, Sprint entered into an agreement with NII Holdings, Inc. (NII), pursuant to which NII’s subsidiary</w:t>
      </w:r>
      <w:r w:rsidR="007520E4" w:rsidRPr="00991713">
        <w:rPr>
          <w:snapToGrid/>
        </w:rPr>
        <w:t>,</w:t>
      </w:r>
      <w:r w:rsidR="006D0BB1" w:rsidRPr="00991713">
        <w:rPr>
          <w:snapToGrid/>
        </w:rPr>
        <w:t xml:space="preserve"> Nextel Mexico, would “facilitate negotiations</w:t>
      </w:r>
      <w:r w:rsidR="006D0BB1" w:rsidRPr="001362A2">
        <w:rPr>
          <w:snapToGrid/>
        </w:rPr>
        <w:t xml:space="preserve">” with licensees operating on the Mexican </w:t>
      </w:r>
      <w:r w:rsidR="007520E4" w:rsidRPr="001362A2">
        <w:rPr>
          <w:snapToGrid/>
        </w:rPr>
        <w:t xml:space="preserve">side of the Sharing Zone and would pay up to $18 million in costs and expenses associated with rebanding </w:t>
      </w:r>
      <w:r w:rsidR="000569AA">
        <w:rPr>
          <w:snapToGrid/>
        </w:rPr>
        <w:t>or relocation by such licensees.</w:t>
      </w:r>
      <w:r w:rsidR="007520E4" w:rsidRPr="001362A2">
        <w:rPr>
          <w:snapToGrid/>
        </w:rPr>
        <w:t xml:space="preserve"> </w:t>
      </w:r>
      <w:r w:rsidR="00552F82">
        <w:rPr>
          <w:snapToGrid/>
        </w:rPr>
        <w:t>(</w:t>
      </w:r>
      <w:r w:rsidR="00F10324">
        <w:rPr>
          <w:snapToGrid/>
        </w:rPr>
        <w:t xml:space="preserve">Sprint-NII </w:t>
      </w:r>
      <w:r w:rsidR="00552F82">
        <w:rPr>
          <w:snapToGrid/>
        </w:rPr>
        <w:t>Agreement).</w:t>
      </w:r>
      <w:r w:rsidR="00F10324">
        <w:rPr>
          <w:rStyle w:val="FootnoteReference"/>
          <w:snapToGrid/>
        </w:rPr>
        <w:footnoteReference w:id="12"/>
      </w:r>
      <w:r w:rsidR="00F10324" w:rsidRPr="001362A2">
        <w:rPr>
          <w:snapToGrid/>
        </w:rPr>
        <w:t xml:space="preserve"> </w:t>
      </w:r>
      <w:r w:rsidR="00552F82">
        <w:rPr>
          <w:snapToGrid/>
        </w:rPr>
        <w:t xml:space="preserve"> </w:t>
      </w:r>
      <w:r w:rsidR="007520E4" w:rsidRPr="001362A2">
        <w:rPr>
          <w:snapToGrid/>
        </w:rPr>
        <w:t xml:space="preserve"> Petitioners </w:t>
      </w:r>
      <w:r w:rsidR="003E356A">
        <w:rPr>
          <w:snapToGrid/>
        </w:rPr>
        <w:t xml:space="preserve">recite </w:t>
      </w:r>
      <w:r w:rsidR="007520E4" w:rsidRPr="001362A2">
        <w:rPr>
          <w:snapToGrid/>
        </w:rPr>
        <w:t>that under the Sprint-NII</w:t>
      </w:r>
      <w:r w:rsidR="007520E4" w:rsidRPr="00721E4D">
        <w:rPr>
          <w:snapToGrid/>
        </w:rPr>
        <w:t xml:space="preserve"> agreement, Sprint </w:t>
      </w:r>
      <w:r w:rsidR="00991713" w:rsidRPr="00721E4D">
        <w:rPr>
          <w:snapToGrid/>
        </w:rPr>
        <w:t>agreed to reimburse N</w:t>
      </w:r>
      <w:r w:rsidR="006D0BB1" w:rsidRPr="00721E4D">
        <w:rPr>
          <w:snapToGrid/>
        </w:rPr>
        <w:t xml:space="preserve">extel Mexico </w:t>
      </w:r>
      <w:r w:rsidR="00991713" w:rsidRPr="00721E4D">
        <w:rPr>
          <w:snapToGrid/>
        </w:rPr>
        <w:t>if the</w:t>
      </w:r>
      <w:r w:rsidR="006D0BB1" w:rsidRPr="00721E4D">
        <w:rPr>
          <w:snapToGrid/>
        </w:rPr>
        <w:t xml:space="preserve"> </w:t>
      </w:r>
      <w:r w:rsidR="00732C8B">
        <w:rPr>
          <w:snapToGrid/>
        </w:rPr>
        <w:t xml:space="preserve">cumulative </w:t>
      </w:r>
      <w:r w:rsidR="006D0BB1" w:rsidRPr="00721E4D">
        <w:rPr>
          <w:snapToGrid/>
        </w:rPr>
        <w:t>cost of relocating Mexic</w:t>
      </w:r>
      <w:r w:rsidR="00721E4D">
        <w:rPr>
          <w:snapToGrid/>
        </w:rPr>
        <w:t xml:space="preserve">an licensees in the Sharing Zone </w:t>
      </w:r>
      <w:r w:rsidR="00991713" w:rsidRPr="00721E4D">
        <w:rPr>
          <w:snapToGrid/>
        </w:rPr>
        <w:t>e</w:t>
      </w:r>
      <w:r w:rsidR="006D0BB1" w:rsidRPr="00721E4D">
        <w:rPr>
          <w:snapToGrid/>
        </w:rPr>
        <w:t>xceed</w:t>
      </w:r>
      <w:r w:rsidR="00991713" w:rsidRPr="00721E4D">
        <w:rPr>
          <w:snapToGrid/>
        </w:rPr>
        <w:t>ed</w:t>
      </w:r>
      <w:r w:rsidR="006D0BB1" w:rsidRPr="00721E4D">
        <w:rPr>
          <w:snapToGrid/>
        </w:rPr>
        <w:t xml:space="preserve"> $18 million</w:t>
      </w:r>
      <w:r w:rsidR="00991713" w:rsidRPr="00721E4D">
        <w:rPr>
          <w:snapToGrid/>
        </w:rPr>
        <w:t>.</w:t>
      </w:r>
      <w:r w:rsidR="00991713">
        <w:rPr>
          <w:rStyle w:val="FootnoteReference"/>
          <w:snapToGrid/>
          <w:szCs w:val="22"/>
        </w:rPr>
        <w:footnoteReference w:id="13"/>
      </w:r>
      <w:r w:rsidR="00991713" w:rsidRPr="00991713">
        <w:rPr>
          <w:snapToGrid/>
        </w:rPr>
        <w:t xml:space="preserve">  Petitioners allege that</w:t>
      </w:r>
      <w:r w:rsidR="00B57452">
        <w:rPr>
          <w:snapToGrid/>
        </w:rPr>
        <w:t xml:space="preserve">, </w:t>
      </w:r>
      <w:r w:rsidR="00991713" w:rsidRPr="00991713">
        <w:rPr>
          <w:snapToGrid/>
        </w:rPr>
        <w:t>in 2014, Sprint “</w:t>
      </w:r>
      <w:r w:rsidR="00991713" w:rsidRPr="00991713">
        <w:rPr>
          <w:snapToGrid/>
          <w:szCs w:val="22"/>
        </w:rPr>
        <w:t xml:space="preserve">held various discussions with the Petitioners culminating in a meeting on October 5, 2014” in Dallas, Texas, at which Sprint </w:t>
      </w:r>
      <w:r w:rsidR="00552F82">
        <w:rPr>
          <w:snapToGrid/>
          <w:szCs w:val="22"/>
        </w:rPr>
        <w:t xml:space="preserve">orally </w:t>
      </w:r>
      <w:r w:rsidR="00991713" w:rsidRPr="00991713">
        <w:rPr>
          <w:snapToGrid/>
          <w:szCs w:val="22"/>
        </w:rPr>
        <w:t>“committed to compensate the Petitioners for their planned vacating</w:t>
      </w:r>
      <w:r w:rsidR="00991713">
        <w:rPr>
          <w:snapToGrid/>
          <w:szCs w:val="22"/>
        </w:rPr>
        <w:t xml:space="preserve"> </w:t>
      </w:r>
      <w:r w:rsidR="00991713" w:rsidRPr="00991713">
        <w:rPr>
          <w:snapToGrid/>
          <w:szCs w:val="22"/>
        </w:rPr>
        <w:t>of operations in the 800 MHz Spectrum</w:t>
      </w:r>
      <w:r w:rsidR="00991713">
        <w:rPr>
          <w:snapToGrid/>
          <w:szCs w:val="22"/>
        </w:rPr>
        <w:t>” and “</w:t>
      </w:r>
      <w:r w:rsidR="00991713" w:rsidRPr="00991713">
        <w:rPr>
          <w:snapToGrid/>
          <w:szCs w:val="22"/>
        </w:rPr>
        <w:t>Petitioners agreed to the settlement amount that was communicated orally by Sprint.</w:t>
      </w:r>
      <w:r w:rsidR="00991713">
        <w:rPr>
          <w:snapToGrid/>
          <w:szCs w:val="22"/>
        </w:rPr>
        <w:t>”</w:t>
      </w:r>
      <w:r w:rsidR="00991713">
        <w:rPr>
          <w:rStyle w:val="FootnoteReference"/>
          <w:snapToGrid/>
          <w:szCs w:val="22"/>
        </w:rPr>
        <w:footnoteReference w:id="14"/>
      </w:r>
      <w:r w:rsidR="00991713" w:rsidRPr="00991713">
        <w:rPr>
          <w:snapToGrid/>
        </w:rPr>
        <w:t xml:space="preserve"> </w:t>
      </w:r>
    </w:p>
    <w:p w14:paraId="31A100AC" w14:textId="77777777" w:rsidR="001362A2" w:rsidRDefault="001362A2" w:rsidP="000F4B34">
      <w:pPr>
        <w:pStyle w:val="ParaNum"/>
        <w:rPr>
          <w:snapToGrid/>
        </w:rPr>
      </w:pPr>
      <w:r w:rsidRPr="00721E4D">
        <w:rPr>
          <w:snapToGrid/>
        </w:rPr>
        <w:t xml:space="preserve">Petitioners </w:t>
      </w:r>
      <w:r w:rsidR="00B57452">
        <w:rPr>
          <w:snapToGrid/>
        </w:rPr>
        <w:t xml:space="preserve">also </w:t>
      </w:r>
      <w:r w:rsidRPr="00721E4D">
        <w:rPr>
          <w:snapToGrid/>
        </w:rPr>
        <w:t xml:space="preserve">allege that </w:t>
      </w:r>
      <w:r w:rsidR="00001E73" w:rsidRPr="00721E4D">
        <w:rPr>
          <w:snapToGrid/>
        </w:rPr>
        <w:t xml:space="preserve">following </w:t>
      </w:r>
      <w:r w:rsidR="00721E4D" w:rsidRPr="00721E4D">
        <w:rPr>
          <w:snapToGrid/>
        </w:rPr>
        <w:t>an an</w:t>
      </w:r>
      <w:r w:rsidR="00001E73" w:rsidRPr="00721E4D">
        <w:rPr>
          <w:snapToGrid/>
        </w:rPr>
        <w:t>nouncement in January 2015 that AT&amp;T was acquiring Nextel Mexico</w:t>
      </w:r>
      <w:r w:rsidR="00001E73" w:rsidRPr="000F4B34">
        <w:rPr>
          <w:snapToGrid/>
        </w:rPr>
        <w:t xml:space="preserve">, Sprint </w:t>
      </w:r>
      <w:r w:rsidR="00032028" w:rsidRPr="000F4B34">
        <w:rPr>
          <w:snapToGrid/>
        </w:rPr>
        <w:t>“</w:t>
      </w:r>
      <w:r w:rsidR="00001E73" w:rsidRPr="000F4B34">
        <w:rPr>
          <w:snapToGrid/>
        </w:rPr>
        <w:t>abandoned</w:t>
      </w:r>
      <w:r w:rsidR="00032028" w:rsidRPr="000F4B34">
        <w:rPr>
          <w:snapToGrid/>
        </w:rPr>
        <w:t>”</w:t>
      </w:r>
      <w:r w:rsidR="00001E73" w:rsidRPr="000F4B34">
        <w:rPr>
          <w:snapToGrid/>
        </w:rPr>
        <w:t xml:space="preserve"> discussions with Petitioners and “distanc</w:t>
      </w:r>
      <w:r w:rsidR="00D2309A">
        <w:rPr>
          <w:snapToGrid/>
        </w:rPr>
        <w:t>[</w:t>
      </w:r>
      <w:r w:rsidR="00001E73" w:rsidRPr="000F4B34">
        <w:rPr>
          <w:snapToGrid/>
        </w:rPr>
        <w:t>ed</w:t>
      </w:r>
      <w:r w:rsidR="00D2309A">
        <w:rPr>
          <w:snapToGrid/>
        </w:rPr>
        <w:t>]</w:t>
      </w:r>
      <w:r w:rsidR="00001E73" w:rsidRPr="000F4B34">
        <w:rPr>
          <w:snapToGrid/>
        </w:rPr>
        <w:t xml:space="preserve"> itself” from its alleged oral compensation commitment, contending that Petitioners should seek compensation from AT&amp;T as the acquirer of Nextel Mexico.</w:t>
      </w:r>
      <w:r w:rsidR="00721E4D">
        <w:rPr>
          <w:rStyle w:val="FootnoteReference"/>
          <w:snapToGrid/>
        </w:rPr>
        <w:footnoteReference w:id="15"/>
      </w:r>
      <w:r w:rsidR="00001E73" w:rsidRPr="00721E4D">
        <w:rPr>
          <w:snapToGrid/>
        </w:rPr>
        <w:t xml:space="preserve">  </w:t>
      </w:r>
      <w:r w:rsidR="00721E4D" w:rsidRPr="00721E4D">
        <w:rPr>
          <w:snapToGrid/>
        </w:rPr>
        <w:t xml:space="preserve">Petitioners </w:t>
      </w:r>
      <w:r w:rsidR="00B57452">
        <w:rPr>
          <w:snapToGrid/>
        </w:rPr>
        <w:t>claim</w:t>
      </w:r>
      <w:r w:rsidR="00721E4D" w:rsidRPr="00721E4D">
        <w:rPr>
          <w:snapToGrid/>
        </w:rPr>
        <w:t>, however, that AT&amp;T “has denied its assumptions of the obligation of Nextel-Mexico for compensation to the Mexican concessionaires.”</w:t>
      </w:r>
      <w:r w:rsidR="002E1605">
        <w:rPr>
          <w:rStyle w:val="FootnoteReference"/>
          <w:snapToGrid/>
        </w:rPr>
        <w:footnoteReference w:id="16"/>
      </w:r>
      <w:r w:rsidR="00721E4D" w:rsidRPr="00721E4D">
        <w:rPr>
          <w:snapToGrid/>
        </w:rPr>
        <w:t xml:space="preserve">  Petitioners state that </w:t>
      </w:r>
      <w:r w:rsidR="00721E4D">
        <w:rPr>
          <w:snapToGrid/>
        </w:rPr>
        <w:t xml:space="preserve">in March </w:t>
      </w:r>
      <w:r w:rsidR="00721E4D" w:rsidRPr="00721E4D">
        <w:rPr>
          <w:snapToGrid/>
        </w:rPr>
        <w:t xml:space="preserve">2016, </w:t>
      </w:r>
      <w:r w:rsidR="00721E4D">
        <w:rPr>
          <w:snapToGrid/>
        </w:rPr>
        <w:t xml:space="preserve">they filed in the Mexican courts for an </w:t>
      </w:r>
      <w:r w:rsidR="00721E4D" w:rsidRPr="00721E4D">
        <w:rPr>
          <w:snapToGrid/>
        </w:rPr>
        <w:t xml:space="preserve">injunction </w:t>
      </w:r>
      <w:r w:rsidR="00721E4D">
        <w:rPr>
          <w:snapToGrid/>
        </w:rPr>
        <w:t xml:space="preserve">to prevent IFT </w:t>
      </w:r>
      <w:r w:rsidR="000F4B34">
        <w:rPr>
          <w:snapToGrid/>
        </w:rPr>
        <w:t>from relocating them to the 400 MHz band “</w:t>
      </w:r>
      <w:r w:rsidR="00721E4D" w:rsidRPr="00721E4D">
        <w:rPr>
          <w:snapToGrid/>
        </w:rPr>
        <w:t>because there had not been any payment as required under the Amended</w:t>
      </w:r>
      <w:r w:rsidR="000F4B34">
        <w:rPr>
          <w:snapToGrid/>
        </w:rPr>
        <w:t xml:space="preserve"> </w:t>
      </w:r>
      <w:r w:rsidR="00721E4D" w:rsidRPr="000F4B34">
        <w:rPr>
          <w:snapToGrid/>
        </w:rPr>
        <w:t>Protocol, and under Sprint’s oral contract with Petitioners, as well as IFT’s failure to</w:t>
      </w:r>
      <w:r w:rsidR="000F4B34">
        <w:rPr>
          <w:snapToGrid/>
        </w:rPr>
        <w:t xml:space="preserve"> </w:t>
      </w:r>
      <w:r w:rsidR="00721E4D" w:rsidRPr="000F4B34">
        <w:rPr>
          <w:snapToGrid/>
        </w:rPr>
        <w:t>comply with other procedural requirements</w:t>
      </w:r>
      <w:r w:rsidR="000F4B34">
        <w:rPr>
          <w:snapToGrid/>
        </w:rPr>
        <w:t>.”</w:t>
      </w:r>
      <w:r w:rsidR="000F4B34">
        <w:rPr>
          <w:rStyle w:val="FootnoteReference"/>
          <w:snapToGrid/>
        </w:rPr>
        <w:footnoteReference w:id="17"/>
      </w:r>
      <w:r w:rsidR="000F4B34">
        <w:rPr>
          <w:snapToGrid/>
        </w:rPr>
        <w:t xml:space="preserve">  Petitioners contend that they “</w:t>
      </w:r>
      <w:r w:rsidR="00721E4D" w:rsidRPr="000F4B34">
        <w:rPr>
          <w:snapToGrid/>
        </w:rPr>
        <w:t>continue to have</w:t>
      </w:r>
      <w:r w:rsidR="00287D39">
        <w:rPr>
          <w:snapToGrid/>
        </w:rPr>
        <w:t xml:space="preserve"> [the]</w:t>
      </w:r>
      <w:r w:rsidR="00721E4D" w:rsidRPr="000F4B34">
        <w:rPr>
          <w:snapToGrid/>
        </w:rPr>
        <w:t xml:space="preserve"> right to operate within the 800 MHz Spectrum on the Mexican side of the Sharing Zone and therefore, there will be continued delays and disputes in implementing the Amended Protocol unless the Commission clarifies Sprint’s obligations under the Amended Protocol as requested herein.</w:t>
      </w:r>
      <w:r w:rsidR="000F4B34">
        <w:rPr>
          <w:snapToGrid/>
        </w:rPr>
        <w:t>”</w:t>
      </w:r>
      <w:r w:rsidR="000F4B34">
        <w:rPr>
          <w:rStyle w:val="FootnoteReference"/>
          <w:snapToGrid/>
        </w:rPr>
        <w:footnoteReference w:id="18"/>
      </w:r>
      <w:r w:rsidR="00001E73" w:rsidRPr="000F4B34">
        <w:rPr>
          <w:snapToGrid/>
        </w:rPr>
        <w:t xml:space="preserve"> </w:t>
      </w:r>
    </w:p>
    <w:p w14:paraId="08A39191" w14:textId="77777777" w:rsidR="00C5062F" w:rsidRPr="001C7620" w:rsidRDefault="00C5062F" w:rsidP="00C5062F">
      <w:pPr>
        <w:pStyle w:val="Heading1"/>
        <w:rPr>
          <w:rFonts w:ascii="Times New Roman" w:hAnsi="Times New Roman"/>
          <w:szCs w:val="22"/>
        </w:rPr>
      </w:pPr>
      <w:r w:rsidRPr="001C7620">
        <w:rPr>
          <w:rFonts w:ascii="Times New Roman" w:hAnsi="Times New Roman"/>
          <w:szCs w:val="22"/>
        </w:rPr>
        <w:t>discussion</w:t>
      </w:r>
    </w:p>
    <w:p w14:paraId="06141B4E" w14:textId="77777777" w:rsidR="004704B8" w:rsidRPr="004E35C8" w:rsidRDefault="00D26C36" w:rsidP="00BE436C">
      <w:pPr>
        <w:pStyle w:val="ParaNum"/>
        <w:rPr>
          <w:szCs w:val="22"/>
        </w:rPr>
      </w:pPr>
      <w:r w:rsidRPr="001B7A22">
        <w:rPr>
          <w:rFonts w:eastAsia="Calibri"/>
          <w:snapToGrid/>
          <w:kern w:val="0"/>
          <w:szCs w:val="22"/>
        </w:rPr>
        <w:t>Under Section 1.2</w:t>
      </w:r>
      <w:r w:rsidR="00854487" w:rsidRPr="001B7A22">
        <w:rPr>
          <w:rFonts w:eastAsia="Calibri"/>
          <w:snapToGrid/>
          <w:kern w:val="0"/>
          <w:szCs w:val="22"/>
        </w:rPr>
        <w:t>(a)</w:t>
      </w:r>
      <w:r w:rsidRPr="001B7A22">
        <w:rPr>
          <w:rFonts w:eastAsia="Calibri"/>
          <w:snapToGrid/>
          <w:kern w:val="0"/>
          <w:szCs w:val="22"/>
        </w:rPr>
        <w:t xml:space="preserve"> of the rules, the Commission “</w:t>
      </w:r>
      <w:r w:rsidR="00380398" w:rsidRPr="001B7A22">
        <w:rPr>
          <w:rFonts w:eastAsia="Calibri"/>
          <w:snapToGrid/>
          <w:kern w:val="0"/>
          <w:szCs w:val="22"/>
        </w:rPr>
        <w:t>may, in accordance with section 5(d) of the Administrative Procedure Act, on motion or on its own motion issue a declaratory ruling terminating a controversy or removing uncertainty.</w:t>
      </w:r>
      <w:r w:rsidRPr="001B7A22">
        <w:rPr>
          <w:rFonts w:eastAsia="Calibri"/>
          <w:snapToGrid/>
          <w:kern w:val="0"/>
          <w:szCs w:val="22"/>
        </w:rPr>
        <w:t>”</w:t>
      </w:r>
      <w:r w:rsidR="00854487" w:rsidRPr="001C7620">
        <w:rPr>
          <w:rStyle w:val="FootnoteReference"/>
          <w:rFonts w:eastAsia="Calibri"/>
          <w:snapToGrid/>
          <w:kern w:val="0"/>
          <w:sz w:val="22"/>
          <w:szCs w:val="22"/>
        </w:rPr>
        <w:footnoteReference w:id="19"/>
      </w:r>
      <w:r w:rsidRPr="001B7A22">
        <w:rPr>
          <w:rFonts w:eastAsia="Calibri"/>
          <w:snapToGrid/>
          <w:kern w:val="0"/>
          <w:szCs w:val="22"/>
        </w:rPr>
        <w:t xml:space="preserve">  </w:t>
      </w:r>
      <w:r w:rsidR="00854487" w:rsidRPr="001B7A22">
        <w:rPr>
          <w:rFonts w:eastAsia="Calibri"/>
          <w:snapToGrid/>
          <w:kern w:val="0"/>
          <w:szCs w:val="22"/>
        </w:rPr>
        <w:t>A declaratory ruling therefore is</w:t>
      </w:r>
      <w:r w:rsidR="00723B05">
        <w:rPr>
          <w:rFonts w:eastAsia="Calibri"/>
          <w:snapToGrid/>
          <w:kern w:val="0"/>
          <w:szCs w:val="22"/>
        </w:rPr>
        <w:t xml:space="preserve"> typically</w:t>
      </w:r>
      <w:r w:rsidR="00854487" w:rsidRPr="001B7A22">
        <w:rPr>
          <w:rFonts w:eastAsia="Calibri"/>
          <w:snapToGrid/>
          <w:kern w:val="0"/>
          <w:szCs w:val="22"/>
        </w:rPr>
        <w:t xml:space="preserve"> used to “</w:t>
      </w:r>
      <w:r w:rsidRPr="001B7A22">
        <w:rPr>
          <w:rFonts w:eastAsia="Calibri"/>
          <w:snapToGrid/>
          <w:kern w:val="0"/>
          <w:szCs w:val="22"/>
        </w:rPr>
        <w:t>clarify, interpret, or determine the appropriate application of a provision of the Communications Act (or other statute within its jurisdiction), the Commission</w:t>
      </w:r>
      <w:r w:rsidR="00723B05">
        <w:rPr>
          <w:rFonts w:eastAsia="Calibri"/>
          <w:snapToGrid/>
          <w:kern w:val="0"/>
          <w:szCs w:val="22"/>
        </w:rPr>
        <w:t>’</w:t>
      </w:r>
      <w:r w:rsidRPr="001B7A22">
        <w:rPr>
          <w:rFonts w:eastAsia="Calibri"/>
          <w:snapToGrid/>
          <w:kern w:val="0"/>
          <w:szCs w:val="22"/>
        </w:rPr>
        <w:t>s rules or prior Commission orders</w:t>
      </w:r>
      <w:r w:rsidR="00380398" w:rsidRPr="001B7A22">
        <w:rPr>
          <w:rFonts w:eastAsia="Calibri"/>
          <w:snapToGrid/>
          <w:kern w:val="0"/>
          <w:szCs w:val="22"/>
        </w:rPr>
        <w:t>.</w:t>
      </w:r>
      <w:r w:rsidR="00723B05">
        <w:rPr>
          <w:rFonts w:eastAsia="Calibri"/>
          <w:snapToGrid/>
          <w:kern w:val="0"/>
          <w:szCs w:val="22"/>
        </w:rPr>
        <w:t>”</w:t>
      </w:r>
      <w:r w:rsidR="001D1FDA" w:rsidRPr="001C7620">
        <w:rPr>
          <w:rStyle w:val="FootnoteReference"/>
          <w:rFonts w:eastAsia="Calibri"/>
          <w:snapToGrid/>
          <w:kern w:val="0"/>
          <w:sz w:val="22"/>
          <w:szCs w:val="22"/>
        </w:rPr>
        <w:footnoteReference w:id="20"/>
      </w:r>
      <w:r w:rsidR="00380398" w:rsidRPr="001B7A22">
        <w:rPr>
          <w:rFonts w:eastAsia="Calibri"/>
          <w:snapToGrid/>
          <w:kern w:val="0"/>
          <w:szCs w:val="22"/>
        </w:rPr>
        <w:t xml:space="preserve">  </w:t>
      </w:r>
    </w:p>
    <w:p w14:paraId="4C683895" w14:textId="77777777" w:rsidR="00095EA2" w:rsidRPr="00552F82" w:rsidRDefault="00854487" w:rsidP="00707AC8">
      <w:pPr>
        <w:pStyle w:val="ParaNum"/>
      </w:pPr>
      <w:r w:rsidRPr="00095EA2">
        <w:rPr>
          <w:rFonts w:eastAsia="Calibri"/>
          <w:snapToGrid/>
        </w:rPr>
        <w:t xml:space="preserve">Here, however, </w:t>
      </w:r>
      <w:r w:rsidR="00BD03E8">
        <w:rPr>
          <w:rFonts w:eastAsia="Calibri"/>
          <w:snapToGrid/>
        </w:rPr>
        <w:t xml:space="preserve">Petitioners fail to identify any controversy or uncertainty relating to the </w:t>
      </w:r>
      <w:r w:rsidRPr="00095EA2">
        <w:rPr>
          <w:rFonts w:eastAsia="Calibri"/>
          <w:snapToGrid/>
        </w:rPr>
        <w:t xml:space="preserve">Communications Act, other statutes within the Commission’s jurisdiction, </w:t>
      </w:r>
      <w:r w:rsidR="00380398" w:rsidRPr="00095EA2">
        <w:rPr>
          <w:rFonts w:eastAsia="Calibri"/>
          <w:snapToGrid/>
        </w:rPr>
        <w:t xml:space="preserve">or </w:t>
      </w:r>
      <w:r w:rsidRPr="00095EA2">
        <w:rPr>
          <w:rFonts w:eastAsia="Calibri"/>
          <w:snapToGrid/>
        </w:rPr>
        <w:t xml:space="preserve">the Commission’s rules or prior orders. </w:t>
      </w:r>
      <w:r w:rsidR="00BD03E8">
        <w:rPr>
          <w:rFonts w:eastAsia="Calibri"/>
          <w:snapToGrid/>
        </w:rPr>
        <w:t xml:space="preserve"> Instead, Petitioners’ core </w:t>
      </w:r>
      <w:r w:rsidR="00B2576E">
        <w:rPr>
          <w:rFonts w:eastAsia="Calibri"/>
          <w:snapToGrid/>
        </w:rPr>
        <w:t>co</w:t>
      </w:r>
      <w:r w:rsidR="00C955A5">
        <w:rPr>
          <w:rFonts w:eastAsia="Calibri"/>
          <w:snapToGrid/>
        </w:rPr>
        <w:t xml:space="preserve">ntention is that they have </w:t>
      </w:r>
      <w:r w:rsidR="00B2576E">
        <w:rPr>
          <w:rFonts w:eastAsia="Calibri"/>
          <w:snapToGrid/>
        </w:rPr>
        <w:t xml:space="preserve">not received the compensation </w:t>
      </w:r>
      <w:r w:rsidR="00C955A5">
        <w:rPr>
          <w:rFonts w:eastAsia="Calibri"/>
          <w:snapToGrid/>
        </w:rPr>
        <w:t xml:space="preserve">they claim to be entitled to </w:t>
      </w:r>
      <w:r w:rsidR="00B2576E">
        <w:rPr>
          <w:rFonts w:eastAsia="Calibri"/>
          <w:snapToGrid/>
        </w:rPr>
        <w:t>under the Amended Protocol.</w:t>
      </w:r>
      <w:r w:rsidR="00794EE8">
        <w:rPr>
          <w:rStyle w:val="FootnoteReference"/>
          <w:rFonts w:eastAsia="Calibri"/>
          <w:snapToGrid/>
        </w:rPr>
        <w:footnoteReference w:id="21"/>
      </w:r>
      <w:r w:rsidR="00B2576E">
        <w:rPr>
          <w:rFonts w:eastAsia="Calibri"/>
          <w:snapToGrid/>
        </w:rPr>
        <w:t xml:space="preserve">  </w:t>
      </w:r>
      <w:r w:rsidR="00707AC8">
        <w:rPr>
          <w:rFonts w:eastAsia="Calibri"/>
          <w:snapToGrid/>
        </w:rPr>
        <w:t xml:space="preserve">To the extent that Petitioners seek redress under the Amended Protocol, however, their </w:t>
      </w:r>
      <w:r w:rsidR="002F59DD" w:rsidRPr="00095EA2">
        <w:rPr>
          <w:rFonts w:eastAsia="Calibri"/>
          <w:snapToGrid/>
        </w:rPr>
        <w:t>remedy lie</w:t>
      </w:r>
      <w:r w:rsidR="00413710">
        <w:rPr>
          <w:rFonts w:eastAsia="Calibri"/>
          <w:snapToGrid/>
        </w:rPr>
        <w:t xml:space="preserve">s </w:t>
      </w:r>
      <w:r w:rsidR="002F59DD" w:rsidRPr="00095EA2">
        <w:rPr>
          <w:rFonts w:eastAsia="Calibri"/>
          <w:snapToGrid/>
        </w:rPr>
        <w:t>in Mexico</w:t>
      </w:r>
      <w:r w:rsidR="00413710">
        <w:rPr>
          <w:rFonts w:eastAsia="Calibri"/>
          <w:snapToGrid/>
        </w:rPr>
        <w:t>, not the United States.  As Petitioners</w:t>
      </w:r>
      <w:r w:rsidR="002F59DD" w:rsidRPr="00095EA2">
        <w:rPr>
          <w:rFonts w:eastAsia="Calibri"/>
          <w:snapToGrid/>
        </w:rPr>
        <w:t xml:space="preserve"> </w:t>
      </w:r>
      <w:r w:rsidR="00413710">
        <w:rPr>
          <w:rFonts w:eastAsia="Calibri"/>
          <w:snapToGrid/>
        </w:rPr>
        <w:t xml:space="preserve">acknowledge, </w:t>
      </w:r>
      <w:r w:rsidR="00095EA2" w:rsidRPr="00095EA2">
        <w:rPr>
          <w:rFonts w:eastAsia="Calibri"/>
          <w:snapToGrid/>
        </w:rPr>
        <w:t xml:space="preserve">IFT </w:t>
      </w:r>
      <w:r w:rsidR="00413710">
        <w:rPr>
          <w:rFonts w:eastAsia="Calibri"/>
          <w:snapToGrid/>
        </w:rPr>
        <w:t xml:space="preserve">is </w:t>
      </w:r>
      <w:r w:rsidR="00095EA2" w:rsidRPr="00095EA2">
        <w:rPr>
          <w:rFonts w:eastAsia="Calibri"/>
          <w:snapToGrid/>
        </w:rPr>
        <w:t>responsib</w:t>
      </w:r>
      <w:r w:rsidR="00413710">
        <w:rPr>
          <w:rFonts w:eastAsia="Calibri"/>
          <w:snapToGrid/>
        </w:rPr>
        <w:t>le</w:t>
      </w:r>
      <w:r w:rsidR="00095EA2" w:rsidRPr="00095EA2">
        <w:rPr>
          <w:rFonts w:eastAsia="Calibri"/>
          <w:snapToGrid/>
        </w:rPr>
        <w:t xml:space="preserve"> for implementing the Amended Protocol in Mexico</w:t>
      </w:r>
      <w:r w:rsidR="00413710">
        <w:rPr>
          <w:rFonts w:eastAsia="Calibri"/>
          <w:snapToGrid/>
        </w:rPr>
        <w:t>.</w:t>
      </w:r>
      <w:r w:rsidR="00095EA2">
        <w:rPr>
          <w:rStyle w:val="FootnoteReference"/>
          <w:rFonts w:eastAsia="Calibri"/>
          <w:snapToGrid/>
          <w:kern w:val="0"/>
          <w:szCs w:val="22"/>
        </w:rPr>
        <w:footnoteReference w:id="22"/>
      </w:r>
      <w:r w:rsidR="005461F2">
        <w:rPr>
          <w:rFonts w:eastAsia="Calibri"/>
          <w:snapToGrid/>
        </w:rPr>
        <w:t xml:space="preserve">  </w:t>
      </w:r>
      <w:r w:rsidR="00413710">
        <w:rPr>
          <w:rFonts w:eastAsia="Calibri"/>
          <w:snapToGrid/>
        </w:rPr>
        <w:t xml:space="preserve">Indeed, Petitioners state that </w:t>
      </w:r>
      <w:r w:rsidR="00095EA2" w:rsidRPr="00095EA2">
        <w:rPr>
          <w:rFonts w:eastAsia="Calibri"/>
          <w:snapToGrid/>
        </w:rPr>
        <w:t xml:space="preserve">they have sought redress against IFT in </w:t>
      </w:r>
      <w:r w:rsidR="00413710">
        <w:rPr>
          <w:rFonts w:eastAsia="Calibri"/>
          <w:snapToGrid/>
        </w:rPr>
        <w:t xml:space="preserve">the </w:t>
      </w:r>
      <w:r w:rsidR="00095EA2" w:rsidRPr="00095EA2">
        <w:rPr>
          <w:rFonts w:eastAsia="Calibri"/>
          <w:snapToGrid/>
        </w:rPr>
        <w:t>Mexic</w:t>
      </w:r>
      <w:r w:rsidR="00413710">
        <w:rPr>
          <w:rFonts w:eastAsia="Calibri"/>
          <w:snapToGrid/>
        </w:rPr>
        <w:t>an</w:t>
      </w:r>
      <w:r w:rsidR="00095EA2" w:rsidRPr="00095EA2">
        <w:rPr>
          <w:rFonts w:eastAsia="Calibri"/>
          <w:snapToGrid/>
        </w:rPr>
        <w:t xml:space="preserve"> </w:t>
      </w:r>
      <w:r w:rsidR="00413710">
        <w:rPr>
          <w:rFonts w:eastAsia="Calibri"/>
          <w:snapToGrid/>
        </w:rPr>
        <w:t>courts,</w:t>
      </w:r>
      <w:r w:rsidR="00A921F8">
        <w:rPr>
          <w:rStyle w:val="FootnoteReference"/>
          <w:rFonts w:eastAsia="Calibri"/>
          <w:snapToGrid/>
        </w:rPr>
        <w:footnoteReference w:id="23"/>
      </w:r>
      <w:r w:rsidR="00413710">
        <w:rPr>
          <w:rFonts w:eastAsia="Calibri"/>
          <w:snapToGrid/>
        </w:rPr>
        <w:t xml:space="preserve"> </w:t>
      </w:r>
      <w:r w:rsidR="00095EA2" w:rsidRPr="00095EA2">
        <w:rPr>
          <w:rFonts w:eastAsia="Calibri"/>
          <w:snapToGrid/>
        </w:rPr>
        <w:t xml:space="preserve">and </w:t>
      </w:r>
      <w:r w:rsidR="00413710">
        <w:rPr>
          <w:rFonts w:eastAsia="Calibri"/>
          <w:snapToGrid/>
        </w:rPr>
        <w:t>since the Pe</w:t>
      </w:r>
      <w:r w:rsidR="00B073F9">
        <w:rPr>
          <w:rFonts w:eastAsia="Calibri"/>
          <w:snapToGrid/>
        </w:rPr>
        <w:t>t</w:t>
      </w:r>
      <w:r w:rsidR="00413710">
        <w:rPr>
          <w:rFonts w:eastAsia="Calibri"/>
          <w:snapToGrid/>
        </w:rPr>
        <w:t xml:space="preserve">ition was filed, </w:t>
      </w:r>
      <w:r w:rsidR="00095EA2" w:rsidRPr="00095EA2">
        <w:rPr>
          <w:rFonts w:eastAsia="Calibri"/>
          <w:snapToGrid/>
        </w:rPr>
        <w:t>one Petitioner has obtained a</w:t>
      </w:r>
      <w:r w:rsidR="00413710">
        <w:rPr>
          <w:rFonts w:eastAsia="Calibri"/>
          <w:snapToGrid/>
        </w:rPr>
        <w:t xml:space="preserve"> Mexican court </w:t>
      </w:r>
      <w:r w:rsidR="00095EA2" w:rsidRPr="00095EA2">
        <w:rPr>
          <w:rFonts w:eastAsia="Calibri"/>
          <w:snapToGrid/>
        </w:rPr>
        <w:t>i</w:t>
      </w:r>
      <w:r w:rsidR="00095EA2">
        <w:rPr>
          <w:rFonts w:eastAsia="Calibri"/>
          <w:snapToGrid/>
        </w:rPr>
        <w:t xml:space="preserve">njunction </w:t>
      </w:r>
      <w:r w:rsidR="00D349FB">
        <w:rPr>
          <w:rFonts w:eastAsia="Calibri"/>
          <w:snapToGrid/>
        </w:rPr>
        <w:t>against IFT</w:t>
      </w:r>
      <w:r w:rsidR="00095EA2">
        <w:rPr>
          <w:rFonts w:eastAsia="Calibri"/>
          <w:snapToGrid/>
        </w:rPr>
        <w:t>.</w:t>
      </w:r>
      <w:r w:rsidR="00B57452">
        <w:rPr>
          <w:rStyle w:val="FootnoteReference"/>
          <w:rFonts w:eastAsia="Calibri"/>
          <w:snapToGrid/>
        </w:rPr>
        <w:footnoteReference w:id="24"/>
      </w:r>
      <w:r w:rsidR="00095EA2">
        <w:rPr>
          <w:rFonts w:eastAsia="Calibri"/>
          <w:snapToGrid/>
        </w:rPr>
        <w:t xml:space="preserve"> </w:t>
      </w:r>
      <w:r w:rsidR="00095EA2" w:rsidRPr="00095EA2">
        <w:rPr>
          <w:rFonts w:eastAsia="Calibri"/>
          <w:snapToGrid/>
        </w:rPr>
        <w:t xml:space="preserve"> In short, implementation of the Amended Protocol </w:t>
      </w:r>
      <w:r w:rsidR="00B073F9">
        <w:rPr>
          <w:rFonts w:eastAsia="Calibri"/>
          <w:snapToGrid/>
        </w:rPr>
        <w:t xml:space="preserve">as it applies to Mexican licensees such as Petitioners </w:t>
      </w:r>
      <w:r w:rsidR="00095EA2" w:rsidRPr="00095EA2">
        <w:rPr>
          <w:rFonts w:eastAsia="Calibri"/>
          <w:snapToGrid/>
        </w:rPr>
        <w:t xml:space="preserve">is a Mexican regulatory matter, over which the Commission has no more </w:t>
      </w:r>
      <w:r w:rsidR="00C3006F">
        <w:rPr>
          <w:rFonts w:eastAsia="Calibri"/>
          <w:snapToGrid/>
        </w:rPr>
        <w:t xml:space="preserve">authority </w:t>
      </w:r>
      <w:r w:rsidR="00095EA2" w:rsidRPr="00095EA2">
        <w:rPr>
          <w:rFonts w:eastAsia="Calibri"/>
          <w:snapToGrid/>
        </w:rPr>
        <w:t>than Mexico has over implementation of t</w:t>
      </w:r>
      <w:r w:rsidR="00095EA2">
        <w:rPr>
          <w:rFonts w:eastAsia="Calibri"/>
          <w:snapToGrid/>
        </w:rPr>
        <w:t>he Amended Protocol in the United States.</w:t>
      </w:r>
      <w:r w:rsidR="00095EA2" w:rsidRPr="00095EA2">
        <w:rPr>
          <w:rFonts w:eastAsia="Calibri"/>
          <w:snapToGrid/>
        </w:rPr>
        <w:t xml:space="preserve">  </w:t>
      </w:r>
      <w:r w:rsidR="00BD07DC" w:rsidRPr="00BD07DC">
        <w:rPr>
          <w:rFonts w:eastAsia="Calibri"/>
          <w:snapToGrid/>
        </w:rPr>
        <w:t xml:space="preserve">We </w:t>
      </w:r>
      <w:r w:rsidR="007F1A19">
        <w:rPr>
          <w:rFonts w:eastAsia="Calibri"/>
          <w:snapToGrid/>
        </w:rPr>
        <w:t xml:space="preserve">therefore </w:t>
      </w:r>
      <w:r w:rsidR="00BD07DC" w:rsidRPr="00BD07DC">
        <w:rPr>
          <w:rFonts w:eastAsia="Calibri"/>
          <w:snapToGrid/>
        </w:rPr>
        <w:t xml:space="preserve">decline to </w:t>
      </w:r>
      <w:r w:rsidR="00C3006F">
        <w:rPr>
          <w:rFonts w:eastAsia="Calibri"/>
          <w:snapToGrid/>
        </w:rPr>
        <w:t xml:space="preserve">involve </w:t>
      </w:r>
      <w:r w:rsidR="00BD07DC" w:rsidRPr="00BD07DC">
        <w:rPr>
          <w:rFonts w:eastAsia="Calibri"/>
          <w:snapToGrid/>
        </w:rPr>
        <w:t xml:space="preserve">the Commission in a </w:t>
      </w:r>
      <w:r w:rsidR="007F1A19">
        <w:rPr>
          <w:rFonts w:eastAsia="Calibri"/>
          <w:snapToGrid/>
        </w:rPr>
        <w:t xml:space="preserve">dispute between Petitioners and IFT </w:t>
      </w:r>
      <w:r w:rsidR="00611F0E">
        <w:rPr>
          <w:rFonts w:eastAsia="Calibri"/>
          <w:snapToGrid/>
        </w:rPr>
        <w:t xml:space="preserve">that is </w:t>
      </w:r>
      <w:r w:rsidR="00BD07DC" w:rsidRPr="00BD07DC">
        <w:rPr>
          <w:rFonts w:eastAsia="Calibri"/>
          <w:snapToGrid/>
        </w:rPr>
        <w:t xml:space="preserve">being heard by </w:t>
      </w:r>
      <w:r w:rsidR="009021A6">
        <w:rPr>
          <w:rFonts w:eastAsia="Calibri"/>
          <w:snapToGrid/>
        </w:rPr>
        <w:t>the</w:t>
      </w:r>
      <w:r w:rsidR="00BD07DC" w:rsidRPr="00BD07DC">
        <w:rPr>
          <w:rFonts w:eastAsia="Calibri"/>
          <w:snapToGrid/>
        </w:rPr>
        <w:t xml:space="preserve"> Mexican court. </w:t>
      </w:r>
      <w:r w:rsidR="00C955A5">
        <w:rPr>
          <w:rFonts w:eastAsia="Calibri"/>
          <w:snapToGrid/>
        </w:rPr>
        <w:t xml:space="preserve"> </w:t>
      </w:r>
      <w:r w:rsidR="00BD07DC" w:rsidRPr="00BD07DC">
        <w:rPr>
          <w:rFonts w:eastAsia="Calibri"/>
          <w:snapToGrid/>
        </w:rPr>
        <w:t xml:space="preserve">In so doing, we </w:t>
      </w:r>
      <w:r w:rsidR="00C3006F">
        <w:rPr>
          <w:rFonts w:eastAsia="Calibri"/>
          <w:snapToGrid/>
        </w:rPr>
        <w:t xml:space="preserve">note that </w:t>
      </w:r>
      <w:r w:rsidR="00BD07DC" w:rsidRPr="00BD07DC">
        <w:rPr>
          <w:rFonts w:eastAsia="Calibri"/>
          <w:snapToGrid/>
        </w:rPr>
        <w:t>Section 544(a)(4) of the Administrative Procedure Act states that adjudication of the kind requested by the Petitioners need not be undertaken when “there is involved . . . the conduct of military or foreign affairs functions.”</w:t>
      </w:r>
      <w:r w:rsidR="00BD07DC" w:rsidRPr="00BD07DC">
        <w:rPr>
          <w:rFonts w:eastAsia="Calibri"/>
          <w:snapToGrid/>
          <w:vertAlign w:val="superscript"/>
        </w:rPr>
        <w:footnoteReference w:id="25"/>
      </w:r>
    </w:p>
    <w:p w14:paraId="554F7D46" w14:textId="77777777" w:rsidR="00EA5E2D" w:rsidRPr="001C7620" w:rsidRDefault="004945EF" w:rsidP="00E21C93">
      <w:pPr>
        <w:pStyle w:val="ParaNum"/>
        <w:widowControl/>
        <w:rPr>
          <w:szCs w:val="22"/>
        </w:rPr>
      </w:pPr>
      <w:r>
        <w:t xml:space="preserve">Petitioners also </w:t>
      </w:r>
      <w:r w:rsidR="00611F0E">
        <w:t xml:space="preserve">argue </w:t>
      </w:r>
      <w:r w:rsidR="00C77ACD">
        <w:t xml:space="preserve">that the </w:t>
      </w:r>
      <w:r w:rsidR="00C416DE">
        <w:t xml:space="preserve">Commission </w:t>
      </w:r>
      <w:r w:rsidR="00C77ACD">
        <w:t>should</w:t>
      </w:r>
      <w:r w:rsidR="00C416DE">
        <w:t xml:space="preserve"> clarify the obligations of Sprint and</w:t>
      </w:r>
      <w:r w:rsidR="00C77ACD">
        <w:t>/or</w:t>
      </w:r>
      <w:r w:rsidR="00C416DE">
        <w:t xml:space="preserve"> AT&amp;T to compensate Petitioners, citing the Sprint-NII Agreement and </w:t>
      </w:r>
      <w:r w:rsidR="00C77ACD">
        <w:t>the a</w:t>
      </w:r>
      <w:r w:rsidR="00C416DE">
        <w:t xml:space="preserve">lleged oral </w:t>
      </w:r>
      <w:r w:rsidR="00F2096A">
        <w:t xml:space="preserve">commitment </w:t>
      </w:r>
      <w:r w:rsidR="00BD37D1">
        <w:t xml:space="preserve">by </w:t>
      </w:r>
      <w:r w:rsidR="00C77ACD">
        <w:t>Sprint</w:t>
      </w:r>
      <w:r w:rsidR="00BD37D1">
        <w:t xml:space="preserve"> to compensate Petitioners</w:t>
      </w:r>
      <w:r w:rsidR="00C77ACD">
        <w:t>.</w:t>
      </w:r>
      <w:r w:rsidR="00845E30">
        <w:rPr>
          <w:rStyle w:val="FootnoteReference"/>
        </w:rPr>
        <w:footnoteReference w:id="26"/>
      </w:r>
      <w:r w:rsidR="00C77ACD">
        <w:t xml:space="preserve">  </w:t>
      </w:r>
      <w:r w:rsidR="00F2096A">
        <w:t>W</w:t>
      </w:r>
      <w:r w:rsidR="00C77ACD">
        <w:t>e decline to do so</w:t>
      </w:r>
      <w:r w:rsidR="00F2096A">
        <w:t xml:space="preserve">.  </w:t>
      </w:r>
      <w:r w:rsidR="00796099">
        <w:t>As noted above, Petitioners</w:t>
      </w:r>
      <w:r w:rsidR="00845E30">
        <w:t>’</w:t>
      </w:r>
      <w:r w:rsidR="00796099">
        <w:t xml:space="preserve"> rights to compensation under t</w:t>
      </w:r>
      <w:r w:rsidR="007B446F">
        <w:t xml:space="preserve">he Amended Protocol </w:t>
      </w:r>
      <w:r w:rsidR="00796099">
        <w:t xml:space="preserve">are a </w:t>
      </w:r>
      <w:r w:rsidR="00AD5571">
        <w:t xml:space="preserve">matter for the </w:t>
      </w:r>
      <w:r w:rsidR="00796099">
        <w:t xml:space="preserve">Mexican regulatory </w:t>
      </w:r>
      <w:r w:rsidR="00AD5571">
        <w:t>authority</w:t>
      </w:r>
      <w:r w:rsidR="00796099">
        <w:t xml:space="preserve">. </w:t>
      </w:r>
      <w:r w:rsidR="00DE7D1D">
        <w:t xml:space="preserve"> </w:t>
      </w:r>
      <w:r w:rsidR="00F2096A">
        <w:t xml:space="preserve">To the extent that Petitioners claim that </w:t>
      </w:r>
      <w:r w:rsidR="00796099">
        <w:t xml:space="preserve">separate and apart from the Amended Protocol, </w:t>
      </w:r>
      <w:r w:rsidR="00F2096A">
        <w:t xml:space="preserve">either the Sprint-NII Agreement or </w:t>
      </w:r>
      <w:r w:rsidR="007B446F">
        <w:t xml:space="preserve">the </w:t>
      </w:r>
      <w:r w:rsidR="00F2096A">
        <w:t>alleged oral commitment by Sprint entitle</w:t>
      </w:r>
      <w:r w:rsidR="00B517F1">
        <w:t>s</w:t>
      </w:r>
      <w:r w:rsidR="00796099">
        <w:t xml:space="preserve"> </w:t>
      </w:r>
      <w:r w:rsidR="00F2096A">
        <w:t>Petitioner</w:t>
      </w:r>
      <w:r w:rsidR="00816E91">
        <w:t>s</w:t>
      </w:r>
      <w:r w:rsidR="00F2096A">
        <w:t xml:space="preserve"> to compensation</w:t>
      </w:r>
      <w:r w:rsidR="00B517F1">
        <w:t>, such c</w:t>
      </w:r>
      <w:r w:rsidR="00BD37D1">
        <w:t xml:space="preserve">laims are </w:t>
      </w:r>
      <w:r w:rsidR="00EA5E2D">
        <w:t xml:space="preserve">private and </w:t>
      </w:r>
      <w:r w:rsidR="00BD37D1">
        <w:t>c</w:t>
      </w:r>
      <w:r w:rsidR="00F2096A">
        <w:t xml:space="preserve">ontractual </w:t>
      </w:r>
      <w:r w:rsidR="00BD37D1">
        <w:t>in nature and do not raise regulatory issues that require Commission resolution</w:t>
      </w:r>
      <w:r w:rsidR="00816E91">
        <w:t xml:space="preserve">.  </w:t>
      </w:r>
      <w:r w:rsidR="007F1A19" w:rsidRPr="00F10830">
        <w:rPr>
          <w:szCs w:val="22"/>
        </w:rPr>
        <w:t>The Commission has a longstanding policy of declining to adjudicate contract law questions for which a forum exists elsewhere.</w:t>
      </w:r>
      <w:r w:rsidR="007F1A19" w:rsidRPr="007F1A19">
        <w:rPr>
          <w:szCs w:val="22"/>
          <w:vertAlign w:val="superscript"/>
        </w:rPr>
        <w:footnoteReference w:id="27"/>
      </w:r>
      <w:r w:rsidR="007F1A19" w:rsidRPr="00F10830">
        <w:rPr>
          <w:szCs w:val="22"/>
        </w:rPr>
        <w:t xml:space="preserve">  That policy is appropriately applied here where</w:t>
      </w:r>
      <w:r w:rsidR="00F10830" w:rsidRPr="00F10830">
        <w:rPr>
          <w:szCs w:val="22"/>
        </w:rPr>
        <w:t xml:space="preserve"> Petitioners </w:t>
      </w:r>
      <w:r w:rsidR="007F1A19" w:rsidRPr="00F10830">
        <w:rPr>
          <w:szCs w:val="22"/>
        </w:rPr>
        <w:t xml:space="preserve">have </w:t>
      </w:r>
      <w:r w:rsidR="00916D0F" w:rsidRPr="00F10830">
        <w:rPr>
          <w:szCs w:val="22"/>
        </w:rPr>
        <w:t xml:space="preserve">judicial fora </w:t>
      </w:r>
      <w:r w:rsidR="00F10830" w:rsidRPr="00F10830">
        <w:rPr>
          <w:szCs w:val="22"/>
        </w:rPr>
        <w:t xml:space="preserve">available to pursue their contract claims. </w:t>
      </w:r>
    </w:p>
    <w:p w14:paraId="6585DBC4" w14:textId="757F9E81" w:rsidR="009E3790" w:rsidRDefault="004940E7" w:rsidP="004D624B">
      <w:pPr>
        <w:pStyle w:val="ParaNum"/>
      </w:pPr>
      <w:r>
        <w:t xml:space="preserve">The Commission has broad discretion whether or not to issue </w:t>
      </w:r>
      <w:r w:rsidR="00BB45FF">
        <w:t>a declaratory ruling</w:t>
      </w:r>
      <w:r>
        <w:t>.</w:t>
      </w:r>
      <w:r w:rsidR="007472DB">
        <w:rPr>
          <w:rStyle w:val="FootnoteReference"/>
        </w:rPr>
        <w:footnoteReference w:id="28"/>
      </w:r>
      <w:r>
        <w:t xml:space="preserve">  Here, </w:t>
      </w:r>
      <w:r w:rsidR="00EA5E2D">
        <w:t xml:space="preserve">we conclude </w:t>
      </w:r>
      <w:r>
        <w:t xml:space="preserve">that this discretion should be exercised by dismissing </w:t>
      </w:r>
      <w:r w:rsidR="00BB45FF">
        <w:t xml:space="preserve">the </w:t>
      </w:r>
      <w:r>
        <w:t xml:space="preserve">Petition.  </w:t>
      </w:r>
      <w:r w:rsidR="00EA5E2D">
        <w:t xml:space="preserve">In so doing, we </w:t>
      </w:r>
      <w:r w:rsidR="007B446F">
        <w:t xml:space="preserve">emphasize that we remain committed to working with </w:t>
      </w:r>
      <w:r w:rsidR="00796099">
        <w:t xml:space="preserve">and assisting </w:t>
      </w:r>
      <w:r w:rsidR="007B446F">
        <w:t>IFT</w:t>
      </w:r>
      <w:r w:rsidR="00796099">
        <w:t xml:space="preserve"> </w:t>
      </w:r>
      <w:r w:rsidR="007B446F">
        <w:t>to implement the requirements of the Amended Protocol so that</w:t>
      </w:r>
      <w:r w:rsidR="000F1356">
        <w:t xml:space="preserve"> the</w:t>
      </w:r>
      <w:r w:rsidR="007B446F">
        <w:t xml:space="preserve"> 800 MHz rebanding can proceed expeditiously in the Sharing Zone.  </w:t>
      </w:r>
      <w:r w:rsidR="00F10830">
        <w:t xml:space="preserve"> </w:t>
      </w:r>
    </w:p>
    <w:p w14:paraId="5B4CD946" w14:textId="77777777" w:rsidR="009E3790" w:rsidRDefault="009E3790" w:rsidP="009E3790">
      <w:pPr>
        <w:pStyle w:val="Heading1"/>
      </w:pPr>
      <w:r>
        <w:t>ordering clause</w:t>
      </w:r>
    </w:p>
    <w:p w14:paraId="2E3841ED" w14:textId="77777777" w:rsidR="001C7620" w:rsidRDefault="009E3790" w:rsidP="00D349FB">
      <w:pPr>
        <w:pStyle w:val="ParaNum"/>
        <w:keepNext/>
        <w:widowControl/>
      </w:pPr>
      <w:r>
        <w:t xml:space="preserve">ACCORDINGLY IT IS ORDERED, that the Petition for a Declaratory Ruling, filed </w:t>
      </w:r>
      <w:r w:rsidRPr="009E3790">
        <w:t>July 29, 2016</w:t>
      </w:r>
      <w:r>
        <w:t xml:space="preserve">, by </w:t>
      </w:r>
      <w:r w:rsidRPr="009E3790">
        <w:t>Comunicaciones Digitales del Norte, S.A. de C.V</w:t>
      </w:r>
      <w:r>
        <w:t xml:space="preserve">., </w:t>
      </w:r>
      <w:r w:rsidRPr="009E3790">
        <w:t>Radio Sistemas de Tamaulipas, S.A. de C.V.</w:t>
      </w:r>
      <w:r>
        <w:t>,</w:t>
      </w:r>
      <w:r w:rsidRPr="009E3790">
        <w:t xml:space="preserve"> Troncatel, S.A. de C.V.,</w:t>
      </w:r>
      <w:r w:rsidR="00C33AB9">
        <w:t xml:space="preserve"> </w:t>
      </w:r>
      <w:r w:rsidR="00845E30">
        <w:t xml:space="preserve">and </w:t>
      </w:r>
      <w:r w:rsidRPr="009E3790">
        <w:t>Union Agricola Regional del Norte de Tamaulipas</w:t>
      </w:r>
      <w:r>
        <w:t xml:space="preserve"> IS DISMISSED.</w:t>
      </w:r>
    </w:p>
    <w:p w14:paraId="3F45DF5D" w14:textId="37BB0462" w:rsidR="00D55891" w:rsidRPr="00973F6E" w:rsidRDefault="00D55891" w:rsidP="00D349FB">
      <w:pPr>
        <w:pStyle w:val="ParaNum"/>
        <w:keepNext/>
        <w:widowControl/>
        <w:rPr>
          <w:szCs w:val="22"/>
        </w:rPr>
      </w:pPr>
      <w:r w:rsidRPr="00973F6E">
        <w:rPr>
          <w:szCs w:val="22"/>
        </w:rPr>
        <w:t xml:space="preserve">This action is taken </w:t>
      </w:r>
      <w:r w:rsidRPr="00973F6E">
        <w:rPr>
          <w:color w:val="212121"/>
          <w:szCs w:val="22"/>
        </w:rPr>
        <w:t xml:space="preserve">under delegated authority pursuant to Sections </w:t>
      </w:r>
      <w:r w:rsidR="009E1C7C">
        <w:rPr>
          <w:color w:val="212121"/>
          <w:szCs w:val="22"/>
        </w:rPr>
        <w:t xml:space="preserve">0.51, </w:t>
      </w:r>
      <w:r w:rsidRPr="00973F6E">
        <w:rPr>
          <w:color w:val="212121"/>
          <w:szCs w:val="22"/>
        </w:rPr>
        <w:t>0.191</w:t>
      </w:r>
      <w:r w:rsidR="009E1C7C">
        <w:rPr>
          <w:color w:val="212121"/>
          <w:szCs w:val="22"/>
        </w:rPr>
        <w:t xml:space="preserve">, 0.261 and </w:t>
      </w:r>
      <w:r w:rsidRPr="00973F6E">
        <w:rPr>
          <w:color w:val="212121"/>
          <w:szCs w:val="22"/>
        </w:rPr>
        <w:t xml:space="preserve"> 0.392 of the Commission's rules, </w:t>
      </w:r>
      <w:hyperlink r:id="rId8" w:history="1">
        <w:r w:rsidRPr="00973F6E">
          <w:rPr>
            <w:color w:val="000000" w:themeColor="text1"/>
            <w:szCs w:val="22"/>
          </w:rPr>
          <w:t>47 CFR §§ 0.</w:t>
        </w:r>
      </w:hyperlink>
      <w:r w:rsidR="009E1C7C">
        <w:rPr>
          <w:color w:val="000000" w:themeColor="text1"/>
          <w:szCs w:val="22"/>
        </w:rPr>
        <w:t>51, 0.191, 0.261, 0.392;</w:t>
      </w:r>
      <w:r w:rsidR="00973F6E">
        <w:rPr>
          <w:color w:val="000000" w:themeColor="text1"/>
          <w:szCs w:val="22"/>
        </w:rPr>
        <w:t xml:space="preserve"> </w:t>
      </w:r>
      <w:r w:rsidR="00973F6E">
        <w:rPr>
          <w:szCs w:val="22"/>
        </w:rPr>
        <w:t xml:space="preserve"> </w:t>
      </w:r>
      <w:r w:rsidR="00E026E7" w:rsidRPr="00973F6E">
        <w:rPr>
          <w:szCs w:val="22"/>
        </w:rPr>
        <w:t xml:space="preserve">Section 1.2(a) of the Commission’s rules, 47 CFR § 1.2(a); </w:t>
      </w:r>
      <w:r w:rsidR="00973F6E">
        <w:rPr>
          <w:szCs w:val="22"/>
        </w:rPr>
        <w:t xml:space="preserve">and </w:t>
      </w:r>
      <w:r w:rsidR="00E026E7" w:rsidRPr="00973F6E">
        <w:rPr>
          <w:szCs w:val="22"/>
        </w:rPr>
        <w:t>Section 554 of the Administrative Procedure Act, 5 U.S.C.§</w:t>
      </w:r>
      <w:r w:rsidR="00832D98">
        <w:rPr>
          <w:szCs w:val="22"/>
        </w:rPr>
        <w:t> </w:t>
      </w:r>
      <w:r w:rsidR="00E026E7" w:rsidRPr="00973F6E">
        <w:rPr>
          <w:szCs w:val="22"/>
        </w:rPr>
        <w:t xml:space="preserve"> 554</w:t>
      </w:r>
      <w:r w:rsidR="00973F6E">
        <w:rPr>
          <w:szCs w:val="22"/>
        </w:rPr>
        <w:t>.</w:t>
      </w:r>
      <w:r w:rsidR="00E026E7" w:rsidRPr="00973F6E">
        <w:rPr>
          <w:szCs w:val="22"/>
        </w:rPr>
        <w:t xml:space="preserve"> </w:t>
      </w:r>
    </w:p>
    <w:p w14:paraId="7696CA73" w14:textId="77777777" w:rsidR="009E3790" w:rsidRDefault="00A57B53" w:rsidP="00D349FB">
      <w:pPr>
        <w:pStyle w:val="ParaNum"/>
        <w:keepNext/>
        <w:widowControl/>
        <w:numPr>
          <w:ilvl w:val="0"/>
          <w:numId w:val="0"/>
        </w:numPr>
        <w:spacing w:after="0"/>
        <w:ind w:left="720"/>
      </w:pPr>
      <w:r>
        <w:t xml:space="preserve">  </w:t>
      </w:r>
      <w:r>
        <w:tab/>
      </w:r>
      <w:r>
        <w:tab/>
      </w:r>
      <w:r>
        <w:tab/>
      </w:r>
      <w:r>
        <w:tab/>
        <w:t>FEDERAL COMMUNICATIONS COMMISSION</w:t>
      </w:r>
    </w:p>
    <w:p w14:paraId="11E18B8D" w14:textId="77777777" w:rsidR="00A57B53" w:rsidRDefault="00A57B53" w:rsidP="00D349FB">
      <w:pPr>
        <w:pStyle w:val="ParaNum"/>
        <w:keepNext/>
        <w:widowControl/>
        <w:numPr>
          <w:ilvl w:val="0"/>
          <w:numId w:val="0"/>
        </w:numPr>
        <w:tabs>
          <w:tab w:val="left" w:pos="3568"/>
        </w:tabs>
        <w:ind w:left="720"/>
      </w:pPr>
      <w:r>
        <w:tab/>
      </w:r>
    </w:p>
    <w:p w14:paraId="14B357BF" w14:textId="77777777" w:rsidR="00A57B53" w:rsidRDefault="00A57B53" w:rsidP="00D349FB">
      <w:pPr>
        <w:pStyle w:val="ParaNum"/>
        <w:keepNext/>
        <w:widowControl/>
        <w:numPr>
          <w:ilvl w:val="0"/>
          <w:numId w:val="0"/>
        </w:numPr>
        <w:tabs>
          <w:tab w:val="left" w:pos="3568"/>
        </w:tabs>
        <w:ind w:left="720"/>
      </w:pPr>
    </w:p>
    <w:p w14:paraId="3F3A04B7" w14:textId="77777777" w:rsidR="001160F6" w:rsidRDefault="003610E7" w:rsidP="00D349FB">
      <w:pPr>
        <w:pStyle w:val="ParaNum"/>
        <w:keepNext/>
        <w:widowControl/>
        <w:numPr>
          <w:ilvl w:val="0"/>
          <w:numId w:val="0"/>
        </w:numPr>
        <w:tabs>
          <w:tab w:val="left" w:pos="3568"/>
        </w:tabs>
        <w:spacing w:after="0"/>
        <w:ind w:left="3568"/>
      </w:pPr>
      <w:bookmarkStart w:id="2" w:name="SearchTerm"/>
      <w:bookmarkStart w:id="3" w:name="sp_999_3"/>
      <w:bookmarkStart w:id="4" w:name="SDU_3"/>
      <w:r w:rsidRPr="00537DAF">
        <w:rPr>
          <w:bCs/>
        </w:rPr>
        <w:t>David</w:t>
      </w:r>
      <w:r w:rsidRPr="00537DAF">
        <w:t xml:space="preserve"> G. </w:t>
      </w:r>
      <w:bookmarkStart w:id="5" w:name="SR;1236"/>
      <w:bookmarkEnd w:id="2"/>
      <w:bookmarkEnd w:id="5"/>
      <w:r w:rsidRPr="00537DAF">
        <w:rPr>
          <w:bCs/>
        </w:rPr>
        <w:t>Simpson</w:t>
      </w:r>
      <w:r w:rsidRPr="00537DAF">
        <w:t>, Rear Admiral, USN (Ret.)</w:t>
      </w:r>
      <w:r w:rsidRPr="00537DAF">
        <w:br/>
        <w:t>Chief</w:t>
      </w:r>
      <w:r w:rsidR="001160F6">
        <w:t xml:space="preserve">, </w:t>
      </w:r>
      <w:bookmarkEnd w:id="3"/>
      <w:bookmarkEnd w:id="4"/>
      <w:r w:rsidRPr="00537DAF">
        <w:t>Public Safety and Homeland Security Bureau</w:t>
      </w:r>
    </w:p>
    <w:p w14:paraId="2FD3C184" w14:textId="77777777" w:rsidR="001160F6" w:rsidRDefault="001160F6" w:rsidP="00D349FB">
      <w:pPr>
        <w:pStyle w:val="ParaNum"/>
        <w:keepNext/>
        <w:widowControl/>
        <w:numPr>
          <w:ilvl w:val="0"/>
          <w:numId w:val="0"/>
        </w:numPr>
        <w:tabs>
          <w:tab w:val="left" w:pos="3568"/>
        </w:tabs>
        <w:spacing w:after="0"/>
        <w:ind w:left="3568"/>
      </w:pPr>
    </w:p>
    <w:p w14:paraId="69B3A10B" w14:textId="77777777" w:rsidR="009E6601" w:rsidRDefault="009E6601" w:rsidP="00D349FB">
      <w:pPr>
        <w:pStyle w:val="ParaNum"/>
        <w:keepNext/>
        <w:widowControl/>
        <w:numPr>
          <w:ilvl w:val="0"/>
          <w:numId w:val="0"/>
        </w:numPr>
        <w:tabs>
          <w:tab w:val="left" w:pos="3568"/>
        </w:tabs>
        <w:spacing w:after="0"/>
        <w:ind w:left="3568"/>
      </w:pPr>
    </w:p>
    <w:p w14:paraId="2B3616C3" w14:textId="77777777" w:rsidR="009E6601" w:rsidRDefault="009E6601" w:rsidP="00D349FB">
      <w:pPr>
        <w:pStyle w:val="ParaNum"/>
        <w:keepNext/>
        <w:widowControl/>
        <w:numPr>
          <w:ilvl w:val="0"/>
          <w:numId w:val="0"/>
        </w:numPr>
        <w:tabs>
          <w:tab w:val="left" w:pos="3568"/>
        </w:tabs>
        <w:spacing w:after="0"/>
        <w:ind w:left="3568"/>
      </w:pPr>
    </w:p>
    <w:p w14:paraId="551402AB" w14:textId="77777777" w:rsidR="001160F6" w:rsidRDefault="00E75A24" w:rsidP="00D349FB">
      <w:pPr>
        <w:pStyle w:val="ParaNum"/>
        <w:keepNext/>
        <w:widowControl/>
        <w:numPr>
          <w:ilvl w:val="0"/>
          <w:numId w:val="0"/>
        </w:numPr>
        <w:tabs>
          <w:tab w:val="left" w:pos="3568"/>
        </w:tabs>
        <w:spacing w:after="0"/>
        <w:ind w:left="3568"/>
      </w:pPr>
      <w:r>
        <w:t>Mindel De L</w:t>
      </w:r>
      <w:r w:rsidR="001160F6">
        <w:t>a Torre</w:t>
      </w:r>
    </w:p>
    <w:p w14:paraId="7BB72D10" w14:textId="77777777" w:rsidR="00A57B53" w:rsidRDefault="001160F6" w:rsidP="00D349FB">
      <w:pPr>
        <w:pStyle w:val="ParaNum"/>
        <w:keepNext/>
        <w:widowControl/>
        <w:numPr>
          <w:ilvl w:val="0"/>
          <w:numId w:val="0"/>
        </w:numPr>
        <w:tabs>
          <w:tab w:val="left" w:pos="3568"/>
        </w:tabs>
        <w:spacing w:after="0"/>
        <w:ind w:left="3568"/>
      </w:pPr>
      <w:r>
        <w:t>Chief, International Bureau</w:t>
      </w:r>
      <w:r w:rsidR="003610E7" w:rsidRPr="00537DAF">
        <w:br/>
      </w:r>
    </w:p>
    <w:sectPr w:rsidR="00A57B5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CB03" w14:textId="77777777" w:rsidR="00A2279B" w:rsidRDefault="00A2279B">
      <w:pPr>
        <w:spacing w:line="20" w:lineRule="exact"/>
      </w:pPr>
    </w:p>
  </w:endnote>
  <w:endnote w:type="continuationSeparator" w:id="0">
    <w:p w14:paraId="07824854" w14:textId="77777777" w:rsidR="00A2279B" w:rsidRDefault="00A2279B">
      <w:r>
        <w:t xml:space="preserve"> </w:t>
      </w:r>
    </w:p>
  </w:endnote>
  <w:endnote w:type="continuationNotice" w:id="1">
    <w:p w14:paraId="005A7292" w14:textId="77777777" w:rsidR="00A2279B" w:rsidRDefault="00A227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2653" w14:textId="77777777" w:rsidR="00533BC3" w:rsidRDefault="00533BC3" w:rsidP="0055614C">
    <w:pPr>
      <w:pStyle w:val="Footer"/>
      <w:framePr w:wrap="around" w:vAnchor="text" w:hAnchor="margin" w:xAlign="center" w:y="1"/>
    </w:pPr>
    <w:r>
      <w:fldChar w:fldCharType="begin"/>
    </w:r>
    <w:r>
      <w:instrText xml:space="preserve">PAGE  </w:instrText>
    </w:r>
    <w:r>
      <w:fldChar w:fldCharType="end"/>
    </w:r>
  </w:p>
  <w:p w14:paraId="368429AD" w14:textId="77777777" w:rsidR="00533BC3" w:rsidRDefault="00533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675F" w14:textId="77777777" w:rsidR="00533BC3" w:rsidRDefault="00533BC3" w:rsidP="0055614C">
    <w:pPr>
      <w:pStyle w:val="Footer"/>
      <w:framePr w:wrap="around" w:vAnchor="text" w:hAnchor="margin" w:xAlign="center" w:y="1"/>
    </w:pPr>
    <w:r>
      <w:fldChar w:fldCharType="begin"/>
    </w:r>
    <w:r>
      <w:instrText xml:space="preserve">PAGE  </w:instrText>
    </w:r>
    <w:r>
      <w:fldChar w:fldCharType="separate"/>
    </w:r>
    <w:r w:rsidR="00ED10A1">
      <w:rPr>
        <w:noProof/>
      </w:rPr>
      <w:t>2</w:t>
    </w:r>
    <w:r>
      <w:fldChar w:fldCharType="end"/>
    </w:r>
  </w:p>
  <w:p w14:paraId="407A7D4E" w14:textId="77777777" w:rsidR="00533BC3" w:rsidRDefault="00533BC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B13F" w14:textId="77777777" w:rsidR="00533BC3" w:rsidRDefault="00533BC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D225E" w14:textId="77777777" w:rsidR="00A2279B" w:rsidRDefault="00A2279B">
      <w:r>
        <w:separator/>
      </w:r>
    </w:p>
  </w:footnote>
  <w:footnote w:type="continuationSeparator" w:id="0">
    <w:p w14:paraId="73899BCB" w14:textId="77777777" w:rsidR="00A2279B" w:rsidRDefault="00A2279B" w:rsidP="00C721AC">
      <w:pPr>
        <w:spacing w:before="120"/>
        <w:rPr>
          <w:sz w:val="20"/>
        </w:rPr>
      </w:pPr>
      <w:r>
        <w:rPr>
          <w:sz w:val="20"/>
        </w:rPr>
        <w:t xml:space="preserve">(Continued from previous page)  </w:t>
      </w:r>
      <w:r>
        <w:rPr>
          <w:sz w:val="20"/>
        </w:rPr>
        <w:separator/>
      </w:r>
    </w:p>
  </w:footnote>
  <w:footnote w:type="continuationNotice" w:id="1">
    <w:p w14:paraId="5F66ED31" w14:textId="77777777" w:rsidR="00A2279B" w:rsidRDefault="00A2279B" w:rsidP="00C721AC">
      <w:pPr>
        <w:jc w:val="right"/>
        <w:rPr>
          <w:sz w:val="20"/>
        </w:rPr>
      </w:pPr>
      <w:r>
        <w:rPr>
          <w:sz w:val="20"/>
        </w:rPr>
        <w:t>(continued….)</w:t>
      </w:r>
    </w:p>
  </w:footnote>
  <w:footnote w:id="2">
    <w:p w14:paraId="3A05EF5D" w14:textId="77777777" w:rsidR="00662E30" w:rsidRDefault="00662E30">
      <w:pPr>
        <w:pStyle w:val="FootnoteText"/>
      </w:pPr>
      <w:r>
        <w:rPr>
          <w:rStyle w:val="FootnoteReference"/>
        </w:rPr>
        <w:footnoteRef/>
      </w:r>
      <w:r w:rsidR="00D349FB">
        <w:t xml:space="preserve"> </w:t>
      </w:r>
      <w:r w:rsidR="00D349FB" w:rsidRPr="001C7620">
        <w:rPr>
          <w:spacing w:val="-2"/>
          <w:szCs w:val="22"/>
        </w:rPr>
        <w:t xml:space="preserve">Comunicaciones Digitales del Norte, S.A. de C.V., </w:t>
      </w:r>
      <w:r w:rsidR="00D349FB">
        <w:t xml:space="preserve">Radio Sistemas de Tamaulipas, S.A. de C.V., </w:t>
      </w:r>
      <w:r w:rsidR="00D349FB" w:rsidRPr="00E178E3">
        <w:rPr>
          <w:iCs/>
        </w:rPr>
        <w:t>Troncatel, S.A. de C.V.</w:t>
      </w:r>
      <w:r w:rsidR="00D349FB">
        <w:rPr>
          <w:iCs/>
        </w:rPr>
        <w:t xml:space="preserve">, and </w:t>
      </w:r>
      <w:r w:rsidR="00D349FB" w:rsidRPr="00E178E3">
        <w:rPr>
          <w:iCs/>
        </w:rPr>
        <w:t>Union Agricola Regional del Norte de Tamaulipas</w:t>
      </w:r>
      <w:r w:rsidR="00D349FB">
        <w:rPr>
          <w:iCs/>
        </w:rPr>
        <w:t xml:space="preserve">, Petition for Declaratory Ruling, </w:t>
      </w:r>
      <w:r w:rsidR="00E619BB">
        <w:rPr>
          <w:iCs/>
        </w:rPr>
        <w:t xml:space="preserve">filed </w:t>
      </w:r>
      <w:r w:rsidR="00D349FB">
        <w:rPr>
          <w:iCs/>
        </w:rPr>
        <w:t>July 29, 2016</w:t>
      </w:r>
      <w:r w:rsidR="004C67F4">
        <w:rPr>
          <w:iCs/>
        </w:rPr>
        <w:t>.</w:t>
      </w:r>
    </w:p>
  </w:footnote>
  <w:footnote w:id="3">
    <w:p w14:paraId="10BC8E51" w14:textId="77777777" w:rsidR="000C4E02" w:rsidRDefault="000C4E02" w:rsidP="000C4E02">
      <w:pPr>
        <w:pStyle w:val="FootnoteText"/>
        <w:rPr>
          <w:b/>
        </w:rPr>
      </w:pPr>
      <w:r>
        <w:rPr>
          <w:rStyle w:val="FootnoteReference"/>
        </w:rPr>
        <w:footnoteRef/>
      </w:r>
      <w:r>
        <w:t xml:space="preserve"> </w:t>
      </w:r>
      <w:r>
        <w:rPr>
          <w:i/>
        </w:rPr>
        <w:t xml:space="preserve">See </w:t>
      </w:r>
      <w:r>
        <w:t xml:space="preserve">Protocol Between the Department of State of the United States of America and the Secretariat of Communications and Transportation of the United Mexican States Concerning the Allotment, Assignment and Use of the 806-824/851-869 MHz and 896-901/935-940 MHz Bands for Terrestrial Non-Broadcasting Radiocommunication Services Along the Common Border (June 8, 2012) (Amended Protocol). </w:t>
      </w:r>
    </w:p>
  </w:footnote>
  <w:footnote w:id="4">
    <w:p w14:paraId="2CAC7080" w14:textId="77777777" w:rsidR="007520E4" w:rsidRPr="000569AA" w:rsidRDefault="007520E4">
      <w:pPr>
        <w:pStyle w:val="FootnoteText"/>
      </w:pPr>
      <w:r>
        <w:rPr>
          <w:rStyle w:val="FootnoteReference"/>
        </w:rPr>
        <w:footnoteRef/>
      </w:r>
      <w:r w:rsidR="007F1A19">
        <w:t xml:space="preserve"> The Sharing Zone is a region extending 110 kilometers </w:t>
      </w:r>
      <w:r w:rsidR="000569AA">
        <w:t xml:space="preserve">from the border into each country.  </w:t>
      </w:r>
      <w:r w:rsidR="00677EF8">
        <w:rPr>
          <w:i/>
        </w:rPr>
        <w:t xml:space="preserve">See </w:t>
      </w:r>
      <w:r w:rsidR="000569AA">
        <w:rPr>
          <w:i/>
        </w:rPr>
        <w:t xml:space="preserve">Improving Public Safety Communications in the 800 MHz Band, </w:t>
      </w:r>
      <w:r w:rsidR="003F57FE">
        <w:t xml:space="preserve">Fifth Report and Order, 28 </w:t>
      </w:r>
      <w:r w:rsidR="000569AA">
        <w:t xml:space="preserve">FCC </w:t>
      </w:r>
      <w:r w:rsidR="003F57FE">
        <w:t>Rcd 4085, 4086 para</w:t>
      </w:r>
      <w:r w:rsidR="009E6601">
        <w:t>.</w:t>
      </w:r>
      <w:r w:rsidR="003F57FE">
        <w:t xml:space="preserve"> 2 (</w:t>
      </w:r>
      <w:r w:rsidR="008D6853">
        <w:t xml:space="preserve">PSHSB </w:t>
      </w:r>
      <w:r w:rsidR="003F57FE">
        <w:t>2013</w:t>
      </w:r>
      <w:r w:rsidR="009E6601">
        <w:t>)</w:t>
      </w:r>
      <w:r w:rsidR="003F57FE">
        <w:rPr>
          <w:i/>
        </w:rPr>
        <w:t>.</w:t>
      </w:r>
    </w:p>
  </w:footnote>
  <w:footnote w:id="5">
    <w:p w14:paraId="6E64A561" w14:textId="0F0D9A2F" w:rsidR="00F10324" w:rsidRDefault="00F10324">
      <w:pPr>
        <w:pStyle w:val="FootnoteText"/>
      </w:pPr>
      <w:r>
        <w:rPr>
          <w:rStyle w:val="FootnoteReference"/>
        </w:rPr>
        <w:footnoteRef/>
      </w:r>
      <w:r>
        <w:t xml:space="preserve"> </w:t>
      </w:r>
      <w:r w:rsidR="00E66459">
        <w:t xml:space="preserve"> </w:t>
      </w:r>
      <w:r w:rsidR="00E66459" w:rsidRPr="00774F68">
        <w:rPr>
          <w:i/>
        </w:rPr>
        <w:t xml:space="preserve">See, </w:t>
      </w:r>
      <w:r w:rsidR="00E66459" w:rsidRPr="00E21C93">
        <w:rPr>
          <w:i/>
        </w:rPr>
        <w:t>Troncatel, S.A. de C.V. v. Plenary of the Federal Telecommunications Institute (IFT),</w:t>
      </w:r>
      <w:r w:rsidR="00E66459" w:rsidRPr="00E21C93">
        <w:t xml:space="preserve"> Case </w:t>
      </w:r>
      <w:r w:rsidR="00774F68" w:rsidRPr="00E21C93">
        <w:t xml:space="preserve">35/2016, </w:t>
      </w:r>
      <w:r w:rsidR="00774F68" w:rsidRPr="00774F68">
        <w:t>Office of Common Correspondence of the District Courts and Collegial Courts in Specialized Administrative Matters in Economic, Broadcasting, and Telecommunications Competition and Auxiliary Center of the First Region (in Spanish)</w:t>
      </w:r>
      <w:r w:rsidR="00746200">
        <w:t>(</w:t>
      </w:r>
      <w:r w:rsidR="00746200" w:rsidRPr="00E21C93">
        <w:rPr>
          <w:i/>
        </w:rPr>
        <w:t>Tronc</w:t>
      </w:r>
      <w:r w:rsidR="00746200">
        <w:rPr>
          <w:i/>
        </w:rPr>
        <w:t>a</w:t>
      </w:r>
      <w:r w:rsidR="00746200" w:rsidRPr="00E21C93">
        <w:rPr>
          <w:i/>
        </w:rPr>
        <w:t>tel Order</w:t>
      </w:r>
      <w:r w:rsidR="00746200">
        <w:t>)</w:t>
      </w:r>
      <w:r w:rsidR="00F61E47">
        <w:t>. (In its decision, the court acknowledged IFT’s order for Troncatel to relocate to the 400 MHz band and stayed the IFT order</w:t>
      </w:r>
      <w:r w:rsidR="0026776E">
        <w:t xml:space="preserve"> on procedural grounds</w:t>
      </w:r>
      <w:r w:rsidR="00774F68" w:rsidRPr="00774F68">
        <w:t>.</w:t>
      </w:r>
      <w:r w:rsidR="00F61E47">
        <w:t>)</w:t>
      </w:r>
    </w:p>
  </w:footnote>
  <w:footnote w:id="6">
    <w:p w14:paraId="26297400" w14:textId="77777777" w:rsidR="00E619BB" w:rsidRDefault="00E619BB">
      <w:pPr>
        <w:pStyle w:val="FootnoteText"/>
      </w:pPr>
      <w:r>
        <w:rPr>
          <w:rStyle w:val="FootnoteReference"/>
        </w:rPr>
        <w:footnoteRef/>
      </w:r>
      <w:r>
        <w:t xml:space="preserve"> Amended Protocol</w:t>
      </w:r>
      <w:r w:rsidR="00732C8B">
        <w:t>, Art</w:t>
      </w:r>
      <w:r w:rsidR="00A157C6">
        <w:t>icle V</w:t>
      </w:r>
      <w:r>
        <w:t>.</w:t>
      </w:r>
    </w:p>
  </w:footnote>
  <w:footnote w:id="7">
    <w:p w14:paraId="1F53DDEC" w14:textId="77777777" w:rsidR="004704B8" w:rsidRPr="00732C8B" w:rsidRDefault="004704B8" w:rsidP="004704B8">
      <w:pPr>
        <w:pStyle w:val="FootnoteText"/>
      </w:pPr>
      <w:r>
        <w:rPr>
          <w:rStyle w:val="FootnoteReference"/>
        </w:rPr>
        <w:footnoteRef/>
      </w:r>
      <w:r w:rsidR="00C45D46">
        <w:t xml:space="preserve"> </w:t>
      </w:r>
      <w:r w:rsidR="00732C8B">
        <w:t>T</w:t>
      </w:r>
      <w:r w:rsidR="00C45D46" w:rsidRPr="00C45D46">
        <w:t xml:space="preserve">he </w:t>
      </w:r>
      <w:r w:rsidR="00732C8B">
        <w:t xml:space="preserve">Amended Protocol defines the </w:t>
      </w:r>
      <w:r w:rsidR="00C45D46" w:rsidRPr="00C45D46">
        <w:t>co-primary</w:t>
      </w:r>
      <w:r w:rsidR="00732C8B">
        <w:t xml:space="preserve"> allotment as the</w:t>
      </w:r>
      <w:r w:rsidR="00C45D46" w:rsidRPr="00C45D46">
        <w:t xml:space="preserve"> </w:t>
      </w:r>
      <w:r w:rsidR="00732C8B" w:rsidRPr="00732C8B">
        <w:t>818.5</w:t>
      </w:r>
      <w:r w:rsidR="00732C8B">
        <w:t>-</w:t>
      </w:r>
      <w:r w:rsidR="00732C8B" w:rsidRPr="00732C8B">
        <w:t>824</w:t>
      </w:r>
      <w:r w:rsidR="000809B1">
        <w:t xml:space="preserve"> MHz </w:t>
      </w:r>
      <w:r w:rsidR="00732C8B">
        <w:t>/</w:t>
      </w:r>
      <w:r w:rsidR="000809B1">
        <w:t xml:space="preserve"> </w:t>
      </w:r>
      <w:r w:rsidR="00732C8B" w:rsidRPr="00732C8B">
        <w:t>863.5-869 MHz</w:t>
      </w:r>
      <w:r w:rsidR="00732C8B">
        <w:t xml:space="preserve"> segment </w:t>
      </w:r>
      <w:r w:rsidR="00C45D46" w:rsidRPr="00C45D46">
        <w:t>of the band</w:t>
      </w:r>
      <w:r w:rsidR="00732C8B">
        <w:t xml:space="preserve">, in which the U.S. and Mexico may license “counterpart operators” to use the entire band segment, subject </w:t>
      </w:r>
      <w:r w:rsidR="00C45D46" w:rsidRPr="00C45D46">
        <w:t xml:space="preserve">to signal strength </w:t>
      </w:r>
      <w:r w:rsidR="00732C8B">
        <w:t xml:space="preserve">limits at the border.  Amended Protocol, Article </w:t>
      </w:r>
      <w:r w:rsidR="00352984">
        <w:t xml:space="preserve">II, paras. </w:t>
      </w:r>
      <w:r w:rsidR="000D7FD2">
        <w:t>4-5</w:t>
      </w:r>
      <w:r w:rsidR="00732C8B">
        <w:t xml:space="preserve">.   </w:t>
      </w:r>
    </w:p>
  </w:footnote>
  <w:footnote w:id="8">
    <w:p w14:paraId="6F7569DE" w14:textId="77777777" w:rsidR="004704B8" w:rsidRDefault="004704B8" w:rsidP="004704B8">
      <w:pPr>
        <w:pStyle w:val="FootnoteText"/>
      </w:pPr>
      <w:r>
        <w:rPr>
          <w:rStyle w:val="FootnoteReference"/>
        </w:rPr>
        <w:footnoteRef/>
      </w:r>
      <w:r>
        <w:t xml:space="preserve"> Amended Protocol, Article V</w:t>
      </w:r>
      <w:r w:rsidR="003E356A">
        <w:t>.</w:t>
      </w:r>
      <w:r>
        <w:t xml:space="preserve">  </w:t>
      </w:r>
    </w:p>
  </w:footnote>
  <w:footnote w:id="9">
    <w:p w14:paraId="066B6044" w14:textId="77777777" w:rsidR="004704B8" w:rsidRDefault="004704B8" w:rsidP="004704B8">
      <w:pPr>
        <w:pStyle w:val="FootnoteText"/>
      </w:pPr>
      <w:r>
        <w:rPr>
          <w:rStyle w:val="FootnoteReference"/>
        </w:rPr>
        <w:footnoteRef/>
      </w:r>
      <w:r>
        <w:t xml:space="preserve"> </w:t>
      </w:r>
      <w:r w:rsidR="00F10324">
        <w:rPr>
          <w:i/>
        </w:rPr>
        <w:t xml:space="preserve">Id. </w:t>
      </w:r>
      <w:r>
        <w:t xml:space="preserve"> </w:t>
      </w:r>
    </w:p>
  </w:footnote>
  <w:footnote w:id="10">
    <w:p w14:paraId="6058B27F" w14:textId="77777777" w:rsidR="005F35F4" w:rsidRDefault="005F35F4">
      <w:pPr>
        <w:pStyle w:val="FootnoteText"/>
      </w:pPr>
      <w:r>
        <w:rPr>
          <w:rStyle w:val="FootnoteReference"/>
        </w:rPr>
        <w:footnoteRef/>
      </w:r>
      <w:r>
        <w:t xml:space="preserve"> Petition at </w:t>
      </w:r>
      <w:r w:rsidR="000F4B34">
        <w:t>2</w:t>
      </w:r>
      <w:r>
        <w:t>.</w:t>
      </w:r>
    </w:p>
  </w:footnote>
  <w:footnote w:id="11">
    <w:p w14:paraId="45C488E7" w14:textId="77777777" w:rsidR="005F35F4" w:rsidRPr="004F0363" w:rsidRDefault="005F35F4">
      <w:pPr>
        <w:pStyle w:val="FootnoteText"/>
      </w:pPr>
      <w:r>
        <w:rPr>
          <w:rStyle w:val="FootnoteReference"/>
        </w:rPr>
        <w:footnoteRef/>
      </w:r>
      <w:r>
        <w:t xml:space="preserve"> </w:t>
      </w:r>
      <w:r w:rsidRPr="004E35C8">
        <w:rPr>
          <w:i/>
        </w:rPr>
        <w:t>Id.</w:t>
      </w:r>
      <w:r w:rsidR="004F0363">
        <w:rPr>
          <w:i/>
        </w:rPr>
        <w:t xml:space="preserve">  </w:t>
      </w:r>
      <w:r w:rsidR="004F0363">
        <w:t xml:space="preserve">The Amended Protocol </w:t>
      </w:r>
      <w:r w:rsidR="007B2AAA">
        <w:t xml:space="preserve">calls for </w:t>
      </w:r>
      <w:r w:rsidR="004F0363">
        <w:t xml:space="preserve">establishment of a bi-national Task Force to coordinate the transition of U.S. and Mexico licensees to their replacement frequencies.  </w:t>
      </w:r>
      <w:r w:rsidR="007B2AAA">
        <w:t xml:space="preserve">Amended Protocol, Article V.   The Task Force consists of staff from the FCC, State Department, and IFT. </w:t>
      </w:r>
    </w:p>
  </w:footnote>
  <w:footnote w:id="12">
    <w:p w14:paraId="1FC4ECCC" w14:textId="77777777" w:rsidR="00F10324" w:rsidRPr="00552F82" w:rsidRDefault="00F10324" w:rsidP="00F10324">
      <w:pPr>
        <w:pStyle w:val="FootnoteText"/>
      </w:pPr>
      <w:r>
        <w:rPr>
          <w:rStyle w:val="FootnoteReference"/>
        </w:rPr>
        <w:footnoteRef/>
      </w:r>
      <w:r>
        <w:t xml:space="preserve"> </w:t>
      </w:r>
      <w:r w:rsidR="000D7FD2">
        <w:t>Petition</w:t>
      </w:r>
      <w:r w:rsidR="002E1605">
        <w:t xml:space="preserve"> at 6.</w:t>
      </w:r>
      <w:r w:rsidR="004F0363">
        <w:t xml:space="preserve">  </w:t>
      </w:r>
    </w:p>
  </w:footnote>
  <w:footnote w:id="13">
    <w:p w14:paraId="60BD10A5" w14:textId="77777777" w:rsidR="00991713" w:rsidRPr="00991713" w:rsidRDefault="00991713">
      <w:pPr>
        <w:pStyle w:val="FootnoteText"/>
      </w:pPr>
      <w:r>
        <w:rPr>
          <w:rStyle w:val="FootnoteReference"/>
        </w:rPr>
        <w:footnoteRef/>
      </w:r>
      <w:r>
        <w:t xml:space="preserve"> </w:t>
      </w:r>
      <w:r>
        <w:rPr>
          <w:i/>
        </w:rPr>
        <w:t>Id.</w:t>
      </w:r>
    </w:p>
  </w:footnote>
  <w:footnote w:id="14">
    <w:p w14:paraId="50346F2B" w14:textId="77777777" w:rsidR="00991713" w:rsidRDefault="00991713">
      <w:pPr>
        <w:pStyle w:val="FootnoteText"/>
      </w:pPr>
      <w:r>
        <w:rPr>
          <w:rStyle w:val="FootnoteReference"/>
        </w:rPr>
        <w:footnoteRef/>
      </w:r>
      <w:r>
        <w:t xml:space="preserve"> </w:t>
      </w:r>
      <w:r w:rsidRPr="004E35C8">
        <w:rPr>
          <w:i/>
        </w:rPr>
        <w:t>Id.</w:t>
      </w:r>
    </w:p>
  </w:footnote>
  <w:footnote w:id="15">
    <w:p w14:paraId="0699ADAD" w14:textId="77777777" w:rsidR="00721E4D" w:rsidRPr="00721E4D" w:rsidRDefault="00721E4D">
      <w:pPr>
        <w:pStyle w:val="FootnoteText"/>
      </w:pPr>
      <w:r>
        <w:rPr>
          <w:rStyle w:val="FootnoteReference"/>
        </w:rPr>
        <w:footnoteRef/>
      </w:r>
      <w:r>
        <w:t xml:space="preserve"> </w:t>
      </w:r>
      <w:r>
        <w:rPr>
          <w:i/>
        </w:rPr>
        <w:t xml:space="preserve">Id. </w:t>
      </w:r>
      <w:r>
        <w:t>at 6-7</w:t>
      </w:r>
    </w:p>
  </w:footnote>
  <w:footnote w:id="16">
    <w:p w14:paraId="50A86C49" w14:textId="77777777" w:rsidR="002E1605" w:rsidRPr="002E1605" w:rsidRDefault="002E1605">
      <w:pPr>
        <w:pStyle w:val="FootnoteText"/>
      </w:pPr>
      <w:r>
        <w:rPr>
          <w:rStyle w:val="FootnoteReference"/>
        </w:rPr>
        <w:footnoteRef/>
      </w:r>
      <w:r>
        <w:t xml:space="preserve"> </w:t>
      </w:r>
      <w:r>
        <w:rPr>
          <w:i/>
        </w:rPr>
        <w:t xml:space="preserve">Id. </w:t>
      </w:r>
      <w:r>
        <w:t>at 7.</w:t>
      </w:r>
      <w:r w:rsidR="007B446F">
        <w:t xml:space="preserve">  Petitioners cite no evidence of AT&amp;T’s alleged denial</w:t>
      </w:r>
      <w:r w:rsidR="00796099">
        <w:t xml:space="preserve"> of Nextel Mexico’s obligations</w:t>
      </w:r>
      <w:r w:rsidR="007B446F">
        <w:t>.  We note that</w:t>
      </w:r>
      <w:r w:rsidR="00B517F1">
        <w:t xml:space="preserve"> Nextel Mexico, now AT&amp;T Mexico, remains subject to IFT’s regulatory authority and the terms of the Amended Protocol as a “counterpart operator</w:t>
      </w:r>
      <w:r w:rsidR="009E6601">
        <w:t>.</w:t>
      </w:r>
      <w:r w:rsidR="00D2309A">
        <w:t>”</w:t>
      </w:r>
      <w:r w:rsidR="007B446F">
        <w:t xml:space="preserve"> </w:t>
      </w:r>
    </w:p>
  </w:footnote>
  <w:footnote w:id="17">
    <w:p w14:paraId="684F0D53" w14:textId="77777777" w:rsidR="000F4B34" w:rsidRDefault="000F4B34">
      <w:pPr>
        <w:pStyle w:val="FootnoteText"/>
      </w:pPr>
      <w:r>
        <w:rPr>
          <w:rStyle w:val="FootnoteReference"/>
        </w:rPr>
        <w:footnoteRef/>
      </w:r>
      <w:r>
        <w:t xml:space="preserve"> </w:t>
      </w:r>
      <w:r w:rsidRPr="004E35C8">
        <w:rPr>
          <w:i/>
        </w:rPr>
        <w:t>Id.</w:t>
      </w:r>
      <w:r>
        <w:t xml:space="preserve"> at 7-8.</w:t>
      </w:r>
    </w:p>
  </w:footnote>
  <w:footnote w:id="18">
    <w:p w14:paraId="3BBF1D11" w14:textId="77777777" w:rsidR="000F4B34" w:rsidRPr="000F4B34" w:rsidRDefault="000F4B34">
      <w:pPr>
        <w:pStyle w:val="FootnoteText"/>
      </w:pPr>
      <w:r>
        <w:rPr>
          <w:rStyle w:val="FootnoteReference"/>
        </w:rPr>
        <w:footnoteRef/>
      </w:r>
      <w:r>
        <w:t xml:space="preserve"> </w:t>
      </w:r>
      <w:r>
        <w:rPr>
          <w:i/>
        </w:rPr>
        <w:t xml:space="preserve">Id. </w:t>
      </w:r>
      <w:r>
        <w:t>at 8.</w:t>
      </w:r>
    </w:p>
  </w:footnote>
  <w:footnote w:id="19">
    <w:p w14:paraId="2DCAEEF1" w14:textId="77777777" w:rsidR="00854487" w:rsidRDefault="00854487" w:rsidP="00FE0C3C">
      <w:pPr>
        <w:spacing w:after="120"/>
      </w:pPr>
      <w:r>
        <w:rPr>
          <w:rStyle w:val="FootnoteReference"/>
        </w:rPr>
        <w:footnoteRef/>
      </w:r>
      <w:r>
        <w:t xml:space="preserve"> </w:t>
      </w:r>
      <w:r w:rsidRPr="005D437F">
        <w:rPr>
          <w:sz w:val="20"/>
        </w:rPr>
        <w:t>47 C</w:t>
      </w:r>
      <w:r w:rsidR="009F0D40">
        <w:rPr>
          <w:sz w:val="20"/>
        </w:rPr>
        <w:t>.</w:t>
      </w:r>
      <w:r w:rsidRPr="005D437F">
        <w:rPr>
          <w:sz w:val="20"/>
        </w:rPr>
        <w:t>F</w:t>
      </w:r>
      <w:r w:rsidR="009F0D40">
        <w:rPr>
          <w:sz w:val="20"/>
        </w:rPr>
        <w:t>.</w:t>
      </w:r>
      <w:r w:rsidRPr="005D437F">
        <w:rPr>
          <w:sz w:val="20"/>
        </w:rPr>
        <w:t>R</w:t>
      </w:r>
      <w:r w:rsidR="009F0D40">
        <w:rPr>
          <w:sz w:val="20"/>
        </w:rPr>
        <w:t>.</w:t>
      </w:r>
      <w:r w:rsidRPr="005D437F">
        <w:rPr>
          <w:sz w:val="20"/>
        </w:rPr>
        <w:t xml:space="preserve"> § 1.2(a).</w:t>
      </w:r>
      <w:r w:rsidR="00183B15" w:rsidRPr="005D437F">
        <w:rPr>
          <w:sz w:val="20"/>
        </w:rPr>
        <w:t xml:space="preserve">  </w:t>
      </w:r>
      <w:r w:rsidR="00BD03E8" w:rsidRPr="00E21C93">
        <w:rPr>
          <w:i/>
          <w:sz w:val="20"/>
        </w:rPr>
        <w:t>See also</w:t>
      </w:r>
      <w:r w:rsidR="00BD03E8">
        <w:rPr>
          <w:sz w:val="20"/>
        </w:rPr>
        <w:t xml:space="preserve"> </w:t>
      </w:r>
      <w:r w:rsidR="00124429">
        <w:rPr>
          <w:sz w:val="20"/>
        </w:rPr>
        <w:t>5 U.S.C. § 554(e)</w:t>
      </w:r>
      <w:r w:rsidR="004139E2">
        <w:rPr>
          <w:sz w:val="20"/>
        </w:rPr>
        <w:t xml:space="preserve">; </w:t>
      </w:r>
      <w:r w:rsidR="00183B15" w:rsidRPr="005D437F">
        <w:rPr>
          <w:i/>
          <w:sz w:val="20"/>
        </w:rPr>
        <w:t>Harry S. Goodman</w:t>
      </w:r>
      <w:r w:rsidR="00183B15" w:rsidRPr="005D437F">
        <w:rPr>
          <w:sz w:val="20"/>
        </w:rPr>
        <w:t xml:space="preserve">, </w:t>
      </w:r>
      <w:r w:rsidR="009F0D40">
        <w:rPr>
          <w:sz w:val="20"/>
        </w:rPr>
        <w:t xml:space="preserve">Memorandum Opinion and Order, </w:t>
      </w:r>
      <w:r w:rsidR="00183B15" w:rsidRPr="005D437F">
        <w:rPr>
          <w:sz w:val="20"/>
        </w:rPr>
        <w:t>12 FCC 678, 678 (1948)</w:t>
      </w:r>
      <w:r w:rsidR="004139E2">
        <w:rPr>
          <w:sz w:val="20"/>
        </w:rPr>
        <w:t xml:space="preserve"> (noting that the APA “makes the issuance of [declaratory rulings] discretionary”)</w:t>
      </w:r>
      <w:r w:rsidR="00183B15" w:rsidRPr="005D437F">
        <w:rPr>
          <w:sz w:val="20"/>
        </w:rPr>
        <w:t>.</w:t>
      </w:r>
      <w:r w:rsidR="00183B15" w:rsidRPr="00FE0C3C">
        <w:rPr>
          <w:sz w:val="20"/>
        </w:rPr>
        <w:t xml:space="preserve">  </w:t>
      </w:r>
    </w:p>
  </w:footnote>
  <w:footnote w:id="20">
    <w:p w14:paraId="5D3D5E41" w14:textId="77777777" w:rsidR="001D1FDA" w:rsidRDefault="001D1FDA">
      <w:pPr>
        <w:pStyle w:val="FootnoteText"/>
      </w:pPr>
      <w:r>
        <w:rPr>
          <w:rStyle w:val="FootnoteReference"/>
        </w:rPr>
        <w:footnoteRef/>
      </w:r>
      <w:r>
        <w:t xml:space="preserve"> </w:t>
      </w:r>
      <w:r w:rsidRPr="001D1FDA">
        <w:rPr>
          <w:i/>
        </w:rPr>
        <w:t>Commnet Wireless, LLC</w:t>
      </w:r>
      <w:r w:rsidR="001B7A22">
        <w:rPr>
          <w:i/>
        </w:rPr>
        <w:t>,</w:t>
      </w:r>
      <w:r w:rsidRPr="001D1FDA">
        <w:rPr>
          <w:i/>
        </w:rPr>
        <w:t xml:space="preserve"> Petition for Declaratory Ruling</w:t>
      </w:r>
      <w:r w:rsidRPr="001D1FDA">
        <w:t xml:space="preserve">, </w:t>
      </w:r>
      <w:r w:rsidR="009F0D40">
        <w:t xml:space="preserve">Order, </w:t>
      </w:r>
      <w:r w:rsidRPr="001D1FDA">
        <w:t>27 F</w:t>
      </w:r>
      <w:r>
        <w:t>C</w:t>
      </w:r>
      <w:r w:rsidRPr="001D1FDA">
        <w:t>C</w:t>
      </w:r>
      <w:r>
        <w:t xml:space="preserve"> Rcd</w:t>
      </w:r>
      <w:r w:rsidRPr="001D1FDA">
        <w:t xml:space="preserve"> 4324, 4325 (</w:t>
      </w:r>
      <w:r w:rsidR="009F0D40">
        <w:t xml:space="preserve">WTB </w:t>
      </w:r>
      <w:r w:rsidRPr="001D1FDA">
        <w:t>2012)</w:t>
      </w:r>
      <w:r>
        <w:t>.</w:t>
      </w:r>
    </w:p>
  </w:footnote>
  <w:footnote w:id="21">
    <w:p w14:paraId="1655C120" w14:textId="77777777" w:rsidR="00794EE8" w:rsidRDefault="00794EE8" w:rsidP="00FA11AD">
      <w:pPr>
        <w:pStyle w:val="FootnoteText"/>
      </w:pPr>
      <w:r>
        <w:rPr>
          <w:rStyle w:val="FootnoteReference"/>
        </w:rPr>
        <w:footnoteRef/>
      </w:r>
      <w:r>
        <w:t xml:space="preserve"> Petition at </w:t>
      </w:r>
      <w:r w:rsidR="00FA11AD">
        <w:t>4, para. 6 (“Full transition on the Mexican side has been delayed because of a dispute concerning the costs associated with implementing the Amended Protocol requirements”).</w:t>
      </w:r>
    </w:p>
  </w:footnote>
  <w:footnote w:id="22">
    <w:p w14:paraId="72DEB679" w14:textId="77777777" w:rsidR="00095EA2" w:rsidRPr="00095EA2" w:rsidRDefault="00095EA2">
      <w:pPr>
        <w:pStyle w:val="FootnoteText"/>
      </w:pPr>
      <w:r>
        <w:rPr>
          <w:rStyle w:val="FootnoteReference"/>
        </w:rPr>
        <w:footnoteRef/>
      </w:r>
      <w:r>
        <w:t xml:space="preserve"> </w:t>
      </w:r>
      <w:r w:rsidRPr="003E356A">
        <w:rPr>
          <w:i/>
        </w:rPr>
        <w:t>Id</w:t>
      </w:r>
      <w:r w:rsidRPr="00EE038D">
        <w:rPr>
          <w:i/>
        </w:rPr>
        <w:t>.</w:t>
      </w:r>
      <w:r>
        <w:rPr>
          <w:i/>
        </w:rPr>
        <w:t xml:space="preserve"> </w:t>
      </w:r>
      <w:r>
        <w:t>at 3, para. 3.</w:t>
      </w:r>
    </w:p>
  </w:footnote>
  <w:footnote w:id="23">
    <w:p w14:paraId="650B3598" w14:textId="77777777" w:rsidR="00A921F8" w:rsidRDefault="00A921F8">
      <w:pPr>
        <w:pStyle w:val="FootnoteText"/>
      </w:pPr>
      <w:r>
        <w:rPr>
          <w:rStyle w:val="FootnoteReference"/>
        </w:rPr>
        <w:footnoteRef/>
      </w:r>
      <w:r>
        <w:t xml:space="preserve"> </w:t>
      </w:r>
      <w:r>
        <w:rPr>
          <w:i/>
        </w:rPr>
        <w:t xml:space="preserve">Id. </w:t>
      </w:r>
      <w:r>
        <w:t>at 7-8, paras.</w:t>
      </w:r>
      <w:r w:rsidR="009F0D40">
        <w:t xml:space="preserve"> </w:t>
      </w:r>
      <w:r>
        <w:t xml:space="preserve">23-24.  </w:t>
      </w:r>
    </w:p>
  </w:footnote>
  <w:footnote w:id="24">
    <w:p w14:paraId="7A13E8F3" w14:textId="77777777" w:rsidR="00B57452" w:rsidRDefault="00B57452">
      <w:pPr>
        <w:pStyle w:val="FootnoteText"/>
      </w:pPr>
      <w:r>
        <w:rPr>
          <w:rStyle w:val="FootnoteReference"/>
        </w:rPr>
        <w:footnoteRef/>
      </w:r>
      <w:r>
        <w:t xml:space="preserve"> </w:t>
      </w:r>
      <w:r w:rsidR="00C955A5">
        <w:rPr>
          <w:i/>
          <w:iCs/>
          <w:snapToGrid w:val="0"/>
        </w:rPr>
        <w:t>See</w:t>
      </w:r>
      <w:r w:rsidR="00C955A5">
        <w:rPr>
          <w:snapToGrid w:val="0"/>
        </w:rPr>
        <w:t xml:space="preserve"> </w:t>
      </w:r>
      <w:r w:rsidR="00C955A5">
        <w:rPr>
          <w:i/>
          <w:iCs/>
          <w:snapToGrid w:val="0"/>
        </w:rPr>
        <w:t xml:space="preserve">Troncatel </w:t>
      </w:r>
      <w:r w:rsidR="00746200">
        <w:rPr>
          <w:i/>
          <w:iCs/>
          <w:snapToGrid w:val="0"/>
        </w:rPr>
        <w:t xml:space="preserve">Order, </w:t>
      </w:r>
      <w:r w:rsidR="00746200" w:rsidRPr="00746200">
        <w:rPr>
          <w:i/>
          <w:iCs/>
          <w:snapToGrid w:val="0"/>
        </w:rPr>
        <w:t>supra</w:t>
      </w:r>
      <w:r w:rsidR="00746200">
        <w:rPr>
          <w:i/>
          <w:iCs/>
          <w:snapToGrid w:val="0"/>
        </w:rPr>
        <w:t xml:space="preserve"> </w:t>
      </w:r>
      <w:r w:rsidR="00746200">
        <w:rPr>
          <w:iCs/>
          <w:snapToGrid w:val="0"/>
        </w:rPr>
        <w:t xml:space="preserve">note </w:t>
      </w:r>
      <w:r w:rsidR="00746200">
        <w:rPr>
          <w:iCs/>
          <w:snapToGrid w:val="0"/>
        </w:rPr>
        <w:fldChar w:fldCharType="begin"/>
      </w:r>
      <w:r w:rsidR="00746200">
        <w:rPr>
          <w:iCs/>
          <w:snapToGrid w:val="0"/>
        </w:rPr>
        <w:instrText xml:space="preserve"> NOTEREF _Ref462669422 \h </w:instrText>
      </w:r>
      <w:r w:rsidR="00746200">
        <w:rPr>
          <w:iCs/>
          <w:snapToGrid w:val="0"/>
        </w:rPr>
      </w:r>
      <w:r w:rsidR="00746200">
        <w:rPr>
          <w:iCs/>
          <w:snapToGrid w:val="0"/>
        </w:rPr>
        <w:fldChar w:fldCharType="separate"/>
      </w:r>
      <w:r w:rsidR="00ED10A1">
        <w:rPr>
          <w:iCs/>
          <w:snapToGrid w:val="0"/>
        </w:rPr>
        <w:t>4</w:t>
      </w:r>
      <w:r w:rsidR="00746200">
        <w:rPr>
          <w:iCs/>
          <w:snapToGrid w:val="0"/>
        </w:rPr>
        <w:fldChar w:fldCharType="end"/>
      </w:r>
      <w:r w:rsidR="009E6601">
        <w:rPr>
          <w:iCs/>
          <w:snapToGrid w:val="0"/>
        </w:rPr>
        <w:t>.</w:t>
      </w:r>
    </w:p>
  </w:footnote>
  <w:footnote w:id="25">
    <w:p w14:paraId="68DC9F39" w14:textId="77777777" w:rsidR="00BD07DC" w:rsidRDefault="00BD07DC" w:rsidP="00BD07DC">
      <w:pPr>
        <w:pStyle w:val="FootnoteText"/>
      </w:pPr>
      <w:r>
        <w:rPr>
          <w:rStyle w:val="FootnoteReference"/>
        </w:rPr>
        <w:footnoteRef/>
      </w:r>
      <w:r>
        <w:t xml:space="preserve"> 5 U.S.C.</w:t>
      </w:r>
      <w:r w:rsidR="00723B05">
        <w:t xml:space="preserve"> </w:t>
      </w:r>
      <w:r>
        <w:t>§ 554(a)(4)</w:t>
      </w:r>
      <w:r w:rsidR="00DE7D1D">
        <w:t>.  The APA’s legislative history suggests that the purpose of the foreign affairs exception was “to allow more cautious and sensitive consideration of those matters which ‘so affect relations with other Governments that, for example, public rule-making provisions would provoke definitely undesirable international consequences.</w:t>
      </w:r>
      <w:r w:rsidR="00C07AC0">
        <w:t>’</w:t>
      </w:r>
      <w:r w:rsidR="00DE7D1D">
        <w:t xml:space="preserve">”  </w:t>
      </w:r>
      <w:r w:rsidR="00DE7D1D">
        <w:rPr>
          <w:i/>
        </w:rPr>
        <w:t>American Ass’n of Exporters and Importers-Textile and Apparel Group v. U.S.</w:t>
      </w:r>
      <w:r w:rsidR="00DE7D1D">
        <w:t>, 751 F.2d 1239, 1249 (Fed. Cir. 1985);</w:t>
      </w:r>
      <w:r w:rsidR="00723B05">
        <w:t xml:space="preserve"> </w:t>
      </w:r>
      <w:r w:rsidR="00DE7D1D">
        <w:rPr>
          <w:i/>
        </w:rPr>
        <w:t xml:space="preserve">see also </w:t>
      </w:r>
      <w:r w:rsidR="00AE517A">
        <w:rPr>
          <w:i/>
        </w:rPr>
        <w:t>Rajah v. Mukasey</w:t>
      </w:r>
      <w:r w:rsidR="00AE517A">
        <w:t xml:space="preserve">, 544 F.2d 427, 437 (2d Cir. 2008) (finding that </w:t>
      </w:r>
      <w:r w:rsidR="00124429">
        <w:t xml:space="preserve">the </w:t>
      </w:r>
      <w:r w:rsidR="00AE517A">
        <w:t>Section 544(a)(4</w:t>
      </w:r>
      <w:r w:rsidR="00124429">
        <w:t>)</w:t>
      </w:r>
      <w:r w:rsidR="00AE517A">
        <w:t xml:space="preserve"> exception</w:t>
      </w:r>
      <w:r w:rsidR="00124429">
        <w:t xml:space="preserve"> would apply when, for example, </w:t>
      </w:r>
      <w:r w:rsidR="00735487">
        <w:t>agency action could</w:t>
      </w:r>
      <w:r w:rsidR="00AE517A">
        <w:t xml:space="preserve"> impair relations with other countries); </w:t>
      </w:r>
      <w:r w:rsidR="00723B05">
        <w:rPr>
          <w:i/>
        </w:rPr>
        <w:t>International Broth. of Teamsters v. Pena</w:t>
      </w:r>
      <w:r w:rsidR="00723B05">
        <w:t>, 17 F.3d 1478, 1486 (D.C. Cir. 1994) (</w:t>
      </w:r>
      <w:r w:rsidR="00AE517A">
        <w:t xml:space="preserve">affirming reliance on foreign affairs exception of the APA in rejecting challenge to a rule issued by the U.S. Department of Transportation without notice and comment that arose from a Memorandum of Understanding with that agency’s Mexican counterpart).  </w:t>
      </w:r>
    </w:p>
  </w:footnote>
  <w:footnote w:id="26">
    <w:p w14:paraId="72D52BBD" w14:textId="77777777" w:rsidR="00845E30" w:rsidRDefault="00845E30">
      <w:pPr>
        <w:pStyle w:val="FootnoteText"/>
      </w:pPr>
      <w:r>
        <w:rPr>
          <w:rStyle w:val="FootnoteReference"/>
        </w:rPr>
        <w:footnoteRef/>
      </w:r>
      <w:r>
        <w:t xml:space="preserve"> Petition at 9.</w:t>
      </w:r>
    </w:p>
  </w:footnote>
  <w:footnote w:id="27">
    <w:p w14:paraId="76FBF049" w14:textId="1FEE61E6" w:rsidR="007F1A19" w:rsidRPr="001B7A22" w:rsidRDefault="007F1A19" w:rsidP="007F1A19">
      <w:pPr>
        <w:pStyle w:val="FootnoteText"/>
        <w:rPr>
          <w:i/>
        </w:rPr>
      </w:pPr>
      <w:r>
        <w:rPr>
          <w:rStyle w:val="FootnoteReference"/>
        </w:rPr>
        <w:footnoteRef/>
      </w:r>
      <w:r>
        <w:t xml:space="preserve"> </w:t>
      </w:r>
      <w:r w:rsidRPr="001B7A22">
        <w:rPr>
          <w:i/>
        </w:rPr>
        <w:t>See</w:t>
      </w:r>
      <w:r>
        <w:t xml:space="preserve">, </w:t>
      </w:r>
      <w:r w:rsidRPr="00D5350B">
        <w:rPr>
          <w:i/>
        </w:rPr>
        <w:t>e.g.,</w:t>
      </w:r>
      <w:r>
        <w:rPr>
          <w:i/>
        </w:rPr>
        <w:t xml:space="preserve"> Listeners’ Guild, Inc. v. FCC, </w:t>
      </w:r>
      <w:r>
        <w:t>813 F.2d 465, 469 (D.C. C</w:t>
      </w:r>
      <w:r w:rsidRPr="00BE436C">
        <w:rPr>
          <w:color w:val="000000"/>
        </w:rPr>
        <w:t xml:space="preserve">ir. 1987), </w:t>
      </w:r>
      <w:r w:rsidRPr="00BE436C">
        <w:rPr>
          <w:i/>
          <w:color w:val="000000"/>
        </w:rPr>
        <w:t>citing, e.g.,</w:t>
      </w:r>
      <w:r w:rsidRPr="00BE436C">
        <w:rPr>
          <w:i/>
          <w:iCs/>
          <w:color w:val="000000"/>
        </w:rPr>
        <w:t> </w:t>
      </w:r>
      <w:hyperlink r:id="rId1" w:history="1">
        <w:r w:rsidRPr="00BE436C">
          <w:rPr>
            <w:rStyle w:val="Hyperlink"/>
            <w:i/>
            <w:iCs/>
            <w:color w:val="000000"/>
            <w:u w:val="none"/>
          </w:rPr>
          <w:t>Agreements Between Broadcast Licensees and the Public,</w:t>
        </w:r>
        <w:r w:rsidRPr="00BE436C">
          <w:rPr>
            <w:rStyle w:val="Hyperlink"/>
            <w:color w:val="000000"/>
            <w:u w:val="none"/>
          </w:rPr>
          <w:t> </w:t>
        </w:r>
        <w:r w:rsidR="00AB73CE">
          <w:rPr>
            <w:rStyle w:val="Hyperlink"/>
            <w:color w:val="000000"/>
            <w:u w:val="none"/>
          </w:rPr>
          <w:t xml:space="preserve">Report and Order, </w:t>
        </w:r>
        <w:r w:rsidRPr="00BE436C">
          <w:rPr>
            <w:rStyle w:val="Hyperlink"/>
            <w:color w:val="000000"/>
            <w:u w:val="none"/>
          </w:rPr>
          <w:t>57 FCC 2d 42 (1975)</w:t>
        </w:r>
      </w:hyperlink>
      <w:r w:rsidRPr="00BE436C">
        <w:rPr>
          <w:color w:val="000000"/>
        </w:rPr>
        <w:t>; </w:t>
      </w:r>
      <w:hyperlink r:id="rId2" w:anchor="co_pp_sp_1017_884" w:history="1">
        <w:r w:rsidRPr="00BE436C">
          <w:rPr>
            <w:rStyle w:val="Hyperlink"/>
            <w:i/>
            <w:iCs/>
            <w:color w:val="000000"/>
            <w:u w:val="none"/>
          </w:rPr>
          <w:t>Carnegie Broadcasting Co.,</w:t>
        </w:r>
        <w:r w:rsidRPr="00BE436C">
          <w:rPr>
            <w:rStyle w:val="Hyperlink"/>
            <w:color w:val="000000"/>
            <w:u w:val="none"/>
          </w:rPr>
          <w:t> </w:t>
        </w:r>
        <w:r w:rsidR="009D441D" w:rsidRPr="009D441D">
          <w:rPr>
            <w:rStyle w:val="Hyperlink"/>
            <w:color w:val="000000"/>
            <w:u w:val="none"/>
          </w:rPr>
          <w:t xml:space="preserve">Memorandum Opinion and Order, </w:t>
        </w:r>
        <w:r w:rsidRPr="00BE436C">
          <w:rPr>
            <w:rStyle w:val="Hyperlink"/>
            <w:color w:val="000000"/>
            <w:u w:val="none"/>
          </w:rPr>
          <w:t>5 FCC 2d 882, 884 (1966)</w:t>
        </w:r>
      </w:hyperlink>
      <w:r w:rsidRPr="00BE436C">
        <w:rPr>
          <w:color w:val="000000"/>
        </w:rPr>
        <w:t>; </w:t>
      </w:r>
      <w:hyperlink r:id="rId3" w:anchor="co_pp_sp_1016_2461" w:history="1">
        <w:r w:rsidRPr="00BE436C">
          <w:rPr>
            <w:rStyle w:val="Hyperlink"/>
            <w:i/>
            <w:iCs/>
            <w:color w:val="000000"/>
            <w:u w:val="none"/>
          </w:rPr>
          <w:t>Transcontinent Television Corp.,</w:t>
        </w:r>
        <w:r w:rsidRPr="00BE436C">
          <w:rPr>
            <w:rStyle w:val="Hyperlink"/>
            <w:color w:val="000000"/>
            <w:u w:val="none"/>
          </w:rPr>
          <w:t> 44 FCC 2451, 2461 (1961)</w:t>
        </w:r>
      </w:hyperlink>
      <w:r w:rsidRPr="00BE436C">
        <w:rPr>
          <w:color w:val="000000"/>
        </w:rPr>
        <w:t>.</w:t>
      </w:r>
    </w:p>
  </w:footnote>
  <w:footnote w:id="28">
    <w:p w14:paraId="3A3E1FD3" w14:textId="3359AA4A" w:rsidR="007472DB" w:rsidRPr="0095745A" w:rsidRDefault="007472DB">
      <w:pPr>
        <w:pStyle w:val="FootnoteText"/>
        <w:rPr>
          <w:u w:val="single"/>
        </w:rPr>
      </w:pPr>
      <w:r>
        <w:rPr>
          <w:rStyle w:val="FootnoteReference"/>
        </w:rPr>
        <w:footnoteRef/>
      </w:r>
      <w:r>
        <w:t xml:space="preserve"> </w:t>
      </w:r>
      <w:r w:rsidRPr="007472DB">
        <w:rPr>
          <w:i/>
        </w:rPr>
        <w:t>See</w:t>
      </w:r>
      <w:r>
        <w:t xml:space="preserve">, </w:t>
      </w:r>
      <w:r w:rsidRPr="00D5350B">
        <w:rPr>
          <w:i/>
        </w:rPr>
        <w:t>e.g.,</w:t>
      </w:r>
      <w:r>
        <w:rPr>
          <w:i/>
        </w:rPr>
        <w:t xml:space="preserve"> </w:t>
      </w:r>
      <w:r w:rsidR="00AD5571">
        <w:rPr>
          <w:i/>
        </w:rPr>
        <w:t xml:space="preserve">Yale B’cstg Co. v. FCC, </w:t>
      </w:r>
      <w:r w:rsidR="00AD5571">
        <w:t xml:space="preserve">478 F.2d 594, 602 (D.C. Cir. 1973); </w:t>
      </w:r>
      <w:r>
        <w:rPr>
          <w:i/>
        </w:rPr>
        <w:t>Motions for Declaratory Rulings Regarding Commission Rules and Policies,</w:t>
      </w:r>
      <w:r w:rsidR="00FC0B1D">
        <w:rPr>
          <w:i/>
        </w:rPr>
        <w:t xml:space="preserve"> </w:t>
      </w:r>
      <w:r w:rsidR="00FC0B1D">
        <w:t xml:space="preserve">Memorandum Opinion and Order, </w:t>
      </w:r>
      <w:r>
        <w:t xml:space="preserve">14 FCC Rcd 12752, 12758 (1999); </w:t>
      </w:r>
      <w:r w:rsidRPr="007472DB">
        <w:rPr>
          <w:i/>
        </w:rPr>
        <w:t>Improving Public Safety Communications in the 800 MHz Band</w:t>
      </w:r>
      <w:r>
        <w:t xml:space="preserve">, </w:t>
      </w:r>
      <w:r w:rsidR="003E356A">
        <w:t xml:space="preserve">Order, </w:t>
      </w:r>
      <w:r>
        <w:t xml:space="preserve">26 </w:t>
      </w:r>
      <w:r w:rsidR="0095745A">
        <w:t>FCC Rcd 2035, 2039 (PSHSB 2011)</w:t>
      </w:r>
      <w:r w:rsidR="0095745A" w:rsidRPr="004139E2">
        <w:t xml:space="preserve">; </w:t>
      </w:r>
      <w:r w:rsidR="0095745A" w:rsidRPr="004139E2">
        <w:rPr>
          <w:i/>
        </w:rPr>
        <w:t>see also,</w:t>
      </w:r>
      <w:r w:rsidR="0095745A" w:rsidRPr="004139E2">
        <w:t xml:space="preserve"> </w:t>
      </w:r>
      <w:r w:rsidR="0095745A" w:rsidRPr="004139E2">
        <w:rPr>
          <w:i/>
        </w:rPr>
        <w:t>Inquiry Concerning Political Broadcast Requirements</w:t>
      </w:r>
      <w:r w:rsidR="0095745A" w:rsidRPr="00645651">
        <w:rPr>
          <w:i/>
        </w:rPr>
        <w:t xml:space="preserve">, </w:t>
      </w:r>
      <w:r w:rsidR="0095745A" w:rsidRPr="00645651">
        <w:t>Letter, 40 FCC 295</w:t>
      </w:r>
      <w:r w:rsidR="00000367" w:rsidRPr="00645651">
        <w:t>, 295</w:t>
      </w:r>
      <w:r w:rsidR="0095745A" w:rsidRPr="00645651">
        <w:t xml:space="preserve"> (1958)(“Agencies are not required to issue </w:t>
      </w:r>
      <w:r w:rsidR="004139E2" w:rsidRPr="004139E2">
        <w:t>[declaratory rulings]</w:t>
      </w:r>
      <w:r w:rsidR="0095745A" w:rsidRPr="004139E2">
        <w:t xml:space="preserve"> merely because a request is made th</w:t>
      </w:r>
      <w:r w:rsidR="0095745A" w:rsidRPr="00645651">
        <w:t>erefor.”)</w:t>
      </w:r>
      <w:r w:rsidR="00000367" w:rsidRPr="00645651">
        <w:t>.</w:t>
      </w:r>
      <w:r w:rsidR="00AD557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3328" w14:textId="77777777" w:rsidR="002F6A8D" w:rsidRDefault="002F6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01FE3" w14:textId="3AE5680A" w:rsidR="00533BC3" w:rsidRDefault="00533BC3" w:rsidP="00810B6F">
    <w:pPr>
      <w:pStyle w:val="Header"/>
      <w:rPr>
        <w:b w:val="0"/>
      </w:rPr>
    </w:pPr>
    <w:r>
      <w:tab/>
      <w:t>Federal Communications Commission</w:t>
    </w:r>
    <w:r>
      <w:tab/>
    </w:r>
    <w:r w:rsidR="00ED10A1">
      <w:t>DA 16-1223</w:t>
    </w:r>
  </w:p>
  <w:p w14:paraId="5264111E" w14:textId="77777777" w:rsidR="00533BC3" w:rsidRDefault="00D3743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1E25FB4" wp14:editId="047E4F0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5EA40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3F19AF1" w14:textId="77777777" w:rsidR="00533BC3" w:rsidRDefault="00533BC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3871" w14:textId="70C48475" w:rsidR="00533BC3" w:rsidRDefault="00D37432" w:rsidP="00810B6F">
    <w:pPr>
      <w:pStyle w:val="Header"/>
      <w:rPr>
        <w:b w:val="0"/>
      </w:rPr>
    </w:pPr>
    <w:r>
      <w:rPr>
        <w:noProof/>
      </w:rPr>
      <mc:AlternateContent>
        <mc:Choice Requires="wps">
          <w:drawing>
            <wp:anchor distT="0" distB="0" distL="114300" distR="114300" simplePos="0" relativeHeight="251658240" behindDoc="1" locked="0" layoutInCell="0" allowOverlap="1" wp14:anchorId="7CAAF384" wp14:editId="454D1AB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D80AB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533BC3">
      <w:tab/>
      <w:t>Federal Communications Commission</w:t>
    </w:r>
    <w:r w:rsidR="00533BC3">
      <w:tab/>
    </w:r>
    <w:r w:rsidR="00CA2B67">
      <w:rPr>
        <w:spacing w:val="-2"/>
      </w:rPr>
      <w:t>DA 16-</w:t>
    </w:r>
    <w:r w:rsidR="0044480D">
      <w:rPr>
        <w:spacing w:val="-2"/>
      </w:rPr>
      <w:t>1223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32"/>
    <w:rsid w:val="00000367"/>
    <w:rsid w:val="00001E73"/>
    <w:rsid w:val="00031CB9"/>
    <w:rsid w:val="00032028"/>
    <w:rsid w:val="00036039"/>
    <w:rsid w:val="00037F90"/>
    <w:rsid w:val="000447E5"/>
    <w:rsid w:val="000569AA"/>
    <w:rsid w:val="000809B1"/>
    <w:rsid w:val="000828A2"/>
    <w:rsid w:val="000875BF"/>
    <w:rsid w:val="00095242"/>
    <w:rsid w:val="00095EA2"/>
    <w:rsid w:val="00096D8C"/>
    <w:rsid w:val="000C0B65"/>
    <w:rsid w:val="000C4E02"/>
    <w:rsid w:val="000D7FD2"/>
    <w:rsid w:val="000E05FE"/>
    <w:rsid w:val="000E3D42"/>
    <w:rsid w:val="000F1356"/>
    <w:rsid w:val="000F4B34"/>
    <w:rsid w:val="000F7F2C"/>
    <w:rsid w:val="001029EB"/>
    <w:rsid w:val="00111432"/>
    <w:rsid w:val="001160F6"/>
    <w:rsid w:val="0012229C"/>
    <w:rsid w:val="00122BD5"/>
    <w:rsid w:val="00123098"/>
    <w:rsid w:val="00124429"/>
    <w:rsid w:val="00125459"/>
    <w:rsid w:val="00133F79"/>
    <w:rsid w:val="001362A2"/>
    <w:rsid w:val="0014791C"/>
    <w:rsid w:val="00171D71"/>
    <w:rsid w:val="00183B15"/>
    <w:rsid w:val="00194A66"/>
    <w:rsid w:val="001A54B2"/>
    <w:rsid w:val="001B7A22"/>
    <w:rsid w:val="001C7620"/>
    <w:rsid w:val="001D1FDA"/>
    <w:rsid w:val="001D6BCF"/>
    <w:rsid w:val="001E01CA"/>
    <w:rsid w:val="001F57A1"/>
    <w:rsid w:val="002220F2"/>
    <w:rsid w:val="00225381"/>
    <w:rsid w:val="00247442"/>
    <w:rsid w:val="0026776E"/>
    <w:rsid w:val="00271C21"/>
    <w:rsid w:val="002734D3"/>
    <w:rsid w:val="002756EC"/>
    <w:rsid w:val="00275CF5"/>
    <w:rsid w:val="0028301F"/>
    <w:rsid w:val="00285017"/>
    <w:rsid w:val="00287D39"/>
    <w:rsid w:val="002971DC"/>
    <w:rsid w:val="002A2D2E"/>
    <w:rsid w:val="002A6E27"/>
    <w:rsid w:val="002C00E8"/>
    <w:rsid w:val="002C0B1A"/>
    <w:rsid w:val="002E1605"/>
    <w:rsid w:val="002F5197"/>
    <w:rsid w:val="002F59DD"/>
    <w:rsid w:val="002F6A8D"/>
    <w:rsid w:val="00336282"/>
    <w:rsid w:val="00343123"/>
    <w:rsid w:val="00343749"/>
    <w:rsid w:val="00352984"/>
    <w:rsid w:val="003610E7"/>
    <w:rsid w:val="003660ED"/>
    <w:rsid w:val="00380398"/>
    <w:rsid w:val="00390757"/>
    <w:rsid w:val="00394938"/>
    <w:rsid w:val="003B0550"/>
    <w:rsid w:val="003B38DE"/>
    <w:rsid w:val="003B694F"/>
    <w:rsid w:val="003E356A"/>
    <w:rsid w:val="003F171C"/>
    <w:rsid w:val="003F57FE"/>
    <w:rsid w:val="00401EB5"/>
    <w:rsid w:val="0040517F"/>
    <w:rsid w:val="00412FC5"/>
    <w:rsid w:val="00413710"/>
    <w:rsid w:val="004139E2"/>
    <w:rsid w:val="00422276"/>
    <w:rsid w:val="004242F1"/>
    <w:rsid w:val="00432ED7"/>
    <w:rsid w:val="0044480D"/>
    <w:rsid w:val="0044595A"/>
    <w:rsid w:val="00445A00"/>
    <w:rsid w:val="00451B0F"/>
    <w:rsid w:val="004704B8"/>
    <w:rsid w:val="004940E7"/>
    <w:rsid w:val="004945EF"/>
    <w:rsid w:val="00495DED"/>
    <w:rsid w:val="00496BBB"/>
    <w:rsid w:val="004B72BD"/>
    <w:rsid w:val="004C2EE3"/>
    <w:rsid w:val="004C67F4"/>
    <w:rsid w:val="004D624B"/>
    <w:rsid w:val="004E35C8"/>
    <w:rsid w:val="004E4A22"/>
    <w:rsid w:val="004F0363"/>
    <w:rsid w:val="00511968"/>
    <w:rsid w:val="00524E4C"/>
    <w:rsid w:val="00533BC3"/>
    <w:rsid w:val="00542723"/>
    <w:rsid w:val="005461F2"/>
    <w:rsid w:val="00552F82"/>
    <w:rsid w:val="0055614C"/>
    <w:rsid w:val="005627D8"/>
    <w:rsid w:val="00562FD6"/>
    <w:rsid w:val="005A194C"/>
    <w:rsid w:val="005D0C15"/>
    <w:rsid w:val="005D437F"/>
    <w:rsid w:val="005E0BAB"/>
    <w:rsid w:val="005E14C2"/>
    <w:rsid w:val="005F35F4"/>
    <w:rsid w:val="005F569D"/>
    <w:rsid w:val="00607BA5"/>
    <w:rsid w:val="0061180A"/>
    <w:rsid w:val="00611F0E"/>
    <w:rsid w:val="00626EB6"/>
    <w:rsid w:val="00645651"/>
    <w:rsid w:val="00655D03"/>
    <w:rsid w:val="00656A05"/>
    <w:rsid w:val="00662E30"/>
    <w:rsid w:val="00677EF8"/>
    <w:rsid w:val="00683388"/>
    <w:rsid w:val="00683F84"/>
    <w:rsid w:val="006A328E"/>
    <w:rsid w:val="006A6A81"/>
    <w:rsid w:val="006B56C0"/>
    <w:rsid w:val="006C1DBA"/>
    <w:rsid w:val="006D0BB1"/>
    <w:rsid w:val="006D562A"/>
    <w:rsid w:val="006F7393"/>
    <w:rsid w:val="0070224F"/>
    <w:rsid w:val="00707AC8"/>
    <w:rsid w:val="007115F7"/>
    <w:rsid w:val="00721E4D"/>
    <w:rsid w:val="00723B05"/>
    <w:rsid w:val="00732C8B"/>
    <w:rsid w:val="00735487"/>
    <w:rsid w:val="00746200"/>
    <w:rsid w:val="007472DB"/>
    <w:rsid w:val="007520E4"/>
    <w:rsid w:val="0077272A"/>
    <w:rsid w:val="00774F68"/>
    <w:rsid w:val="00785689"/>
    <w:rsid w:val="00793FF8"/>
    <w:rsid w:val="00794EE8"/>
    <w:rsid w:val="00796099"/>
    <w:rsid w:val="0079754B"/>
    <w:rsid w:val="007A1E6D"/>
    <w:rsid w:val="007B0EB2"/>
    <w:rsid w:val="007B2AAA"/>
    <w:rsid w:val="007B446F"/>
    <w:rsid w:val="007E0C5D"/>
    <w:rsid w:val="007F1464"/>
    <w:rsid w:val="007F1A19"/>
    <w:rsid w:val="007F5DF7"/>
    <w:rsid w:val="00810B6F"/>
    <w:rsid w:val="00816E91"/>
    <w:rsid w:val="00822CE0"/>
    <w:rsid w:val="00832D98"/>
    <w:rsid w:val="00840683"/>
    <w:rsid w:val="00841AB1"/>
    <w:rsid w:val="00845E30"/>
    <w:rsid w:val="00846610"/>
    <w:rsid w:val="00854487"/>
    <w:rsid w:val="0088786B"/>
    <w:rsid w:val="00896B36"/>
    <w:rsid w:val="008B75EC"/>
    <w:rsid w:val="008C68F1"/>
    <w:rsid w:val="008D6853"/>
    <w:rsid w:val="009010B9"/>
    <w:rsid w:val="009021A6"/>
    <w:rsid w:val="00902357"/>
    <w:rsid w:val="00916D0F"/>
    <w:rsid w:val="00921803"/>
    <w:rsid w:val="00922C44"/>
    <w:rsid w:val="00926503"/>
    <w:rsid w:val="0095745A"/>
    <w:rsid w:val="00971E7D"/>
    <w:rsid w:val="009726D8"/>
    <w:rsid w:val="00973F6E"/>
    <w:rsid w:val="00991713"/>
    <w:rsid w:val="009B17D5"/>
    <w:rsid w:val="009B5021"/>
    <w:rsid w:val="009C6528"/>
    <w:rsid w:val="009D0EA0"/>
    <w:rsid w:val="009D441D"/>
    <w:rsid w:val="009E1C7C"/>
    <w:rsid w:val="009E3790"/>
    <w:rsid w:val="009E6601"/>
    <w:rsid w:val="009F0D40"/>
    <w:rsid w:val="009F76DB"/>
    <w:rsid w:val="00A157C6"/>
    <w:rsid w:val="00A2279B"/>
    <w:rsid w:val="00A24545"/>
    <w:rsid w:val="00A32C3B"/>
    <w:rsid w:val="00A45F4F"/>
    <w:rsid w:val="00A57B53"/>
    <w:rsid w:val="00A600A9"/>
    <w:rsid w:val="00A736D1"/>
    <w:rsid w:val="00A81D62"/>
    <w:rsid w:val="00A921F8"/>
    <w:rsid w:val="00AA55B7"/>
    <w:rsid w:val="00AA5B9E"/>
    <w:rsid w:val="00AB2407"/>
    <w:rsid w:val="00AB53DF"/>
    <w:rsid w:val="00AB73CE"/>
    <w:rsid w:val="00AD5571"/>
    <w:rsid w:val="00AE3365"/>
    <w:rsid w:val="00AE517A"/>
    <w:rsid w:val="00B073F9"/>
    <w:rsid w:val="00B07E5C"/>
    <w:rsid w:val="00B2576E"/>
    <w:rsid w:val="00B26E96"/>
    <w:rsid w:val="00B517F1"/>
    <w:rsid w:val="00B57452"/>
    <w:rsid w:val="00B714F7"/>
    <w:rsid w:val="00B811F7"/>
    <w:rsid w:val="00BA5DC6"/>
    <w:rsid w:val="00BA6196"/>
    <w:rsid w:val="00BB45FF"/>
    <w:rsid w:val="00BC3569"/>
    <w:rsid w:val="00BC6D8C"/>
    <w:rsid w:val="00BD03E8"/>
    <w:rsid w:val="00BD07DC"/>
    <w:rsid w:val="00BD37D1"/>
    <w:rsid w:val="00BE062D"/>
    <w:rsid w:val="00BE436C"/>
    <w:rsid w:val="00C07AC0"/>
    <w:rsid w:val="00C213DE"/>
    <w:rsid w:val="00C3006F"/>
    <w:rsid w:val="00C33AB9"/>
    <w:rsid w:val="00C34006"/>
    <w:rsid w:val="00C416DE"/>
    <w:rsid w:val="00C426B1"/>
    <w:rsid w:val="00C45D46"/>
    <w:rsid w:val="00C5062F"/>
    <w:rsid w:val="00C66160"/>
    <w:rsid w:val="00C70EB6"/>
    <w:rsid w:val="00C721AC"/>
    <w:rsid w:val="00C77ACD"/>
    <w:rsid w:val="00C90D6A"/>
    <w:rsid w:val="00C955A5"/>
    <w:rsid w:val="00CA247E"/>
    <w:rsid w:val="00CA2B67"/>
    <w:rsid w:val="00CC72B6"/>
    <w:rsid w:val="00D0218D"/>
    <w:rsid w:val="00D0313F"/>
    <w:rsid w:val="00D133B0"/>
    <w:rsid w:val="00D21A65"/>
    <w:rsid w:val="00D2309A"/>
    <w:rsid w:val="00D234A3"/>
    <w:rsid w:val="00D25FB5"/>
    <w:rsid w:val="00D26C36"/>
    <w:rsid w:val="00D30734"/>
    <w:rsid w:val="00D349FB"/>
    <w:rsid w:val="00D37432"/>
    <w:rsid w:val="00D44223"/>
    <w:rsid w:val="00D55891"/>
    <w:rsid w:val="00DA2529"/>
    <w:rsid w:val="00DB130A"/>
    <w:rsid w:val="00DB2EBB"/>
    <w:rsid w:val="00DC10A1"/>
    <w:rsid w:val="00DC655F"/>
    <w:rsid w:val="00DD0B59"/>
    <w:rsid w:val="00DD7EBD"/>
    <w:rsid w:val="00DE7D1D"/>
    <w:rsid w:val="00DF62B6"/>
    <w:rsid w:val="00E026E7"/>
    <w:rsid w:val="00E07225"/>
    <w:rsid w:val="00E12927"/>
    <w:rsid w:val="00E178E3"/>
    <w:rsid w:val="00E21C93"/>
    <w:rsid w:val="00E5409F"/>
    <w:rsid w:val="00E619BB"/>
    <w:rsid w:val="00E63CB7"/>
    <w:rsid w:val="00E66459"/>
    <w:rsid w:val="00E75A24"/>
    <w:rsid w:val="00EA40B1"/>
    <w:rsid w:val="00EA5E2D"/>
    <w:rsid w:val="00ED10A1"/>
    <w:rsid w:val="00EE6488"/>
    <w:rsid w:val="00EF28B1"/>
    <w:rsid w:val="00F021FA"/>
    <w:rsid w:val="00F10324"/>
    <w:rsid w:val="00F10830"/>
    <w:rsid w:val="00F2096A"/>
    <w:rsid w:val="00F56F25"/>
    <w:rsid w:val="00F61E47"/>
    <w:rsid w:val="00F62E97"/>
    <w:rsid w:val="00F62FCD"/>
    <w:rsid w:val="00F64209"/>
    <w:rsid w:val="00F7070A"/>
    <w:rsid w:val="00F7458F"/>
    <w:rsid w:val="00F8429A"/>
    <w:rsid w:val="00F93BF5"/>
    <w:rsid w:val="00FA11AD"/>
    <w:rsid w:val="00FC0B1D"/>
    <w:rsid w:val="00FC77DB"/>
    <w:rsid w:val="00FE0C3C"/>
    <w:rsid w:val="00FE3D79"/>
    <w:rsid w:val="00FF372B"/>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2E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Footnote Text Char1 Char1,Footnote Text Char1 Char Char Char,Footnote Text Char2 Char Char Char Char,Footnote Text Char Char Char Char Char Char,Footnote Text Char1,Footnote Text Char Char,fn,f,FOOTN"/>
    <w:link w:val="FootnoteTextChar3"/>
    <w:rsid w:val="000E3D42"/>
    <w:pPr>
      <w:spacing w:after="120"/>
    </w:pPr>
  </w:style>
  <w:style w:type="character" w:styleId="FootnoteReference">
    <w:name w:val="footnote reference"/>
    <w:aliases w:val="Style 12,(NECG) Footnote Reference,o,fr,Style 3,Appel note de bas de p,Style 124,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FollowedHyperlink">
    <w:name w:val="FollowedHyperlink"/>
    <w:rsid w:val="00380398"/>
    <w:rPr>
      <w:color w:val="954F72"/>
      <w:u w:val="single"/>
    </w:rPr>
  </w:style>
  <w:style w:type="paragraph" w:styleId="BalloonText">
    <w:name w:val="Balloon Text"/>
    <w:basedOn w:val="Normal"/>
    <w:link w:val="BalloonTextChar"/>
    <w:rsid w:val="004B72BD"/>
    <w:rPr>
      <w:rFonts w:ascii="Segoe UI" w:hAnsi="Segoe UI" w:cs="Segoe UI"/>
      <w:sz w:val="18"/>
      <w:szCs w:val="18"/>
    </w:rPr>
  </w:style>
  <w:style w:type="character" w:customStyle="1" w:styleId="BalloonTextChar">
    <w:name w:val="Balloon Text Char"/>
    <w:link w:val="BalloonText"/>
    <w:rsid w:val="004B72BD"/>
    <w:rPr>
      <w:rFonts w:ascii="Segoe UI" w:hAnsi="Segoe UI" w:cs="Segoe UI"/>
      <w:snapToGrid w:val="0"/>
      <w:kern w:val="28"/>
      <w:sz w:val="18"/>
      <w:szCs w:val="18"/>
    </w:rPr>
  </w:style>
  <w:style w:type="character" w:customStyle="1" w:styleId="FootnoteTextChar3">
    <w:name w:val="Footnote Text Char3"/>
    <w:aliases w:val="Footnote Text Char Char1,Footnote Text Char2 Char,Footnote Text Char1 Char1 Char,Footnote Text Char1 Char Char Char Char,Footnote Text Char2 Char Char Char Char Char,Footnote Text Char Char Char Char Char Char Char,fn Char,f Char"/>
    <w:link w:val="FootnoteText"/>
    <w:rsid w:val="000C4E02"/>
  </w:style>
  <w:style w:type="character" w:styleId="CommentReference">
    <w:name w:val="annotation reference"/>
    <w:basedOn w:val="DefaultParagraphFont"/>
    <w:rsid w:val="009B17D5"/>
    <w:rPr>
      <w:sz w:val="16"/>
      <w:szCs w:val="16"/>
    </w:rPr>
  </w:style>
  <w:style w:type="paragraph" w:styleId="CommentText">
    <w:name w:val="annotation text"/>
    <w:basedOn w:val="Normal"/>
    <w:link w:val="CommentTextChar"/>
    <w:rsid w:val="009B17D5"/>
    <w:rPr>
      <w:sz w:val="20"/>
    </w:rPr>
  </w:style>
  <w:style w:type="character" w:customStyle="1" w:styleId="CommentTextChar">
    <w:name w:val="Comment Text Char"/>
    <w:basedOn w:val="DefaultParagraphFont"/>
    <w:link w:val="CommentText"/>
    <w:rsid w:val="009B17D5"/>
    <w:rPr>
      <w:snapToGrid w:val="0"/>
      <w:kern w:val="28"/>
    </w:rPr>
  </w:style>
  <w:style w:type="paragraph" w:styleId="CommentSubject">
    <w:name w:val="annotation subject"/>
    <w:basedOn w:val="CommentText"/>
    <w:next w:val="CommentText"/>
    <w:link w:val="CommentSubjectChar"/>
    <w:rsid w:val="009B17D5"/>
    <w:rPr>
      <w:b/>
      <w:bCs/>
    </w:rPr>
  </w:style>
  <w:style w:type="character" w:customStyle="1" w:styleId="CommentSubjectChar">
    <w:name w:val="Comment Subject Char"/>
    <w:basedOn w:val="CommentTextChar"/>
    <w:link w:val="CommentSubject"/>
    <w:rsid w:val="009B17D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Footnote Text Char1 Char1,Footnote Text Char1 Char Char Char,Footnote Text Char2 Char Char Char Char,Footnote Text Char Char Char Char Char Char,Footnote Text Char1,Footnote Text Char Char,fn,f,FOOTN"/>
    <w:link w:val="FootnoteTextChar3"/>
    <w:rsid w:val="000E3D42"/>
    <w:pPr>
      <w:spacing w:after="120"/>
    </w:pPr>
  </w:style>
  <w:style w:type="character" w:styleId="FootnoteReference">
    <w:name w:val="footnote reference"/>
    <w:aliases w:val="Style 12,(NECG) Footnote Reference,o,fr,Style 3,Appel note de bas de p,Style 124,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FollowedHyperlink">
    <w:name w:val="FollowedHyperlink"/>
    <w:rsid w:val="00380398"/>
    <w:rPr>
      <w:color w:val="954F72"/>
      <w:u w:val="single"/>
    </w:rPr>
  </w:style>
  <w:style w:type="paragraph" w:styleId="BalloonText">
    <w:name w:val="Balloon Text"/>
    <w:basedOn w:val="Normal"/>
    <w:link w:val="BalloonTextChar"/>
    <w:rsid w:val="004B72BD"/>
    <w:rPr>
      <w:rFonts w:ascii="Segoe UI" w:hAnsi="Segoe UI" w:cs="Segoe UI"/>
      <w:sz w:val="18"/>
      <w:szCs w:val="18"/>
    </w:rPr>
  </w:style>
  <w:style w:type="character" w:customStyle="1" w:styleId="BalloonTextChar">
    <w:name w:val="Balloon Text Char"/>
    <w:link w:val="BalloonText"/>
    <w:rsid w:val="004B72BD"/>
    <w:rPr>
      <w:rFonts w:ascii="Segoe UI" w:hAnsi="Segoe UI" w:cs="Segoe UI"/>
      <w:snapToGrid w:val="0"/>
      <w:kern w:val="28"/>
      <w:sz w:val="18"/>
      <w:szCs w:val="18"/>
    </w:rPr>
  </w:style>
  <w:style w:type="character" w:customStyle="1" w:styleId="FootnoteTextChar3">
    <w:name w:val="Footnote Text Char3"/>
    <w:aliases w:val="Footnote Text Char Char1,Footnote Text Char2 Char,Footnote Text Char1 Char1 Char,Footnote Text Char1 Char Char Char Char,Footnote Text Char2 Char Char Char Char Char,Footnote Text Char Char Char Char Char Char Char,fn Char,f Char"/>
    <w:link w:val="FootnoteText"/>
    <w:rsid w:val="000C4E02"/>
  </w:style>
  <w:style w:type="character" w:styleId="CommentReference">
    <w:name w:val="annotation reference"/>
    <w:basedOn w:val="DefaultParagraphFont"/>
    <w:rsid w:val="009B17D5"/>
    <w:rPr>
      <w:sz w:val="16"/>
      <w:szCs w:val="16"/>
    </w:rPr>
  </w:style>
  <w:style w:type="paragraph" w:styleId="CommentText">
    <w:name w:val="annotation text"/>
    <w:basedOn w:val="Normal"/>
    <w:link w:val="CommentTextChar"/>
    <w:rsid w:val="009B17D5"/>
    <w:rPr>
      <w:sz w:val="20"/>
    </w:rPr>
  </w:style>
  <w:style w:type="character" w:customStyle="1" w:styleId="CommentTextChar">
    <w:name w:val="Comment Text Char"/>
    <w:basedOn w:val="DefaultParagraphFont"/>
    <w:link w:val="CommentText"/>
    <w:rsid w:val="009B17D5"/>
    <w:rPr>
      <w:snapToGrid w:val="0"/>
      <w:kern w:val="28"/>
    </w:rPr>
  </w:style>
  <w:style w:type="paragraph" w:styleId="CommentSubject">
    <w:name w:val="annotation subject"/>
    <w:basedOn w:val="CommentText"/>
    <w:next w:val="CommentText"/>
    <w:link w:val="CommentSubjectChar"/>
    <w:rsid w:val="009B17D5"/>
    <w:rPr>
      <w:b/>
      <w:bCs/>
    </w:rPr>
  </w:style>
  <w:style w:type="character" w:customStyle="1" w:styleId="CommentSubjectChar">
    <w:name w:val="Comment Subject Char"/>
    <w:basedOn w:val="CommentTextChar"/>
    <w:link w:val="CommentSubject"/>
    <w:rsid w:val="009B17D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30510">
      <w:bodyDiv w:val="1"/>
      <w:marLeft w:val="0"/>
      <w:marRight w:val="0"/>
      <w:marTop w:val="0"/>
      <w:marBottom w:val="0"/>
      <w:divBdr>
        <w:top w:val="none" w:sz="0" w:space="0" w:color="auto"/>
        <w:left w:val="none" w:sz="0" w:space="0" w:color="auto"/>
        <w:bottom w:val="none" w:sz="0" w:space="0" w:color="auto"/>
        <w:right w:val="none" w:sz="0" w:space="0" w:color="auto"/>
      </w:divBdr>
      <w:divsChild>
        <w:div w:id="33624763">
          <w:marLeft w:val="0"/>
          <w:marRight w:val="0"/>
          <w:marTop w:val="0"/>
          <w:marBottom w:val="0"/>
          <w:divBdr>
            <w:top w:val="none" w:sz="0" w:space="0" w:color="auto"/>
            <w:left w:val="none" w:sz="0" w:space="0" w:color="auto"/>
            <w:bottom w:val="none" w:sz="0" w:space="0" w:color="auto"/>
            <w:right w:val="none" w:sz="0" w:space="0" w:color="auto"/>
          </w:divBdr>
          <w:divsChild>
            <w:div w:id="1919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7&amp;cite=47CFRS0.191&amp;originatingDoc=Ia94fa435b1fe11dbb38df5bc58c34d92&amp;refType=LQ&amp;originationContext=document&amp;transitionType=DocumentItem&amp;contextData=(sc.Search)"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Y&amp;pubNum=1016&amp;cite=44FCC2451&amp;originatingDoc=I76571cfd94f111d993e6d35cc61aab4a&amp;refType=CA&amp;fi=co_pp_sp_1016_2461&amp;originationContext=document&amp;transitionType=DocumentItem&amp;contextData=(sc.DocLink)" TargetMode="External"/><Relationship Id="rId2" Type="http://schemas.openxmlformats.org/officeDocument/2006/relationships/hyperlink" Target="https://1.next.westlaw.com/Link/Document/FullText?findType=Y&amp;serNum=1966018022&amp;pubNum=0001017&amp;originatingDoc=I76571cfd94f111d993e6d35cc61aab4a&amp;refType=CA&amp;fi=co_pp_sp_1017_884&amp;originationContext=document&amp;transitionType=DocumentItem&amp;contextData=(sc.DocLink)" TargetMode="External"/><Relationship Id="rId1" Type="http://schemas.openxmlformats.org/officeDocument/2006/relationships/hyperlink" Target="https://1.next.westlaw.com/Link/Document/FullText?findType=Y&amp;serNum=1975029443&amp;pubNum=0001017&amp;originatingDoc=I76571cfd94f111d993e6d35cc61aab4a&amp;refType=CA&amp;originationContext=document&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1414</Words>
  <Characters>7972</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9403</CharactersWithSpaces>
  <SharedDoc>false</SharedDoc>
  <HyperlinkBase> </HyperlinkBase>
  <HLinks>
    <vt:vector size="18" baseType="variant">
      <vt:variant>
        <vt:i4>917534</vt:i4>
      </vt:variant>
      <vt:variant>
        <vt:i4>6</vt:i4>
      </vt:variant>
      <vt:variant>
        <vt:i4>0</vt:i4>
      </vt:variant>
      <vt:variant>
        <vt:i4>5</vt:i4>
      </vt:variant>
      <vt:variant>
        <vt:lpwstr>https://1.next.westlaw.com/Link/Document/FullText?findType=Y&amp;pubNum=1016&amp;cite=44FCC2451&amp;originatingDoc=I76571cfd94f111d993e6d35cc61aab4a&amp;refType=CA&amp;fi=co_pp_sp_1016_2461&amp;originationContext=document&amp;transitionType=DocumentItem&amp;contextData=(sc.DocLink)</vt:lpwstr>
      </vt:variant>
      <vt:variant>
        <vt:lpwstr>co_pp_sp_1016_2461</vt:lpwstr>
      </vt:variant>
      <vt:variant>
        <vt:i4>3407972</vt:i4>
      </vt:variant>
      <vt:variant>
        <vt:i4>3</vt:i4>
      </vt:variant>
      <vt:variant>
        <vt:i4>0</vt:i4>
      </vt:variant>
      <vt:variant>
        <vt:i4>5</vt:i4>
      </vt:variant>
      <vt:variant>
        <vt:lpwstr>https://1.next.westlaw.com/Link/Document/FullText?findType=Y&amp;serNum=1966018022&amp;pubNum=0001017&amp;originatingDoc=I76571cfd94f111d993e6d35cc61aab4a&amp;refType=CA&amp;fi=co_pp_sp_1017_884&amp;originationContext=document&amp;transitionType=DocumentItem&amp;contextData=(sc.DocLink)</vt:lpwstr>
      </vt:variant>
      <vt:variant>
        <vt:lpwstr>co_pp_sp_1017_884</vt:lpwstr>
      </vt:variant>
      <vt:variant>
        <vt:i4>7667759</vt:i4>
      </vt:variant>
      <vt:variant>
        <vt:i4>0</vt:i4>
      </vt:variant>
      <vt:variant>
        <vt:i4>0</vt:i4>
      </vt:variant>
      <vt:variant>
        <vt:i4>5</vt:i4>
      </vt:variant>
      <vt:variant>
        <vt:lpwstr>https://1.next.westlaw.com/Link/Document/FullText?findType=Y&amp;serNum=1975029443&amp;pubNum=0001017&amp;originatingDoc=I76571cfd94f111d993e6d35cc61aab4a&amp;refType=CA&amp;originationContext=document&amp;transitionType=DocumentItem&amp;contextData=(sc.DocLink)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2016-10-27T16:56:00Z</dcterms:created>
  <dcterms:modified xsi:type="dcterms:W3CDTF">2016-10-27T16:56:00Z</dcterms:modified>
  <cp:category> </cp:category>
  <cp:contentStatus> </cp:contentStatus>
</cp:coreProperties>
</file>