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59C" w:rsidRDefault="0025359C" w:rsidP="0025359C">
      <w:pPr>
        <w:pStyle w:val="Header"/>
        <w:tabs>
          <w:tab w:val="clear" w:pos="4320"/>
          <w:tab w:val="clear" w:pos="8640"/>
        </w:tabs>
        <w:sectPr w:rsidR="0025359C">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0" w:name="_GoBack"/>
      <w:bookmarkEnd w:id="0"/>
    </w:p>
    <w:p w:rsidR="0025359C" w:rsidRDefault="0025359C" w:rsidP="0025359C">
      <w:pPr>
        <w:pStyle w:val="Header"/>
        <w:tabs>
          <w:tab w:val="clear" w:pos="4320"/>
          <w:tab w:val="clear" w:pos="8640"/>
        </w:tabs>
        <w:sectPr w:rsidR="0025359C" w:rsidSect="001B64A7">
          <w:headerReference w:type="first" r:id="rId14"/>
          <w:type w:val="continuous"/>
          <w:pgSz w:w="12240" w:h="15840" w:code="1"/>
          <w:pgMar w:top="720" w:right="720" w:bottom="1440" w:left="720" w:header="720" w:footer="1440" w:gutter="0"/>
          <w:cols w:space="720"/>
          <w:titlePg/>
        </w:sectPr>
      </w:pPr>
    </w:p>
    <w:p w:rsidR="0025359C" w:rsidRPr="004659D6" w:rsidRDefault="0025359C" w:rsidP="0025359C">
      <w:pPr>
        <w:jc w:val="right"/>
        <w:rPr>
          <w:b/>
          <w:szCs w:val="22"/>
        </w:rPr>
      </w:pPr>
      <w:r w:rsidRPr="004659D6">
        <w:rPr>
          <w:b/>
          <w:szCs w:val="22"/>
        </w:rPr>
        <w:lastRenderedPageBreak/>
        <w:t>DA 16-</w:t>
      </w:r>
      <w:r>
        <w:rPr>
          <w:b/>
          <w:szCs w:val="22"/>
        </w:rPr>
        <w:t>1239</w:t>
      </w:r>
    </w:p>
    <w:p w:rsidR="0025359C" w:rsidRPr="004659D6" w:rsidRDefault="0025359C" w:rsidP="0025359C">
      <w:pPr>
        <w:spacing w:before="60"/>
        <w:jc w:val="right"/>
        <w:rPr>
          <w:b/>
          <w:szCs w:val="22"/>
        </w:rPr>
      </w:pPr>
      <w:r w:rsidRPr="004659D6">
        <w:rPr>
          <w:b/>
          <w:szCs w:val="22"/>
        </w:rPr>
        <w:t xml:space="preserve">Released:  </w:t>
      </w:r>
      <w:r>
        <w:rPr>
          <w:b/>
          <w:szCs w:val="22"/>
        </w:rPr>
        <w:t>November</w:t>
      </w:r>
      <w:r w:rsidRPr="00D60B9D">
        <w:rPr>
          <w:b/>
          <w:szCs w:val="22"/>
        </w:rPr>
        <w:t xml:space="preserve"> </w:t>
      </w:r>
      <w:r>
        <w:rPr>
          <w:b/>
          <w:szCs w:val="22"/>
        </w:rPr>
        <w:t>2</w:t>
      </w:r>
      <w:r w:rsidRPr="004659D6">
        <w:rPr>
          <w:b/>
          <w:szCs w:val="22"/>
        </w:rPr>
        <w:t>, 2016</w:t>
      </w:r>
    </w:p>
    <w:p w:rsidR="0025359C" w:rsidRPr="004659D6" w:rsidRDefault="0025359C" w:rsidP="0025359C">
      <w:pPr>
        <w:jc w:val="right"/>
        <w:rPr>
          <w:szCs w:val="22"/>
        </w:rPr>
      </w:pPr>
    </w:p>
    <w:p w:rsidR="0025359C" w:rsidRPr="004659D6" w:rsidRDefault="0025359C" w:rsidP="0025359C">
      <w:pPr>
        <w:spacing w:after="240"/>
        <w:jc w:val="center"/>
        <w:rPr>
          <w:b/>
          <w:szCs w:val="22"/>
        </w:rPr>
      </w:pPr>
      <w:r>
        <w:rPr>
          <w:b/>
          <w:szCs w:val="22"/>
        </w:rPr>
        <w:t xml:space="preserve">PLEADING CYCLE ESTABLISHED FOR COMMENTS </w:t>
      </w:r>
      <w:r w:rsidRPr="004659D6">
        <w:rPr>
          <w:b/>
          <w:szCs w:val="22"/>
        </w:rPr>
        <w:t>ON AT&amp;T’</w:t>
      </w:r>
      <w:r>
        <w:rPr>
          <w:b/>
          <w:szCs w:val="22"/>
        </w:rPr>
        <w:t>S PETITION FOR FOR</w:t>
      </w:r>
      <w:r w:rsidRPr="004659D6">
        <w:rPr>
          <w:b/>
          <w:szCs w:val="22"/>
        </w:rPr>
        <w:t xml:space="preserve">BEARANCE </w:t>
      </w:r>
      <w:r>
        <w:rPr>
          <w:b/>
          <w:szCs w:val="22"/>
        </w:rPr>
        <w:t xml:space="preserve">FROM CERTAIN TARIFFING RULES </w:t>
      </w:r>
    </w:p>
    <w:p w:rsidR="0025359C" w:rsidRPr="004659D6" w:rsidRDefault="0025359C" w:rsidP="0025359C">
      <w:pPr>
        <w:jc w:val="center"/>
        <w:rPr>
          <w:b/>
          <w:szCs w:val="22"/>
        </w:rPr>
      </w:pPr>
      <w:r w:rsidRPr="004659D6">
        <w:rPr>
          <w:b/>
          <w:szCs w:val="22"/>
        </w:rPr>
        <w:t>WC Docket No. 16-</w:t>
      </w:r>
      <w:r>
        <w:rPr>
          <w:b/>
          <w:szCs w:val="22"/>
        </w:rPr>
        <w:t>363</w:t>
      </w:r>
    </w:p>
    <w:p w:rsidR="0025359C" w:rsidRPr="004659D6" w:rsidRDefault="0025359C" w:rsidP="0025359C">
      <w:pPr>
        <w:jc w:val="center"/>
        <w:rPr>
          <w:szCs w:val="22"/>
        </w:rPr>
      </w:pPr>
    </w:p>
    <w:p w:rsidR="0025359C" w:rsidRPr="00D60B9D" w:rsidRDefault="0025359C" w:rsidP="0025359C">
      <w:pPr>
        <w:spacing w:before="120"/>
        <w:rPr>
          <w:b/>
          <w:szCs w:val="22"/>
        </w:rPr>
      </w:pPr>
      <w:r w:rsidRPr="004659D6">
        <w:rPr>
          <w:b/>
          <w:szCs w:val="22"/>
        </w:rPr>
        <w:t>Comment</w:t>
      </w:r>
      <w:r>
        <w:rPr>
          <w:b/>
          <w:szCs w:val="22"/>
        </w:rPr>
        <w:t>s or Oppositions Due</w:t>
      </w:r>
      <w:r w:rsidRPr="004659D6">
        <w:rPr>
          <w:b/>
          <w:szCs w:val="22"/>
        </w:rPr>
        <w:t xml:space="preserve">:  </w:t>
      </w:r>
      <w:r>
        <w:rPr>
          <w:b/>
          <w:szCs w:val="22"/>
        </w:rPr>
        <w:t>December</w:t>
      </w:r>
      <w:r w:rsidRPr="00D60B9D">
        <w:rPr>
          <w:b/>
          <w:szCs w:val="22"/>
        </w:rPr>
        <w:t xml:space="preserve"> </w:t>
      </w:r>
      <w:r>
        <w:rPr>
          <w:b/>
          <w:szCs w:val="22"/>
        </w:rPr>
        <w:t>2</w:t>
      </w:r>
      <w:r w:rsidRPr="00D60B9D">
        <w:rPr>
          <w:b/>
          <w:szCs w:val="22"/>
        </w:rPr>
        <w:t>, 2016</w:t>
      </w:r>
    </w:p>
    <w:p w:rsidR="0025359C" w:rsidRPr="004659D6" w:rsidRDefault="0025359C" w:rsidP="0025359C">
      <w:pPr>
        <w:spacing w:after="240"/>
        <w:rPr>
          <w:szCs w:val="22"/>
        </w:rPr>
      </w:pPr>
      <w:r w:rsidRPr="00D60B9D">
        <w:rPr>
          <w:b/>
          <w:szCs w:val="22"/>
        </w:rPr>
        <w:t>Reply Comment</w:t>
      </w:r>
      <w:r>
        <w:rPr>
          <w:b/>
          <w:szCs w:val="22"/>
        </w:rPr>
        <w:t>s</w:t>
      </w:r>
      <w:r w:rsidRPr="00D60B9D">
        <w:rPr>
          <w:b/>
          <w:szCs w:val="22"/>
        </w:rPr>
        <w:t xml:space="preserve"> </w:t>
      </w:r>
      <w:r>
        <w:rPr>
          <w:b/>
          <w:szCs w:val="22"/>
        </w:rPr>
        <w:t>Due</w:t>
      </w:r>
      <w:r w:rsidRPr="00D60B9D">
        <w:rPr>
          <w:b/>
          <w:szCs w:val="22"/>
        </w:rPr>
        <w:t>:  December 1</w:t>
      </w:r>
      <w:r>
        <w:rPr>
          <w:b/>
          <w:szCs w:val="22"/>
        </w:rPr>
        <w:t>9</w:t>
      </w:r>
      <w:r w:rsidRPr="00D60B9D">
        <w:rPr>
          <w:b/>
          <w:szCs w:val="22"/>
        </w:rPr>
        <w:t>, 2016</w:t>
      </w:r>
    </w:p>
    <w:p w:rsidR="0025359C" w:rsidRDefault="0025359C" w:rsidP="0025359C">
      <w:pPr>
        <w:rPr>
          <w:szCs w:val="22"/>
        </w:rPr>
      </w:pPr>
      <w:r w:rsidRPr="004659D6">
        <w:rPr>
          <w:szCs w:val="22"/>
        </w:rPr>
        <w:tab/>
        <w:t>On</w:t>
      </w:r>
      <w:r>
        <w:rPr>
          <w:szCs w:val="22"/>
        </w:rPr>
        <w:t xml:space="preserve"> September 30, 2016, AT&amp;T Services, Inc. (AT&amp;T) filed a petition</w:t>
      </w:r>
      <w:r>
        <w:rPr>
          <w:rStyle w:val="FootnoteReference"/>
          <w:szCs w:val="22"/>
        </w:rPr>
        <w:footnoteReference w:id="1"/>
      </w:r>
      <w:r>
        <w:rPr>
          <w:szCs w:val="22"/>
        </w:rPr>
        <w:t xml:space="preserve"> pursuant to S</w:t>
      </w:r>
      <w:r w:rsidRPr="009D65CC">
        <w:rPr>
          <w:szCs w:val="22"/>
        </w:rPr>
        <w:t>ection 10 of the Communications Act of 1934, as amended,</w:t>
      </w:r>
      <w:r>
        <w:rPr>
          <w:rStyle w:val="FootnoteReference"/>
          <w:szCs w:val="22"/>
        </w:rPr>
        <w:footnoteReference w:id="2"/>
      </w:r>
      <w:r>
        <w:rPr>
          <w:szCs w:val="22"/>
        </w:rPr>
        <w:t xml:space="preserve"> requesting that </w:t>
      </w:r>
      <w:r w:rsidRPr="00434A3F">
        <w:rPr>
          <w:szCs w:val="22"/>
        </w:rPr>
        <w:t>the Commission</w:t>
      </w:r>
      <w:r>
        <w:rPr>
          <w:szCs w:val="22"/>
        </w:rPr>
        <w:t xml:space="preserve"> </w:t>
      </w:r>
      <w:r w:rsidRPr="00434A3F">
        <w:rPr>
          <w:szCs w:val="22"/>
        </w:rPr>
        <w:t xml:space="preserve">forbear </w:t>
      </w:r>
      <w:r>
        <w:rPr>
          <w:szCs w:val="22"/>
        </w:rPr>
        <w:t>“</w:t>
      </w:r>
      <w:r w:rsidRPr="00434A3F">
        <w:rPr>
          <w:szCs w:val="22"/>
        </w:rPr>
        <w:t xml:space="preserve">from </w:t>
      </w:r>
      <w:r>
        <w:rPr>
          <w:szCs w:val="22"/>
        </w:rPr>
        <w:t>the tariffing requirements of the Act and its rules as to all tandem switching and tandem-switched transport charges on all traffic to or from [</w:t>
      </w:r>
      <w:r w:rsidRPr="002F79F2">
        <w:rPr>
          <w:szCs w:val="22"/>
        </w:rPr>
        <w:t>incu</w:t>
      </w:r>
      <w:r>
        <w:rPr>
          <w:szCs w:val="22"/>
        </w:rPr>
        <w:t>mbent local exchange carriers (LECs)] engaged in access stimulation.”</w:t>
      </w:r>
      <w:r>
        <w:rPr>
          <w:rStyle w:val="FootnoteReference"/>
          <w:szCs w:val="22"/>
        </w:rPr>
        <w:footnoteReference w:id="3"/>
      </w:r>
      <w:r>
        <w:rPr>
          <w:szCs w:val="22"/>
        </w:rPr>
        <w:t xml:space="preserve">  The petition also asks that the Commission forbear from enforcing “all of its rules that allow LECs to tariff a charge billed to [i</w:t>
      </w:r>
      <w:r w:rsidRPr="00F44BE2">
        <w:rPr>
          <w:szCs w:val="22"/>
        </w:rPr>
        <w:t>nterexchange carriers (IXCs)</w:t>
      </w:r>
      <w:r>
        <w:rPr>
          <w:szCs w:val="22"/>
        </w:rPr>
        <w:t>] for toll-free database queries.”</w:t>
      </w:r>
      <w:r>
        <w:rPr>
          <w:rStyle w:val="FootnoteReference"/>
          <w:szCs w:val="22"/>
        </w:rPr>
        <w:footnoteReference w:id="4"/>
      </w:r>
      <w:r>
        <w:rPr>
          <w:szCs w:val="22"/>
        </w:rPr>
        <w:t xml:space="preserve">  Finally, the petition </w:t>
      </w:r>
      <w:r w:rsidRPr="00203206">
        <w:rPr>
          <w:szCs w:val="22"/>
        </w:rPr>
        <w:t>also urges the Commission to “promptly issue new rules to address the remaining inefficiencies and arbitrage activities in its hybrid intercarrier compensation system.”</w:t>
      </w:r>
      <w:r>
        <w:rPr>
          <w:rStyle w:val="FootnoteReference"/>
          <w:szCs w:val="22"/>
        </w:rPr>
        <w:footnoteReference w:id="5"/>
      </w:r>
      <w:r>
        <w:rPr>
          <w:szCs w:val="22"/>
        </w:rPr>
        <w:t xml:space="preserve">  </w:t>
      </w:r>
      <w:r w:rsidRPr="00D60B9D">
        <w:rPr>
          <w:szCs w:val="22"/>
        </w:rPr>
        <w:t xml:space="preserve">Specifically, </w:t>
      </w:r>
      <w:r>
        <w:rPr>
          <w:szCs w:val="22"/>
        </w:rPr>
        <w:t>AT&amp;T</w:t>
      </w:r>
      <w:r w:rsidRPr="00D60B9D">
        <w:rPr>
          <w:szCs w:val="22"/>
        </w:rPr>
        <w:t xml:space="preserve"> seeks forbea</w:t>
      </w:r>
      <w:r>
        <w:rPr>
          <w:szCs w:val="22"/>
        </w:rPr>
        <w:t>rance from 47 U.S.C. § 203</w:t>
      </w:r>
      <w:r w:rsidRPr="00D60B9D">
        <w:rPr>
          <w:szCs w:val="22"/>
        </w:rPr>
        <w:t>, 47 C.F.R. §§</w:t>
      </w:r>
      <w:r>
        <w:rPr>
          <w:szCs w:val="22"/>
        </w:rPr>
        <w:t xml:space="preserve"> 51.901 </w:t>
      </w:r>
      <w:r>
        <w:rPr>
          <w:i/>
          <w:szCs w:val="22"/>
        </w:rPr>
        <w:t>et seq.</w:t>
      </w:r>
      <w:r>
        <w:rPr>
          <w:szCs w:val="22"/>
        </w:rPr>
        <w:t xml:space="preserve">, 51.913, 61.1, 61.26, 61.47, 69.1 </w:t>
      </w:r>
      <w:r>
        <w:rPr>
          <w:i/>
          <w:szCs w:val="22"/>
        </w:rPr>
        <w:t>et seq.</w:t>
      </w:r>
      <w:r>
        <w:rPr>
          <w:szCs w:val="22"/>
        </w:rPr>
        <w:t>, 69.108, 69.111</w:t>
      </w:r>
      <w:r w:rsidRPr="00D60B9D">
        <w:rPr>
          <w:szCs w:val="22"/>
        </w:rPr>
        <w:t>,</w:t>
      </w:r>
      <w:r>
        <w:rPr>
          <w:szCs w:val="22"/>
        </w:rPr>
        <w:t xml:space="preserve"> 69.118 </w:t>
      </w:r>
      <w:r>
        <w:rPr>
          <w:i/>
          <w:szCs w:val="22"/>
        </w:rPr>
        <w:t>et seq.</w:t>
      </w:r>
      <w:r w:rsidRPr="00D60B9D">
        <w:rPr>
          <w:szCs w:val="22"/>
        </w:rPr>
        <w:t xml:space="preserve"> and requirements from related Commission Orders</w:t>
      </w:r>
      <w:r>
        <w:rPr>
          <w:szCs w:val="22"/>
        </w:rPr>
        <w:t xml:space="preserve">, “including, but not limited to </w:t>
      </w:r>
      <w:r>
        <w:rPr>
          <w:i/>
          <w:szCs w:val="22"/>
        </w:rPr>
        <w:t>In re Provision of Access for 800 Service</w:t>
      </w:r>
      <w:r>
        <w:rPr>
          <w:szCs w:val="22"/>
        </w:rPr>
        <w:t>, 8 FCC Rcd 907 (1993)</w:t>
      </w:r>
      <w:r w:rsidRPr="00D60B9D">
        <w:rPr>
          <w:szCs w:val="22"/>
        </w:rPr>
        <w:t>.</w:t>
      </w:r>
      <w:r>
        <w:rPr>
          <w:szCs w:val="22"/>
        </w:rPr>
        <w:t>”</w:t>
      </w:r>
      <w:r>
        <w:rPr>
          <w:rStyle w:val="FootnoteReference"/>
          <w:szCs w:val="22"/>
        </w:rPr>
        <w:footnoteReference w:id="6"/>
      </w:r>
      <w:r>
        <w:rPr>
          <w:szCs w:val="22"/>
        </w:rPr>
        <w:t xml:space="preserve">  In support of its petition, AT&amp;T argues that forbearance is appropriate under the statute because (1) the tariffing of transport and tandem charges is not just and reasonable, (2) LECs have continued to engage in access stimulation by billing inflated transport charges that are not subject to bill-and-keep, and (3) LECs lack the incentive to provide database queries to IXCs at market-based prices.  </w:t>
      </w:r>
    </w:p>
    <w:p w:rsidR="0025359C" w:rsidRDefault="0025359C" w:rsidP="0025359C">
      <w:pPr>
        <w:rPr>
          <w:szCs w:val="22"/>
        </w:rPr>
      </w:pPr>
    </w:p>
    <w:p w:rsidR="0025359C" w:rsidRPr="00443249" w:rsidRDefault="0025359C" w:rsidP="0025359C">
      <w:pPr>
        <w:ind w:firstLine="720"/>
        <w:contextualSpacing/>
        <w:rPr>
          <w:rFonts w:eastAsia="Calibri"/>
          <w:color w:val="000000"/>
          <w:szCs w:val="22"/>
        </w:rPr>
      </w:pPr>
      <w:r>
        <w:rPr>
          <w:rFonts w:eastAsia="Calibri"/>
          <w:color w:val="000000"/>
          <w:szCs w:val="22"/>
        </w:rPr>
        <w:t xml:space="preserve">Interested parties may file comments or oppositions to the AT&amp;T Petition on or before </w:t>
      </w:r>
      <w:r>
        <w:rPr>
          <w:rFonts w:eastAsia="Calibri"/>
          <w:b/>
          <w:color w:val="000000"/>
          <w:szCs w:val="22"/>
        </w:rPr>
        <w:t xml:space="preserve">December 2, </w:t>
      </w:r>
      <w:r w:rsidRPr="001C120D">
        <w:rPr>
          <w:rFonts w:eastAsia="Calibri"/>
          <w:b/>
          <w:color w:val="000000"/>
          <w:szCs w:val="22"/>
        </w:rPr>
        <w:t>2016</w:t>
      </w:r>
      <w:r>
        <w:rPr>
          <w:rFonts w:eastAsia="Calibri"/>
          <w:color w:val="000000"/>
          <w:szCs w:val="22"/>
        </w:rPr>
        <w:t xml:space="preserve"> and reply comments on or before </w:t>
      </w:r>
      <w:r>
        <w:rPr>
          <w:rFonts w:eastAsia="Calibri"/>
          <w:b/>
          <w:color w:val="000000"/>
          <w:szCs w:val="22"/>
        </w:rPr>
        <w:t xml:space="preserve">December 19, </w:t>
      </w:r>
      <w:r w:rsidRPr="001C120D">
        <w:rPr>
          <w:rFonts w:eastAsia="Calibri"/>
          <w:b/>
          <w:color w:val="000000"/>
          <w:szCs w:val="22"/>
        </w:rPr>
        <w:t>2016</w:t>
      </w:r>
      <w:r>
        <w:rPr>
          <w:rFonts w:eastAsia="Calibri"/>
          <w:color w:val="000000"/>
          <w:szCs w:val="22"/>
        </w:rPr>
        <w:t xml:space="preserve">.  </w:t>
      </w:r>
      <w:r w:rsidRPr="00443249">
        <w:rPr>
          <w:rFonts w:eastAsia="Calibri"/>
          <w:color w:val="000000"/>
          <w:szCs w:val="22"/>
        </w:rPr>
        <w:t xml:space="preserve">Comments </w:t>
      </w:r>
      <w:r>
        <w:rPr>
          <w:rFonts w:eastAsia="Calibri"/>
          <w:color w:val="000000"/>
          <w:szCs w:val="22"/>
        </w:rPr>
        <w:t xml:space="preserve">and oppositions </w:t>
      </w:r>
      <w:r w:rsidRPr="00443249">
        <w:rPr>
          <w:rFonts w:eastAsia="Calibri"/>
          <w:color w:val="000000"/>
          <w:szCs w:val="22"/>
        </w:rPr>
        <w:t xml:space="preserve">should </w:t>
      </w:r>
      <w:r w:rsidRPr="00443249">
        <w:rPr>
          <w:rFonts w:eastAsia="Calibri"/>
          <w:color w:val="000000"/>
          <w:szCs w:val="22"/>
        </w:rPr>
        <w:lastRenderedPageBreak/>
        <w:t xml:space="preserve">reference </w:t>
      </w:r>
      <w:r w:rsidRPr="00A51CF6">
        <w:rPr>
          <w:rFonts w:eastAsia="Calibri"/>
          <w:szCs w:val="22"/>
        </w:rPr>
        <w:t>WC Docket No. 16-</w:t>
      </w:r>
      <w:r>
        <w:rPr>
          <w:rFonts w:eastAsia="Calibri"/>
          <w:szCs w:val="22"/>
        </w:rPr>
        <w:t>363</w:t>
      </w:r>
      <w:r w:rsidRPr="00443249">
        <w:rPr>
          <w:rFonts w:eastAsia="Calibri"/>
          <w:szCs w:val="22"/>
        </w:rPr>
        <w:t xml:space="preserve">, and </w:t>
      </w:r>
      <w:r w:rsidRPr="00443249">
        <w:rPr>
          <w:rFonts w:eastAsia="Calibri"/>
          <w:color w:val="000000"/>
          <w:szCs w:val="22"/>
        </w:rPr>
        <w:t xml:space="preserve">may be filed using the Commission’s Electronic Comment Filing System (ECFS).  </w:t>
      </w:r>
      <w:r w:rsidRPr="00443249">
        <w:rPr>
          <w:rFonts w:eastAsia="Calibri"/>
          <w:i/>
          <w:color w:val="000000"/>
          <w:szCs w:val="22"/>
        </w:rPr>
        <w:t>See</w:t>
      </w:r>
      <w:r w:rsidRPr="00443249">
        <w:rPr>
          <w:rFonts w:eastAsia="Calibri"/>
          <w:color w:val="000000"/>
          <w:szCs w:val="22"/>
        </w:rPr>
        <w:t xml:space="preserve"> </w:t>
      </w:r>
      <w:r w:rsidRPr="00443249">
        <w:rPr>
          <w:rFonts w:eastAsia="Calibri"/>
          <w:i/>
          <w:color w:val="000000"/>
          <w:szCs w:val="22"/>
        </w:rPr>
        <w:t>Electronic Filing of Documents in Rulemaking Proceedings</w:t>
      </w:r>
      <w:r w:rsidRPr="00443249">
        <w:rPr>
          <w:rFonts w:eastAsia="Calibri"/>
          <w:color w:val="000000"/>
          <w:szCs w:val="22"/>
        </w:rPr>
        <w:t>, 63 FR 24121 (1998).</w:t>
      </w:r>
    </w:p>
    <w:p w:rsidR="0025359C" w:rsidRPr="00443249" w:rsidRDefault="0025359C" w:rsidP="0025359C">
      <w:pPr>
        <w:contextualSpacing/>
        <w:rPr>
          <w:rFonts w:eastAsia="Calibri"/>
          <w:szCs w:val="22"/>
        </w:rPr>
      </w:pPr>
    </w:p>
    <w:p w:rsidR="0025359C" w:rsidRPr="00416470" w:rsidRDefault="0025359C" w:rsidP="0025359C">
      <w:pPr>
        <w:numPr>
          <w:ilvl w:val="0"/>
          <w:numId w:val="13"/>
        </w:numPr>
        <w:spacing w:after="120"/>
        <w:rPr>
          <w:rFonts w:eastAsia="Calibri"/>
          <w:szCs w:val="22"/>
        </w:rPr>
      </w:pPr>
      <w:r w:rsidRPr="00443249">
        <w:rPr>
          <w:rFonts w:eastAsia="Calibri"/>
          <w:szCs w:val="22"/>
        </w:rPr>
        <w:t>Electronic Filers:  Comments</w:t>
      </w:r>
      <w:r>
        <w:rPr>
          <w:rFonts w:eastAsia="Calibri"/>
          <w:szCs w:val="22"/>
        </w:rPr>
        <w:t xml:space="preserve"> and oppositions</w:t>
      </w:r>
      <w:r w:rsidRPr="00443249">
        <w:rPr>
          <w:rFonts w:eastAsia="Calibri"/>
          <w:szCs w:val="22"/>
        </w:rPr>
        <w:t xml:space="preserve"> may be filed electronically using the Internet by accessing the ECFS:  </w:t>
      </w:r>
      <w:r w:rsidRPr="00443249">
        <w:rPr>
          <w:rFonts w:eastAsia="Calibri"/>
          <w:szCs w:val="22"/>
          <w:u w:val="single"/>
        </w:rPr>
        <w:t>http://fjallfoss.fcc.gov/ecfs2/</w:t>
      </w:r>
      <w:r w:rsidRPr="00443249">
        <w:rPr>
          <w:rFonts w:eastAsia="Calibri"/>
          <w:szCs w:val="22"/>
        </w:rPr>
        <w:t>.</w:t>
      </w:r>
    </w:p>
    <w:p w:rsidR="0025359C" w:rsidRPr="00416470" w:rsidRDefault="0025359C" w:rsidP="0025359C">
      <w:pPr>
        <w:numPr>
          <w:ilvl w:val="0"/>
          <w:numId w:val="13"/>
        </w:numPr>
        <w:spacing w:after="120"/>
        <w:rPr>
          <w:rFonts w:eastAsia="Calibri"/>
          <w:szCs w:val="22"/>
        </w:rPr>
      </w:pPr>
      <w:r w:rsidRPr="00443249">
        <w:rPr>
          <w:rFonts w:eastAsia="Calibri"/>
          <w:szCs w:val="22"/>
        </w:rPr>
        <w:t>Paper Filers:  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w:t>
      </w:r>
    </w:p>
    <w:p w:rsidR="0025359C" w:rsidRPr="00416470" w:rsidRDefault="0025359C" w:rsidP="0025359C">
      <w:pPr>
        <w:numPr>
          <w:ilvl w:val="0"/>
          <w:numId w:val="14"/>
        </w:numPr>
        <w:spacing w:after="120"/>
        <w:ind w:left="1080"/>
        <w:rPr>
          <w:rFonts w:eastAsia="Calibri"/>
          <w:szCs w:val="22"/>
        </w:rPr>
      </w:pPr>
      <w:r w:rsidRPr="00443249">
        <w:rPr>
          <w:rFonts w:eastAsia="Calibri"/>
          <w:szCs w:val="22"/>
        </w:rPr>
        <w:t xml:space="preserve">All hand-delivered or messenger-delivered paper filings for the Commission’s Secretary must be delivered to FCC Headquarters at 445 12th Street, SW, Room TW-A325, Washington, DC 20554.  The filing hours are 8:00 a.m. to 7:00 p.m.  All hand deliveries must be held together with rubber bands or fasteners.  Any envelopes and boxes must be disposed of </w:t>
      </w:r>
      <w:r w:rsidRPr="00443249">
        <w:rPr>
          <w:rFonts w:eastAsia="Calibri"/>
          <w:szCs w:val="22"/>
          <w:u w:val="single"/>
        </w:rPr>
        <w:t>before</w:t>
      </w:r>
      <w:r w:rsidRPr="00443249">
        <w:rPr>
          <w:rFonts w:eastAsia="Calibri"/>
          <w:szCs w:val="22"/>
        </w:rPr>
        <w:t xml:space="preserve"> entering the building.</w:t>
      </w:r>
    </w:p>
    <w:p w:rsidR="0025359C" w:rsidRPr="00416470" w:rsidRDefault="0025359C" w:rsidP="0025359C">
      <w:pPr>
        <w:numPr>
          <w:ilvl w:val="0"/>
          <w:numId w:val="14"/>
        </w:numPr>
        <w:spacing w:after="120"/>
        <w:ind w:left="1080"/>
        <w:rPr>
          <w:rFonts w:eastAsia="Calibri"/>
          <w:szCs w:val="22"/>
        </w:rPr>
      </w:pPr>
      <w:r w:rsidRPr="00443249">
        <w:rPr>
          <w:rFonts w:eastAsia="Calibri"/>
          <w:szCs w:val="22"/>
        </w:rPr>
        <w:t>Commercial overnight mail (other than U.S. Postal Service Express Mail and Priority Mail) must be sent to 9300 East Hampton Drive, Capitol Heights, MD 20743.</w:t>
      </w:r>
    </w:p>
    <w:p w:rsidR="0025359C" w:rsidRPr="00443249" w:rsidRDefault="0025359C" w:rsidP="0025359C">
      <w:pPr>
        <w:numPr>
          <w:ilvl w:val="0"/>
          <w:numId w:val="14"/>
        </w:numPr>
        <w:spacing w:after="120"/>
        <w:ind w:left="1080"/>
        <w:rPr>
          <w:rFonts w:eastAsia="Calibri"/>
          <w:szCs w:val="22"/>
        </w:rPr>
      </w:pPr>
      <w:r w:rsidRPr="00443249">
        <w:rPr>
          <w:rFonts w:eastAsia="Calibri"/>
          <w:szCs w:val="22"/>
        </w:rPr>
        <w:t>U.S. Postal Service first-class, Express, and Priority mail must be addressed to 445 12th Street, SW, Washington DC 20554.</w:t>
      </w:r>
    </w:p>
    <w:p w:rsidR="0025359C" w:rsidRPr="00443249" w:rsidRDefault="0025359C" w:rsidP="0025359C">
      <w:pPr>
        <w:contextualSpacing/>
        <w:rPr>
          <w:rFonts w:eastAsia="Calibri"/>
          <w:szCs w:val="22"/>
        </w:rPr>
      </w:pPr>
    </w:p>
    <w:p w:rsidR="0025359C" w:rsidRPr="00443249" w:rsidRDefault="0025359C" w:rsidP="0025359C">
      <w:pPr>
        <w:ind w:firstLine="720"/>
        <w:contextualSpacing/>
        <w:rPr>
          <w:rFonts w:eastAsia="Calibri"/>
          <w:szCs w:val="22"/>
        </w:rPr>
      </w:pPr>
      <w:r w:rsidRPr="00443249">
        <w:rPr>
          <w:rFonts w:eastAsia="Calibri"/>
          <w:szCs w:val="22"/>
        </w:rPr>
        <w:t>People with Disabilities:  To request materials in accessible formats for people with disabilities</w:t>
      </w:r>
    </w:p>
    <w:p w:rsidR="0025359C" w:rsidRPr="00443249" w:rsidRDefault="0025359C" w:rsidP="0025359C">
      <w:pPr>
        <w:contextualSpacing/>
        <w:rPr>
          <w:rFonts w:eastAsia="Calibri"/>
          <w:szCs w:val="22"/>
        </w:rPr>
      </w:pPr>
      <w:r w:rsidRPr="00443249">
        <w:rPr>
          <w:rFonts w:eastAsia="Calibri"/>
          <w:szCs w:val="22"/>
        </w:rPr>
        <w:t xml:space="preserve">(Braille, large print, electronic files, audio format), send an e-mail to </w:t>
      </w:r>
      <w:r w:rsidRPr="00A14B49">
        <w:rPr>
          <w:rFonts w:eastAsia="Calibri"/>
          <w:szCs w:val="22"/>
        </w:rPr>
        <w:t xml:space="preserve">fcc504@fcc.gov </w:t>
      </w:r>
      <w:r w:rsidRPr="00443249">
        <w:rPr>
          <w:rFonts w:eastAsia="Calibri"/>
          <w:szCs w:val="22"/>
        </w:rPr>
        <w:t>or call the Consumer &amp; Governmental Affairs Bureau at (202) 418-0530 (voice) or (202) 418-0432 (tty).</w:t>
      </w:r>
    </w:p>
    <w:p w:rsidR="0025359C" w:rsidRPr="00443249" w:rsidRDefault="0025359C" w:rsidP="0025359C">
      <w:pPr>
        <w:contextualSpacing/>
        <w:rPr>
          <w:rFonts w:eastAsia="Calibri"/>
          <w:szCs w:val="22"/>
        </w:rPr>
      </w:pPr>
    </w:p>
    <w:p w:rsidR="0025359C" w:rsidRPr="00443249" w:rsidRDefault="0025359C" w:rsidP="0025359C">
      <w:pPr>
        <w:ind w:firstLine="720"/>
        <w:rPr>
          <w:szCs w:val="22"/>
        </w:rPr>
      </w:pPr>
      <w:r>
        <w:rPr>
          <w:szCs w:val="22"/>
        </w:rPr>
        <w:t xml:space="preserve">The proceeding this Notice initiates shall be treated </w:t>
      </w:r>
      <w:r w:rsidRPr="00443249">
        <w:rPr>
          <w:szCs w:val="22"/>
        </w:rPr>
        <w:t xml:space="preserve">as a “permit-but-disclose” proceeding in accordance with the Commission’s </w:t>
      </w:r>
      <w:r w:rsidRPr="00443249">
        <w:rPr>
          <w:i/>
          <w:iCs/>
          <w:szCs w:val="22"/>
        </w:rPr>
        <w:t xml:space="preserve">ex parte </w:t>
      </w:r>
      <w:r w:rsidRPr="00443249">
        <w:rPr>
          <w:szCs w:val="22"/>
        </w:rPr>
        <w:t>rules.</w:t>
      </w:r>
      <w:r>
        <w:rPr>
          <w:rStyle w:val="FootnoteReference"/>
          <w:szCs w:val="22"/>
        </w:rPr>
        <w:footnoteReference w:id="7"/>
      </w:r>
      <w:r w:rsidRPr="00443249">
        <w:rPr>
          <w:szCs w:val="22"/>
        </w:rPr>
        <w:t xml:space="preserve">  Persons making </w:t>
      </w:r>
      <w:r w:rsidRPr="00443249">
        <w:rPr>
          <w:i/>
          <w:szCs w:val="22"/>
        </w:rPr>
        <w:t xml:space="preserve">ex parte </w:t>
      </w:r>
      <w:r w:rsidRPr="00443249">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43249">
        <w:rPr>
          <w:i/>
          <w:iCs/>
          <w:szCs w:val="22"/>
        </w:rPr>
        <w:t xml:space="preserve">ex parte </w:t>
      </w:r>
      <w:r w:rsidRPr="00443249">
        <w:rPr>
          <w:szCs w:val="22"/>
        </w:rPr>
        <w:t xml:space="preserve">presentations are reminded that memoranda summarizing the presentation must (1) list all persons attending or otherwise participating in the meeting at which the </w:t>
      </w:r>
      <w:r w:rsidRPr="00443249">
        <w:rPr>
          <w:i/>
          <w:iCs/>
          <w:szCs w:val="22"/>
        </w:rPr>
        <w:t xml:space="preserve">ex parte </w:t>
      </w:r>
      <w:r w:rsidRPr="00443249">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43249">
        <w:rPr>
          <w:i/>
          <w:iCs/>
          <w:szCs w:val="22"/>
        </w:rPr>
        <w:t xml:space="preserve">ex parte </w:t>
      </w:r>
      <w:r w:rsidRPr="00443249">
        <w:rPr>
          <w:szCs w:val="22"/>
        </w:rPr>
        <w:t xml:space="preserve">meetings are deemed to be written </w:t>
      </w:r>
      <w:r w:rsidRPr="00443249">
        <w:rPr>
          <w:i/>
          <w:iCs/>
          <w:szCs w:val="22"/>
        </w:rPr>
        <w:t>ex parte</w:t>
      </w:r>
      <w:r w:rsidRPr="00443249">
        <w:rPr>
          <w:szCs w:val="22"/>
        </w:rPr>
        <w:t xml:space="preserve"> presentations and must be filed consistent with rule 1.1206(b).  In proceedings governed by rule 1.49(f) or for which the Commission has made available a method of electronic filing, written </w:t>
      </w:r>
      <w:r w:rsidRPr="00443249">
        <w:rPr>
          <w:i/>
          <w:iCs/>
          <w:szCs w:val="22"/>
        </w:rPr>
        <w:t xml:space="preserve">ex parte </w:t>
      </w:r>
      <w:r w:rsidRPr="00443249">
        <w:rPr>
          <w:szCs w:val="22"/>
        </w:rPr>
        <w:t xml:space="preserve">presentations and memoranda summarizing oral </w:t>
      </w:r>
      <w:r w:rsidRPr="00443249">
        <w:rPr>
          <w:i/>
          <w:iCs/>
          <w:szCs w:val="22"/>
        </w:rPr>
        <w:t xml:space="preserve">ex parte </w:t>
      </w:r>
      <w:r w:rsidRPr="00443249">
        <w:rPr>
          <w:szCs w:val="22"/>
        </w:rPr>
        <w:t>presentations, and all attachments thereto, must be filed through the electronic comment filing system available for that proceeding, and must be filed in their native format (</w:t>
      </w:r>
      <w:r w:rsidRPr="00443249">
        <w:rPr>
          <w:iCs/>
          <w:szCs w:val="22"/>
        </w:rPr>
        <w:t>e.g.</w:t>
      </w:r>
      <w:r w:rsidRPr="00443249">
        <w:rPr>
          <w:szCs w:val="22"/>
        </w:rPr>
        <w:t xml:space="preserve">, .doc, .xml, .ppt, searchable .pdf).  Participants in this proceeding should familiarize themselves with the Commission’s </w:t>
      </w:r>
      <w:r w:rsidRPr="00443249">
        <w:rPr>
          <w:i/>
          <w:iCs/>
          <w:szCs w:val="22"/>
        </w:rPr>
        <w:t xml:space="preserve">ex parte </w:t>
      </w:r>
      <w:r w:rsidRPr="00443249">
        <w:rPr>
          <w:szCs w:val="22"/>
        </w:rPr>
        <w:t>rules.</w:t>
      </w:r>
    </w:p>
    <w:p w:rsidR="0025359C" w:rsidRPr="00443249" w:rsidRDefault="0025359C" w:rsidP="0025359C">
      <w:pPr>
        <w:contextualSpacing/>
        <w:rPr>
          <w:rFonts w:eastAsia="Calibri"/>
          <w:szCs w:val="22"/>
        </w:rPr>
      </w:pPr>
    </w:p>
    <w:p w:rsidR="0025359C" w:rsidRPr="00443249" w:rsidRDefault="0025359C" w:rsidP="0025359C">
      <w:pPr>
        <w:ind w:firstLine="720"/>
        <w:contextualSpacing/>
        <w:rPr>
          <w:rFonts w:eastAsia="Calibri"/>
          <w:szCs w:val="22"/>
        </w:rPr>
      </w:pPr>
      <w:r w:rsidRPr="00443249">
        <w:rPr>
          <w:rFonts w:eastAsia="Calibri"/>
          <w:szCs w:val="22"/>
        </w:rPr>
        <w:t xml:space="preserve">For further </w:t>
      </w:r>
      <w:r w:rsidRPr="00872B78">
        <w:rPr>
          <w:rFonts w:eastAsia="Calibri"/>
          <w:szCs w:val="22"/>
        </w:rPr>
        <w:t>information, please contact Gregory Capobianco, Pricing Policy Division, Wireline Competition Bureau, at (202) 418-0808 or via e-mail at gregory.capobinaco@fcc.gov.</w:t>
      </w:r>
    </w:p>
    <w:p w:rsidR="0025359C" w:rsidRPr="00443249" w:rsidRDefault="0025359C" w:rsidP="0025359C">
      <w:pPr>
        <w:contextualSpacing/>
        <w:rPr>
          <w:rFonts w:eastAsia="Calibri"/>
          <w:szCs w:val="22"/>
        </w:rPr>
      </w:pPr>
    </w:p>
    <w:p w:rsidR="0025359C" w:rsidRPr="004659D6" w:rsidRDefault="0025359C" w:rsidP="0025359C">
      <w:pPr>
        <w:contextualSpacing/>
        <w:jc w:val="center"/>
        <w:rPr>
          <w:szCs w:val="22"/>
        </w:rPr>
      </w:pPr>
      <w:r w:rsidRPr="00443249">
        <w:rPr>
          <w:rFonts w:eastAsia="Calibri"/>
          <w:b/>
          <w:szCs w:val="22"/>
        </w:rPr>
        <w:t>- FCC -</w:t>
      </w:r>
    </w:p>
    <w:p w:rsidR="00602577" w:rsidRPr="0025359C" w:rsidRDefault="00602577" w:rsidP="0025359C"/>
    <w:sectPr w:rsidR="00602577" w:rsidRPr="0025359C">
      <w:headerReference w:type="first" r:id="rId15"/>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E44" w:rsidRDefault="00F13E44">
      <w:r>
        <w:separator/>
      </w:r>
    </w:p>
  </w:endnote>
  <w:endnote w:type="continuationSeparator" w:id="0">
    <w:p w:rsidR="00F13E44" w:rsidRDefault="00F13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51" w:rsidRDefault="003761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9C" w:rsidRDefault="0025359C">
    <w:pPr>
      <w:pStyle w:val="Footer"/>
      <w:jc w:val="center"/>
    </w:pPr>
    <w:r>
      <w:fldChar w:fldCharType="begin"/>
    </w:r>
    <w:r>
      <w:instrText xml:space="preserve"> PAGE   \* MERGEFORMAT </w:instrText>
    </w:r>
    <w:r>
      <w:fldChar w:fldCharType="separate"/>
    </w:r>
    <w:r w:rsidR="007D6D37">
      <w:rPr>
        <w:noProof/>
      </w:rPr>
      <w:t>2</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51" w:rsidRDefault="003761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E44" w:rsidRDefault="00F13E44">
      <w:r>
        <w:separator/>
      </w:r>
    </w:p>
  </w:footnote>
  <w:footnote w:type="continuationSeparator" w:id="0">
    <w:p w:rsidR="00F13E44" w:rsidRDefault="00F13E44">
      <w:r>
        <w:continuationSeparator/>
      </w:r>
    </w:p>
  </w:footnote>
  <w:footnote w:id="1">
    <w:p w:rsidR="0025359C" w:rsidRPr="001B64A7" w:rsidRDefault="0025359C" w:rsidP="0025359C">
      <w:pPr>
        <w:pStyle w:val="FootnoteText"/>
        <w:tabs>
          <w:tab w:val="clear" w:pos="720"/>
        </w:tabs>
        <w:spacing w:after="120"/>
        <w:rPr>
          <w:sz w:val="20"/>
        </w:rPr>
      </w:pPr>
      <w:r w:rsidRPr="001B64A7">
        <w:rPr>
          <w:rStyle w:val="FootnoteReference"/>
          <w:sz w:val="20"/>
        </w:rPr>
        <w:footnoteRef/>
      </w:r>
      <w:r w:rsidRPr="001B64A7">
        <w:rPr>
          <w:sz w:val="20"/>
        </w:rPr>
        <w:t xml:space="preserve"> AT&amp;T Services, Inc., Petition of AT&amp;T Services, Inc. for Forbearance Under 47 U.S.C. § 160(c), WC Docket No. 16-</w:t>
      </w:r>
      <w:r>
        <w:rPr>
          <w:sz w:val="20"/>
        </w:rPr>
        <w:t>363</w:t>
      </w:r>
      <w:r w:rsidRPr="001B64A7">
        <w:rPr>
          <w:sz w:val="20"/>
        </w:rPr>
        <w:t xml:space="preserve"> (filed Sept. 30, 2016) (Petition).</w:t>
      </w:r>
    </w:p>
  </w:footnote>
  <w:footnote w:id="2">
    <w:p w:rsidR="0025359C" w:rsidRPr="001B64A7" w:rsidRDefault="0025359C" w:rsidP="0025359C">
      <w:pPr>
        <w:pStyle w:val="FootnoteText"/>
        <w:tabs>
          <w:tab w:val="clear" w:pos="720"/>
        </w:tabs>
        <w:spacing w:after="120"/>
        <w:rPr>
          <w:sz w:val="20"/>
        </w:rPr>
      </w:pPr>
      <w:r w:rsidRPr="001B64A7">
        <w:rPr>
          <w:rStyle w:val="FootnoteReference"/>
          <w:sz w:val="20"/>
        </w:rPr>
        <w:footnoteRef/>
      </w:r>
      <w:r w:rsidRPr="001B64A7">
        <w:rPr>
          <w:sz w:val="20"/>
        </w:rPr>
        <w:t xml:space="preserve"> </w:t>
      </w:r>
      <w:r w:rsidRPr="001B64A7">
        <w:rPr>
          <w:i/>
          <w:sz w:val="20"/>
        </w:rPr>
        <w:t>See</w:t>
      </w:r>
      <w:r w:rsidRPr="001B64A7">
        <w:rPr>
          <w:sz w:val="20"/>
        </w:rPr>
        <w:t xml:space="preserve"> 47 U.S.C. § 160.</w:t>
      </w:r>
    </w:p>
  </w:footnote>
  <w:footnote w:id="3">
    <w:p w:rsidR="0025359C" w:rsidRPr="001B64A7" w:rsidRDefault="0025359C" w:rsidP="0025359C">
      <w:pPr>
        <w:pStyle w:val="FootnoteText"/>
        <w:tabs>
          <w:tab w:val="clear" w:pos="720"/>
        </w:tabs>
        <w:spacing w:after="120"/>
        <w:rPr>
          <w:sz w:val="20"/>
        </w:rPr>
      </w:pPr>
      <w:r w:rsidRPr="001B64A7">
        <w:rPr>
          <w:rStyle w:val="FootnoteReference"/>
          <w:sz w:val="20"/>
        </w:rPr>
        <w:footnoteRef/>
      </w:r>
      <w:r w:rsidRPr="001B64A7">
        <w:rPr>
          <w:sz w:val="20"/>
        </w:rPr>
        <w:t xml:space="preserve"> Petition at 13.</w:t>
      </w:r>
    </w:p>
  </w:footnote>
  <w:footnote w:id="4">
    <w:p w:rsidR="0025359C" w:rsidRPr="001B64A7" w:rsidRDefault="0025359C" w:rsidP="0025359C">
      <w:pPr>
        <w:pStyle w:val="FootnoteText"/>
        <w:tabs>
          <w:tab w:val="clear" w:pos="720"/>
        </w:tabs>
        <w:spacing w:after="120"/>
        <w:rPr>
          <w:sz w:val="20"/>
        </w:rPr>
      </w:pPr>
      <w:r w:rsidRPr="001B64A7">
        <w:rPr>
          <w:rStyle w:val="FootnoteReference"/>
          <w:sz w:val="20"/>
        </w:rPr>
        <w:footnoteRef/>
      </w:r>
      <w:r w:rsidRPr="001B64A7">
        <w:rPr>
          <w:sz w:val="20"/>
        </w:rPr>
        <w:t xml:space="preserve"> </w:t>
      </w:r>
      <w:r w:rsidRPr="001B64A7">
        <w:rPr>
          <w:i/>
          <w:sz w:val="20"/>
        </w:rPr>
        <w:t>Id.</w:t>
      </w:r>
      <w:r w:rsidRPr="001B64A7">
        <w:rPr>
          <w:sz w:val="20"/>
        </w:rPr>
        <w:t xml:space="preserve"> at 20.</w:t>
      </w:r>
    </w:p>
  </w:footnote>
  <w:footnote w:id="5">
    <w:p w:rsidR="0025359C" w:rsidRPr="001B64A7" w:rsidRDefault="0025359C" w:rsidP="0025359C">
      <w:pPr>
        <w:pStyle w:val="FootnoteText"/>
        <w:tabs>
          <w:tab w:val="clear" w:pos="720"/>
        </w:tabs>
        <w:spacing w:after="120"/>
        <w:rPr>
          <w:sz w:val="20"/>
        </w:rPr>
      </w:pPr>
      <w:r w:rsidRPr="001B64A7">
        <w:rPr>
          <w:rStyle w:val="FootnoteReference"/>
          <w:sz w:val="20"/>
        </w:rPr>
        <w:footnoteRef/>
      </w:r>
      <w:r w:rsidRPr="001B64A7">
        <w:rPr>
          <w:sz w:val="20"/>
        </w:rPr>
        <w:t xml:space="preserve"> </w:t>
      </w:r>
      <w:r w:rsidRPr="001B64A7">
        <w:rPr>
          <w:i/>
          <w:sz w:val="20"/>
        </w:rPr>
        <w:t xml:space="preserve">Id. </w:t>
      </w:r>
      <w:r w:rsidRPr="001B64A7">
        <w:rPr>
          <w:sz w:val="20"/>
        </w:rPr>
        <w:t>at 3.</w:t>
      </w:r>
    </w:p>
  </w:footnote>
  <w:footnote w:id="6">
    <w:p w:rsidR="0025359C" w:rsidRPr="001B64A7" w:rsidRDefault="0025359C" w:rsidP="0025359C">
      <w:pPr>
        <w:pStyle w:val="FootnoteText"/>
        <w:tabs>
          <w:tab w:val="clear" w:pos="720"/>
        </w:tabs>
        <w:spacing w:after="120"/>
        <w:rPr>
          <w:sz w:val="20"/>
        </w:rPr>
      </w:pPr>
      <w:r w:rsidRPr="001B64A7">
        <w:rPr>
          <w:rStyle w:val="FootnoteReference"/>
          <w:sz w:val="20"/>
        </w:rPr>
        <w:footnoteRef/>
      </w:r>
      <w:r w:rsidRPr="001B64A7">
        <w:rPr>
          <w:sz w:val="20"/>
        </w:rPr>
        <w:t xml:space="preserve"> </w:t>
      </w:r>
      <w:r w:rsidRPr="001B64A7">
        <w:rPr>
          <w:i/>
          <w:sz w:val="20"/>
        </w:rPr>
        <w:t>See</w:t>
      </w:r>
      <w:r w:rsidRPr="001B64A7">
        <w:rPr>
          <w:sz w:val="20"/>
        </w:rPr>
        <w:t xml:space="preserve"> </w:t>
      </w:r>
      <w:r w:rsidRPr="001B64A7">
        <w:rPr>
          <w:i/>
          <w:sz w:val="20"/>
        </w:rPr>
        <w:t>id.</w:t>
      </w:r>
      <w:r w:rsidRPr="001B64A7">
        <w:rPr>
          <w:sz w:val="20"/>
        </w:rPr>
        <w:t xml:space="preserve"> at Appx. A.</w:t>
      </w:r>
    </w:p>
  </w:footnote>
  <w:footnote w:id="7">
    <w:p w:rsidR="0025359C" w:rsidRPr="001B64A7" w:rsidRDefault="0025359C" w:rsidP="0025359C">
      <w:pPr>
        <w:pStyle w:val="FootnoteText"/>
        <w:spacing w:after="120"/>
        <w:rPr>
          <w:sz w:val="20"/>
        </w:rPr>
      </w:pPr>
      <w:r w:rsidRPr="001B64A7">
        <w:rPr>
          <w:rStyle w:val="FootnoteReference"/>
          <w:sz w:val="20"/>
        </w:rPr>
        <w:footnoteRef/>
      </w:r>
      <w:r w:rsidRPr="001B64A7">
        <w:rPr>
          <w:sz w:val="20"/>
        </w:rPr>
        <w:t xml:space="preserve"> 47 CFR § 1.1200 </w:t>
      </w:r>
      <w:r w:rsidRPr="001B64A7">
        <w:rPr>
          <w:i/>
          <w:iCs/>
          <w:sz w:val="20"/>
        </w:rPr>
        <w:t>et seq</w:t>
      </w:r>
      <w:r w:rsidRPr="001B64A7">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51" w:rsidRDefault="003761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151" w:rsidRDefault="003761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9C" w:rsidRDefault="007D6D3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2062" type="#_x0000_t75" alt="fcc_logo" style="position:absolute;left:0;text-align:left;margin-left:34.95pt;margin-top:8.5pt;width:41.75pt;height:4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25359C">
      <w:rPr>
        <w:rFonts w:ascii="News Gothic MT" w:hAnsi="News Gothic MT"/>
        <w:b/>
        <w:kern w:val="28"/>
        <w:sz w:val="96"/>
      </w:rPr>
      <w:t xml:space="preserve">  PUBLIC NOTICE</w:t>
    </w:r>
  </w:p>
  <w:p w:rsidR="0025359C" w:rsidRDefault="007D6D37">
    <w:pPr>
      <w:pStyle w:val="Header"/>
      <w:tabs>
        <w:tab w:val="clear" w:pos="4320"/>
        <w:tab w:val="clear" w:pos="8640"/>
        <w:tab w:val="left" w:pos="1080"/>
      </w:tabs>
      <w:spacing w:line="1120" w:lineRule="exact"/>
      <w:ind w:left="720"/>
      <w:rPr>
        <w:rFonts w:ascii="Arial" w:hAnsi="Arial"/>
        <w:b/>
        <w:sz w:val="28"/>
      </w:rPr>
    </w:pPr>
    <w:r>
      <w:rPr>
        <w:noProof/>
      </w:rPr>
      <w:pict>
        <v:line id="Line 4" o:spid="_x0000_s2061"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33wur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2" o:spid="_x0000_s2060"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IdnhA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" o:allowincell="f" stroked="f">
          <v:textbox>
            <w:txbxContent>
              <w:p w:rsidR="0025359C" w:rsidRDefault="0025359C">
                <w:pPr>
                  <w:rPr>
                    <w:rFonts w:ascii="Arial" w:hAnsi="Arial"/>
                    <w:b/>
                  </w:rPr>
                </w:pPr>
                <w:r>
                  <w:rPr>
                    <w:rFonts w:ascii="Arial" w:hAnsi="Arial"/>
                    <w:b/>
                  </w:rPr>
                  <w:t>Federal Communications Commission</w:t>
                </w:r>
              </w:p>
              <w:p w:rsidR="0025359C" w:rsidRDefault="0025359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5359C" w:rsidRDefault="0025359C">
                <w:pPr>
                  <w:rPr>
                    <w:rFonts w:ascii="Arial" w:hAnsi="Arial"/>
                    <w:sz w:val="24"/>
                  </w:rPr>
                </w:pPr>
                <w:r>
                  <w:rPr>
                    <w:rFonts w:ascii="Arial" w:hAnsi="Arial"/>
                    <w:b/>
                  </w:rPr>
                  <w:t>Washington, D.C. 20554</w:t>
                </w:r>
              </w:p>
            </w:txbxContent>
          </v:textbox>
        </v:shape>
      </w:pict>
    </w:r>
    <w:r>
      <w:rPr>
        <w:noProof/>
      </w:rPr>
      <w:pict>
        <v:shape id="Text Box 5" o:spid="_x0000_s2059"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k9gQIAAA4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omlJ&#10;PYECAAAOBQAADgAAAAAAAAAAAAAAAAAuAgAAZHJzL2Uyb0RvYy54bWxQSwECLQAUAAYACAAAACEA&#10;NRR2SeAAAAALAQAADwAAAAAAAAAAAAAAAADbBAAAZHJzL2Rvd25yZXYueG1sUEsFBgAAAAAEAAQA&#10;8wAAAOgFAAAAAA==&#10;" o:allowincell="f" stroked="f">
          <v:textbox inset=",0,,0">
            <w:txbxContent>
              <w:p w:rsidR="0025359C" w:rsidRDefault="0025359C">
                <w:pPr>
                  <w:spacing w:before="40"/>
                  <w:jc w:val="right"/>
                  <w:rPr>
                    <w:rFonts w:ascii="Arial" w:hAnsi="Arial"/>
                    <w:b/>
                    <w:sz w:val="16"/>
                  </w:rPr>
                </w:pPr>
                <w:r>
                  <w:rPr>
                    <w:rFonts w:ascii="Arial" w:hAnsi="Arial"/>
                    <w:b/>
                    <w:sz w:val="16"/>
                  </w:rPr>
                  <w:t>News Media Information 202 / 418-0500</w:t>
                </w:r>
              </w:p>
              <w:p w:rsidR="0025359C" w:rsidRDefault="0025359C">
                <w:pPr>
                  <w:jc w:val="right"/>
                  <w:rPr>
                    <w:rFonts w:ascii="Arial" w:hAnsi="Arial"/>
                    <w:b/>
                    <w:sz w:val="16"/>
                  </w:rPr>
                </w:pPr>
                <w:r>
                  <w:rPr>
                    <w:rFonts w:ascii="Arial" w:hAnsi="Arial"/>
                    <w:b/>
                    <w:sz w:val="16"/>
                  </w:rPr>
                  <w:tab/>
                  <w:t>Internet: http://www.fcc.gov</w:t>
                </w:r>
              </w:p>
              <w:p w:rsidR="0025359C" w:rsidRDefault="0025359C">
                <w:pPr>
                  <w:jc w:val="right"/>
                  <w:rPr>
                    <w:rFonts w:ascii="Arial" w:hAnsi="Arial"/>
                    <w:b/>
                    <w:sz w:val="16"/>
                  </w:rPr>
                </w:pPr>
                <w:r>
                  <w:rPr>
                    <w:rFonts w:ascii="Arial" w:hAnsi="Arial"/>
                    <w:b/>
                    <w:sz w:val="16"/>
                  </w:rPr>
                  <w:t>TTY: 1-888-835-5322</w:t>
                </w:r>
              </w:p>
              <w:p w:rsidR="0025359C" w:rsidRDefault="0025359C">
                <w:pPr>
                  <w:jc w:val="right"/>
                </w:pPr>
              </w:p>
            </w:txbxContent>
          </v:textbox>
        </v:shape>
      </w:pict>
    </w:r>
  </w:p>
  <w:p w:rsidR="0025359C" w:rsidRDefault="0025359C">
    <w:pPr>
      <w:pStyle w:val="Header"/>
      <w:tabs>
        <w:tab w:val="clear" w:pos="4320"/>
        <w:tab w:val="clear" w:pos="8640"/>
        <w:tab w:val="left" w:pos="1080"/>
      </w:tabs>
      <w:ind w:left="720"/>
      <w:rPr>
        <w:rFonts w:ascii="Arial" w:hAnsi="Arial"/>
        <w:b/>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359C" w:rsidRDefault="007D6D37">
    <w:pPr>
      <w:pStyle w:val="Header"/>
      <w:tabs>
        <w:tab w:val="clear" w:pos="4320"/>
        <w:tab w:val="clear" w:pos="8640"/>
      </w:tabs>
      <w:spacing w:before="40"/>
      <w:ind w:firstLine="1080"/>
      <w:rPr>
        <w:rFonts w:ascii="News Gothic MT" w:hAnsi="News Gothic MT"/>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8" type="#_x0000_t75" alt="fcc_logo" style="position:absolute;left:0;text-align:left;margin-left:31.35pt;margin-top:57.1pt;width:41.75pt;height:4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allowincell="f">
          <v:imagedata r:id="rId1" o:title="fcc_logo"/>
          <w10:wrap type="topAndBottom"/>
        </v:shape>
      </w:pict>
    </w:r>
    <w:r w:rsidR="0025359C">
      <w:rPr>
        <w:rFonts w:ascii="News Gothic MT" w:hAnsi="News Gothic MT"/>
        <w:b/>
        <w:kern w:val="28"/>
        <w:sz w:val="96"/>
      </w:rPr>
      <w:t xml:space="preserve">  PUBLIC NOTICE</w:t>
    </w:r>
  </w:p>
  <w:p w:rsidR="0025359C" w:rsidRDefault="007D6D37">
    <w:pPr>
      <w:pStyle w:val="Header"/>
      <w:tabs>
        <w:tab w:val="clear" w:pos="4320"/>
        <w:tab w:val="clear" w:pos="8640"/>
        <w:tab w:val="left" w:pos="1080"/>
      </w:tabs>
      <w:spacing w:line="1120" w:lineRule="exact"/>
      <w:ind w:left="720"/>
      <w:rPr>
        <w:rFonts w:ascii="Arial" w:hAnsi="Arial"/>
        <w:b/>
        <w:sz w:val="28"/>
      </w:rPr>
    </w:pPr>
    <w:r>
      <w:rPr>
        <w:noProof/>
      </w:rPr>
      <w:pict>
        <v:line id="_x0000_s2057"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_x0000_s2056" type="#_x0000_t202" style="position:absolute;left:0;text-align:left;margin-left:30pt;margin-top:.4pt;width:244.8pt;height:5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oNhQIAABY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" o:allowincell="f" stroked="f">
          <v:textbox>
            <w:txbxContent>
              <w:p w:rsidR="0025359C" w:rsidRDefault="0025359C">
                <w:pPr>
                  <w:rPr>
                    <w:rFonts w:ascii="Arial" w:hAnsi="Arial"/>
                    <w:b/>
                  </w:rPr>
                </w:pPr>
                <w:r>
                  <w:rPr>
                    <w:rFonts w:ascii="Arial" w:hAnsi="Arial"/>
                    <w:b/>
                  </w:rPr>
                  <w:t>Federal Communications Commission</w:t>
                </w:r>
              </w:p>
              <w:p w:rsidR="0025359C" w:rsidRDefault="0025359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25359C" w:rsidRDefault="0025359C">
                <w:pPr>
                  <w:rPr>
                    <w:rFonts w:ascii="Arial" w:hAnsi="Arial"/>
                    <w:sz w:val="24"/>
                  </w:rPr>
                </w:pPr>
                <w:r>
                  <w:rPr>
                    <w:rFonts w:ascii="Arial" w:hAnsi="Arial"/>
                    <w:b/>
                  </w:rPr>
                  <w:t>Washington, D.C. 20554</w:t>
                </w:r>
              </w:p>
            </w:txbxContent>
          </v:textbox>
        </v:shape>
      </w:pict>
    </w:r>
    <w:r>
      <w:rPr>
        <w:noProof/>
      </w:rPr>
      <w:pict>
        <v:shape id="_x0000_s2055" type="#_x0000_t202" style="position:absolute;left:0;text-align:left;margin-left:301.5pt;margin-top:10.25pt;width:207.95pt;height:4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" o:allowincell="f" stroked="f">
          <v:textbox inset=",0,,0">
            <w:txbxContent>
              <w:p w:rsidR="0025359C" w:rsidRDefault="0025359C">
                <w:pPr>
                  <w:spacing w:before="40"/>
                  <w:jc w:val="right"/>
                  <w:rPr>
                    <w:rFonts w:ascii="Arial" w:hAnsi="Arial"/>
                    <w:b/>
                    <w:sz w:val="16"/>
                  </w:rPr>
                </w:pPr>
                <w:r>
                  <w:rPr>
                    <w:rFonts w:ascii="Arial" w:hAnsi="Arial"/>
                    <w:b/>
                    <w:sz w:val="16"/>
                  </w:rPr>
                  <w:t>News Media Information 202 / 418-0500</w:t>
                </w:r>
              </w:p>
              <w:p w:rsidR="0025359C" w:rsidRDefault="0025359C">
                <w:pPr>
                  <w:jc w:val="right"/>
                  <w:rPr>
                    <w:rFonts w:ascii="Arial" w:hAnsi="Arial"/>
                    <w:b/>
                    <w:sz w:val="16"/>
                  </w:rPr>
                </w:pPr>
                <w:r>
                  <w:rPr>
                    <w:rFonts w:ascii="Arial" w:hAnsi="Arial"/>
                    <w:b/>
                    <w:sz w:val="16"/>
                  </w:rPr>
                  <w:tab/>
                  <w:t>Internet: http://www.fcc.gov</w:t>
                </w:r>
              </w:p>
              <w:p w:rsidR="0025359C" w:rsidRDefault="0025359C">
                <w:pPr>
                  <w:jc w:val="right"/>
                  <w:rPr>
                    <w:rFonts w:ascii="Arial" w:hAnsi="Arial"/>
                    <w:b/>
                    <w:sz w:val="16"/>
                  </w:rPr>
                </w:pPr>
                <w:r>
                  <w:rPr>
                    <w:rFonts w:ascii="Arial" w:hAnsi="Arial"/>
                    <w:b/>
                    <w:sz w:val="16"/>
                  </w:rPr>
                  <w:t>TTY: 1-888-835-5322</w:t>
                </w:r>
              </w:p>
              <w:p w:rsidR="0025359C" w:rsidRDefault="0025359C">
                <w:pPr>
                  <w:jc w:val="right"/>
                </w:pPr>
              </w:p>
            </w:txbxContent>
          </v:textbox>
        </v:shape>
      </w:pict>
    </w:r>
  </w:p>
  <w:p w:rsidR="0025359C" w:rsidRDefault="0025359C">
    <w:pPr>
      <w:pStyle w:val="Header"/>
      <w:tabs>
        <w:tab w:val="clear" w:pos="4320"/>
        <w:tab w:val="clear" w:pos="8640"/>
        <w:tab w:val="left" w:pos="1080"/>
      </w:tabs>
      <w:ind w:left="720"/>
      <w:rPr>
        <w:rFonts w:ascii="Arial" w:hAnsi="Arial"/>
        <w:b/>
        <w:sz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7D6D3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34.95pt;margin-top:8.5pt;width:41.75pt;height:41.75pt;z-index:251655168" o:allowincell="f">
          <v:imagedata r:id="rId1" o:title="fcc_logo"/>
          <w10:wrap type="topAndBottom"/>
        </v:shape>
      </w:pict>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7D6D37">
    <w:pPr>
      <w:pStyle w:val="Header"/>
      <w:tabs>
        <w:tab w:val="clear" w:pos="4320"/>
        <w:tab w:val="clear" w:pos="8640"/>
        <w:tab w:val="left" w:pos="1080"/>
      </w:tabs>
      <w:spacing w:line="1120" w:lineRule="exact"/>
      <w:ind w:left="720"/>
      <w:rPr>
        <w:rFonts w:ascii="Arial" w:hAnsi="Arial"/>
        <w:b/>
        <w:sz w:val="28"/>
      </w:rPr>
    </w:pPr>
    <w:r>
      <w:rPr>
        <w:rFonts w:ascii="Arial" w:hAnsi="Arial"/>
        <w:b/>
        <w:noProof/>
      </w:rPr>
      <w:pict>
        <v:line id="_x0000_s2052" style="position:absolute;left:0;text-align:left;z-index:251653120"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0" type="#_x0000_t202" style="position:absolute;left:0;text-align:left;margin-left:30pt;margin-top:.4pt;width:244.8pt;height:50.4pt;z-index:251652096" o:allowincell="f" stroked="f">
          <v:textbox style="mso-next-textbox:#_x0000_s2050">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3" type="#_x0000_t202" style="position:absolute;left:0;text-align:left;margin-left:301.5pt;margin-top:10.25pt;width:207.95pt;height:43.2pt;z-index:251654144" o:allowincell="f" stroked="f">
          <v:textbox style="mso-next-textbox:#_x0000_s2053"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7">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removePersonalInformation/>
  <w:removeDateAndTime/>
  <w:activeWritingStyle w:appName="MSWord" w:lang="en-US" w:vendorID="8" w:dllVersion="513" w:checkStyle="1"/>
  <w:attachedTemplate r:id="rId1"/>
  <w:doNotTrackMoves/>
  <w:defaultTabStop w:val="720"/>
  <w:displayHorizontalDrawingGridEvery w:val="0"/>
  <w:displayVerticalDrawingGridEvery w:val="0"/>
  <w:doNotUseMarginsForDrawingGridOrigin/>
  <w:noPunctuationKerning/>
  <w:characterSpacingControl w:val="doNotCompress"/>
  <w:hdrShapeDefaults>
    <o:shapedefaults v:ext="edit" spidmax="2066"/>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5359C"/>
    <w:rsid w:val="000265AE"/>
    <w:rsid w:val="0025359C"/>
    <w:rsid w:val="00376151"/>
    <w:rsid w:val="00602577"/>
    <w:rsid w:val="007D6D37"/>
    <w:rsid w:val="00D17DC0"/>
    <w:rsid w:val="00D60EFF"/>
    <w:rsid w:val="00F13E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59C"/>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ALTS FOOTNOTE"/>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erChar">
    <w:name w:val="Header Char"/>
    <w:link w:val="Header"/>
    <w:semiHidden/>
    <w:rsid w:val="0025359C"/>
    <w:rPr>
      <w:sz w:val="22"/>
    </w:rPr>
  </w:style>
  <w:style w:type="character" w:customStyle="1" w:styleId="FootnoteTextChar">
    <w:name w:val="Footnote Text Char"/>
    <w:aliases w:val="ALTS FOOTNOTE Char"/>
    <w:link w:val="FootnoteText"/>
    <w:semiHidden/>
    <w:rsid w:val="0025359C"/>
    <w:rPr>
      <w:sz w:val="22"/>
    </w:rPr>
  </w:style>
  <w:style w:type="character" w:customStyle="1" w:styleId="FooterChar">
    <w:name w:val="Footer Char"/>
    <w:link w:val="Footer"/>
    <w:uiPriority w:val="99"/>
    <w:rsid w:val="0025359C"/>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851</Words>
  <Characters>4763</Characters>
  <Application>Microsoft Office Word</Application>
  <DocSecurity>0</DocSecurity>
  <Lines>76</Lines>
  <Paragraphs>18</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5622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2002-01-31T15:18:00Z</cp:lastPrinted>
  <dcterms:created xsi:type="dcterms:W3CDTF">2016-11-02T14:41:00Z</dcterms:created>
  <dcterms:modified xsi:type="dcterms:W3CDTF">2016-11-02T14:41:00Z</dcterms:modified>
  <cp:category> </cp:category>
  <cp:contentStatus> </cp:contentStatus>
</cp:coreProperties>
</file>