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DE6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E9FAD80" w14:textId="77777777" w:rsidR="00921803" w:rsidRDefault="00921803" w:rsidP="00921803">
      <w:pPr>
        <w:pStyle w:val="StyleBoldCentered"/>
      </w:pPr>
      <w:r>
        <w:t>F</w:t>
      </w:r>
      <w:r>
        <w:rPr>
          <w:caps w:val="0"/>
        </w:rPr>
        <w:t>ederal Communications Commission</w:t>
      </w:r>
    </w:p>
    <w:p w14:paraId="0ECFE04B" w14:textId="77777777" w:rsidR="004C2EE3" w:rsidRDefault="00810B6F" w:rsidP="00096D8C">
      <w:pPr>
        <w:pStyle w:val="StyleBoldCentered"/>
      </w:pPr>
      <w:r>
        <w:rPr>
          <w:caps w:val="0"/>
        </w:rPr>
        <w:t>Washington, D.C. 20554</w:t>
      </w:r>
    </w:p>
    <w:p w14:paraId="57DC5A16" w14:textId="77777777" w:rsidR="004C2EE3" w:rsidRDefault="004C2EE3" w:rsidP="0070224F"/>
    <w:p w14:paraId="3B78EAB7"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5DB88CC" w14:textId="77777777">
        <w:tc>
          <w:tcPr>
            <w:tcW w:w="4698" w:type="dxa"/>
          </w:tcPr>
          <w:p w14:paraId="28D13776" w14:textId="60389402" w:rsidR="004C2EE3" w:rsidRDefault="004C2EE3">
            <w:pPr>
              <w:tabs>
                <w:tab w:val="center" w:pos="4680"/>
              </w:tabs>
              <w:suppressAutoHyphens/>
              <w:rPr>
                <w:spacing w:val="-2"/>
              </w:rPr>
            </w:pPr>
            <w:r>
              <w:rPr>
                <w:spacing w:val="-2"/>
              </w:rPr>
              <w:t>In the Matter of</w:t>
            </w:r>
          </w:p>
          <w:p w14:paraId="7D49808E" w14:textId="77777777" w:rsidR="004C2EE3" w:rsidRDefault="004C2EE3">
            <w:pPr>
              <w:tabs>
                <w:tab w:val="center" w:pos="4680"/>
              </w:tabs>
              <w:suppressAutoHyphens/>
              <w:rPr>
                <w:spacing w:val="-2"/>
              </w:rPr>
            </w:pPr>
          </w:p>
          <w:p w14:paraId="07D5CDDC" w14:textId="649DB04B" w:rsidR="004C2EE3" w:rsidRDefault="0018692A" w:rsidP="007115F7">
            <w:pPr>
              <w:tabs>
                <w:tab w:val="center" w:pos="4680"/>
              </w:tabs>
              <w:suppressAutoHyphens/>
              <w:rPr>
                <w:spacing w:val="-2"/>
              </w:rPr>
            </w:pPr>
            <w:r>
              <w:rPr>
                <w:spacing w:val="-2"/>
              </w:rPr>
              <w:t>Vasco Oburoni,</w:t>
            </w:r>
          </w:p>
          <w:p w14:paraId="4E207C3B" w14:textId="77777777" w:rsidR="00EC3D0A" w:rsidRDefault="00EC3D0A" w:rsidP="007115F7">
            <w:pPr>
              <w:tabs>
                <w:tab w:val="center" w:pos="4680"/>
              </w:tabs>
              <w:suppressAutoHyphens/>
              <w:rPr>
                <w:spacing w:val="-2"/>
              </w:rPr>
            </w:pPr>
          </w:p>
          <w:p w14:paraId="49043A53" w14:textId="77777777" w:rsidR="0018692A" w:rsidRDefault="0018692A" w:rsidP="007115F7">
            <w:pPr>
              <w:tabs>
                <w:tab w:val="center" w:pos="4680"/>
              </w:tabs>
              <w:suppressAutoHyphens/>
              <w:rPr>
                <w:spacing w:val="-2"/>
              </w:rPr>
            </w:pPr>
            <w:r>
              <w:rPr>
                <w:spacing w:val="-2"/>
              </w:rPr>
              <w:t>Worcester, Massachusetts</w:t>
            </w:r>
          </w:p>
          <w:p w14:paraId="30473795" w14:textId="6F3FB5FB" w:rsidR="00BF32D8" w:rsidRPr="007115F7" w:rsidRDefault="00BF32D8" w:rsidP="007115F7">
            <w:pPr>
              <w:tabs>
                <w:tab w:val="center" w:pos="4680"/>
              </w:tabs>
              <w:suppressAutoHyphens/>
              <w:rPr>
                <w:spacing w:val="-2"/>
              </w:rPr>
            </w:pPr>
          </w:p>
        </w:tc>
        <w:tc>
          <w:tcPr>
            <w:tcW w:w="630" w:type="dxa"/>
          </w:tcPr>
          <w:p w14:paraId="372C0D9F" w14:textId="77777777" w:rsidR="004C2EE3" w:rsidRDefault="004C2EE3">
            <w:pPr>
              <w:tabs>
                <w:tab w:val="center" w:pos="4680"/>
              </w:tabs>
              <w:suppressAutoHyphens/>
              <w:rPr>
                <w:b/>
                <w:spacing w:val="-2"/>
              </w:rPr>
            </w:pPr>
            <w:r>
              <w:rPr>
                <w:b/>
                <w:spacing w:val="-2"/>
              </w:rPr>
              <w:t>)</w:t>
            </w:r>
          </w:p>
          <w:p w14:paraId="301352F9" w14:textId="77777777" w:rsidR="004C2EE3" w:rsidRDefault="004C2EE3">
            <w:pPr>
              <w:tabs>
                <w:tab w:val="center" w:pos="4680"/>
              </w:tabs>
              <w:suppressAutoHyphens/>
              <w:rPr>
                <w:b/>
                <w:spacing w:val="-2"/>
              </w:rPr>
            </w:pPr>
            <w:r>
              <w:rPr>
                <w:b/>
                <w:spacing w:val="-2"/>
              </w:rPr>
              <w:t>)</w:t>
            </w:r>
          </w:p>
          <w:p w14:paraId="7062D57F" w14:textId="77777777" w:rsidR="004C2EE3" w:rsidRDefault="004C2EE3">
            <w:pPr>
              <w:tabs>
                <w:tab w:val="center" w:pos="4680"/>
              </w:tabs>
              <w:suppressAutoHyphens/>
              <w:rPr>
                <w:b/>
                <w:spacing w:val="-2"/>
              </w:rPr>
            </w:pPr>
            <w:r>
              <w:rPr>
                <w:b/>
                <w:spacing w:val="-2"/>
              </w:rPr>
              <w:t>)</w:t>
            </w:r>
          </w:p>
          <w:p w14:paraId="1AA56E70" w14:textId="77777777" w:rsidR="004C2EE3" w:rsidRDefault="004C2EE3">
            <w:pPr>
              <w:tabs>
                <w:tab w:val="center" w:pos="4680"/>
              </w:tabs>
              <w:suppressAutoHyphens/>
              <w:rPr>
                <w:b/>
                <w:spacing w:val="-2"/>
              </w:rPr>
            </w:pPr>
            <w:r>
              <w:rPr>
                <w:b/>
                <w:spacing w:val="-2"/>
              </w:rPr>
              <w:t>)</w:t>
            </w:r>
          </w:p>
          <w:p w14:paraId="578A778F" w14:textId="77777777" w:rsidR="004C2EE3" w:rsidRDefault="004C2EE3">
            <w:pPr>
              <w:tabs>
                <w:tab w:val="center" w:pos="4680"/>
              </w:tabs>
              <w:suppressAutoHyphens/>
              <w:rPr>
                <w:b/>
                <w:spacing w:val="-2"/>
              </w:rPr>
            </w:pPr>
            <w:r>
              <w:rPr>
                <w:b/>
                <w:spacing w:val="-2"/>
              </w:rPr>
              <w:t>)</w:t>
            </w:r>
          </w:p>
          <w:p w14:paraId="76197D9D" w14:textId="77777777" w:rsidR="004C2EE3" w:rsidRDefault="004C2EE3">
            <w:pPr>
              <w:tabs>
                <w:tab w:val="center" w:pos="4680"/>
              </w:tabs>
              <w:suppressAutoHyphens/>
              <w:rPr>
                <w:b/>
                <w:spacing w:val="-2"/>
              </w:rPr>
            </w:pPr>
            <w:r>
              <w:rPr>
                <w:b/>
                <w:spacing w:val="-2"/>
              </w:rPr>
              <w:t>)</w:t>
            </w:r>
          </w:p>
          <w:p w14:paraId="4AF4F9FA" w14:textId="77777777" w:rsidR="004C2EE3" w:rsidRDefault="004C2EE3">
            <w:pPr>
              <w:tabs>
                <w:tab w:val="center" w:pos="4680"/>
              </w:tabs>
              <w:suppressAutoHyphens/>
              <w:rPr>
                <w:b/>
                <w:spacing w:val="-2"/>
              </w:rPr>
            </w:pPr>
            <w:r>
              <w:rPr>
                <w:b/>
                <w:spacing w:val="-2"/>
              </w:rPr>
              <w:t>)</w:t>
            </w:r>
          </w:p>
          <w:p w14:paraId="73C9DB6C" w14:textId="5DEC7703" w:rsidR="004C2EE3" w:rsidRPr="00EC3D0A" w:rsidRDefault="004C2EE3">
            <w:pPr>
              <w:tabs>
                <w:tab w:val="center" w:pos="4680"/>
              </w:tabs>
              <w:suppressAutoHyphens/>
              <w:rPr>
                <w:b/>
                <w:spacing w:val="-2"/>
              </w:rPr>
            </w:pPr>
            <w:r>
              <w:rPr>
                <w:b/>
                <w:spacing w:val="-2"/>
              </w:rPr>
              <w:t>)</w:t>
            </w:r>
          </w:p>
        </w:tc>
        <w:tc>
          <w:tcPr>
            <w:tcW w:w="4248" w:type="dxa"/>
          </w:tcPr>
          <w:p w14:paraId="1E0EA9C0" w14:textId="77777777" w:rsidR="004C2EE3" w:rsidRDefault="004C2EE3">
            <w:pPr>
              <w:pStyle w:val="TOAHeading"/>
              <w:tabs>
                <w:tab w:val="clear" w:pos="9360"/>
                <w:tab w:val="center" w:pos="4680"/>
              </w:tabs>
              <w:rPr>
                <w:spacing w:val="-2"/>
              </w:rPr>
            </w:pPr>
          </w:p>
          <w:p w14:paraId="3392DA8E" w14:textId="009F6CD2" w:rsidR="004C2EE3" w:rsidRDefault="0018692A">
            <w:pPr>
              <w:tabs>
                <w:tab w:val="center" w:pos="4680"/>
              </w:tabs>
              <w:suppressAutoHyphens/>
              <w:rPr>
                <w:spacing w:val="-2"/>
              </w:rPr>
            </w:pPr>
            <w:r>
              <w:rPr>
                <w:spacing w:val="-2"/>
              </w:rPr>
              <w:t>File No.: EB-FIELDNER-1</w:t>
            </w:r>
            <w:r w:rsidR="00BF32D8">
              <w:rPr>
                <w:spacing w:val="-2"/>
              </w:rPr>
              <w:t>5</w:t>
            </w:r>
            <w:r>
              <w:rPr>
                <w:spacing w:val="-2"/>
              </w:rPr>
              <w:t>-00019024</w:t>
            </w:r>
          </w:p>
          <w:p w14:paraId="23D74F15" w14:textId="49AF0612" w:rsidR="0018692A" w:rsidRDefault="0018692A">
            <w:pPr>
              <w:tabs>
                <w:tab w:val="center" w:pos="4680"/>
              </w:tabs>
              <w:suppressAutoHyphens/>
              <w:rPr>
                <w:spacing w:val="-2"/>
              </w:rPr>
            </w:pPr>
            <w:r>
              <w:rPr>
                <w:spacing w:val="-2"/>
              </w:rPr>
              <w:t xml:space="preserve">NAL/Acct. No: </w:t>
            </w:r>
            <w:r w:rsidR="00A474CF" w:rsidRPr="00A474CF">
              <w:rPr>
                <w:spacing w:val="-2"/>
              </w:rPr>
              <w:t>201732260001</w:t>
            </w:r>
          </w:p>
          <w:p w14:paraId="65A62AFB" w14:textId="23608C57" w:rsidR="0018692A" w:rsidRDefault="0018692A">
            <w:pPr>
              <w:tabs>
                <w:tab w:val="center" w:pos="4680"/>
              </w:tabs>
              <w:suppressAutoHyphens/>
              <w:rPr>
                <w:spacing w:val="-2"/>
              </w:rPr>
            </w:pPr>
            <w:r>
              <w:rPr>
                <w:spacing w:val="-2"/>
              </w:rPr>
              <w:t xml:space="preserve">FRN: </w:t>
            </w:r>
            <w:r w:rsidR="009F2FC5" w:rsidRPr="009F2FC5">
              <w:rPr>
                <w:spacing w:val="-2"/>
              </w:rPr>
              <w:t>0026006791</w:t>
            </w:r>
          </w:p>
          <w:p w14:paraId="160195C6" w14:textId="0F8815C3" w:rsidR="00BF32D8" w:rsidRDefault="00BF32D8">
            <w:pPr>
              <w:tabs>
                <w:tab w:val="center" w:pos="4680"/>
              </w:tabs>
              <w:suppressAutoHyphens/>
              <w:rPr>
                <w:spacing w:val="-2"/>
              </w:rPr>
            </w:pPr>
          </w:p>
        </w:tc>
      </w:tr>
    </w:tbl>
    <w:p w14:paraId="621BD8F8" w14:textId="77777777" w:rsidR="004C2EE3" w:rsidRDefault="004C2EE3" w:rsidP="0070224F"/>
    <w:p w14:paraId="615F7A48" w14:textId="77777777" w:rsidR="00841AB1" w:rsidRDefault="0018692A" w:rsidP="00F021FA">
      <w:pPr>
        <w:pStyle w:val="StyleBoldCentered"/>
      </w:pPr>
      <w:r>
        <w:t>Notice of Apparent Liability for Forfeiture</w:t>
      </w:r>
    </w:p>
    <w:p w14:paraId="26E31458" w14:textId="77777777" w:rsidR="004C2EE3" w:rsidRDefault="004C2EE3">
      <w:pPr>
        <w:tabs>
          <w:tab w:val="left" w:pos="-720"/>
        </w:tabs>
        <w:suppressAutoHyphens/>
        <w:spacing w:line="227" w:lineRule="auto"/>
        <w:rPr>
          <w:spacing w:val="-2"/>
        </w:rPr>
      </w:pPr>
    </w:p>
    <w:p w14:paraId="709034EE" w14:textId="6EC721E0" w:rsidR="004C2EE3" w:rsidRDefault="004C2EE3" w:rsidP="00133F79">
      <w:pPr>
        <w:tabs>
          <w:tab w:val="left" w:pos="720"/>
          <w:tab w:val="right" w:pos="9360"/>
        </w:tabs>
        <w:suppressAutoHyphens/>
        <w:spacing w:line="227" w:lineRule="auto"/>
        <w:rPr>
          <w:spacing w:val="-2"/>
        </w:rPr>
      </w:pPr>
      <w:r>
        <w:rPr>
          <w:b/>
          <w:spacing w:val="-2"/>
        </w:rPr>
        <w:t xml:space="preserve">Adopted:  </w:t>
      </w:r>
      <w:r w:rsidR="00725BDB">
        <w:rPr>
          <w:b/>
          <w:spacing w:val="-2"/>
        </w:rPr>
        <w:t>November 9,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25BDB">
        <w:rPr>
          <w:b/>
          <w:spacing w:val="-2"/>
        </w:rPr>
        <w:t>November 10, 2016</w:t>
      </w:r>
    </w:p>
    <w:p w14:paraId="674B7ACE" w14:textId="77777777" w:rsidR="00822CE0" w:rsidRDefault="00822CE0"/>
    <w:p w14:paraId="55B323DA" w14:textId="127644FD" w:rsidR="004C2EE3" w:rsidRDefault="004C2EE3">
      <w:pPr>
        <w:rPr>
          <w:spacing w:val="-2"/>
        </w:rPr>
      </w:pPr>
      <w:r>
        <w:t xml:space="preserve">By </w:t>
      </w:r>
      <w:r w:rsidR="004E4A22">
        <w:t>the</w:t>
      </w:r>
      <w:r w:rsidR="0018692A">
        <w:t xml:space="preserve"> Regional Director, Region One, Enforcement Bureau:</w:t>
      </w:r>
    </w:p>
    <w:p w14:paraId="54733511" w14:textId="77777777" w:rsidR="00822CE0" w:rsidRDefault="00822CE0">
      <w:pPr>
        <w:rPr>
          <w:spacing w:val="-2"/>
        </w:rPr>
      </w:pPr>
    </w:p>
    <w:p w14:paraId="62C7A2F8" w14:textId="77777777" w:rsidR="00412FC5" w:rsidRDefault="00412FC5" w:rsidP="00412FC5"/>
    <w:p w14:paraId="1FC3DD1C" w14:textId="77777777" w:rsidR="002C00E8" w:rsidRDefault="0018692A" w:rsidP="002C00E8">
      <w:pPr>
        <w:pStyle w:val="Heading1"/>
      </w:pPr>
      <w:r>
        <w:t>Introduction</w:t>
      </w:r>
    </w:p>
    <w:p w14:paraId="38064CEB" w14:textId="12A8ABFD" w:rsidR="0018692A" w:rsidRDefault="00826155" w:rsidP="00EC3D0A">
      <w:pPr>
        <w:pStyle w:val="ParaNum"/>
        <w:tabs>
          <w:tab w:val="clear" w:pos="1080"/>
          <w:tab w:val="num" w:pos="1440"/>
        </w:tabs>
      </w:pPr>
      <w:r>
        <w:t>We propose a penalty of $</w:t>
      </w:r>
      <w:r w:rsidR="00A474CF">
        <w:t>1</w:t>
      </w:r>
      <w:r>
        <w:t>5,000 against Vasco Oburoni</w:t>
      </w:r>
      <w:r w:rsidR="00BF32D8">
        <w:t xml:space="preserve"> </w:t>
      </w:r>
      <w:r>
        <w:t xml:space="preserve">for operating </w:t>
      </w:r>
      <w:r w:rsidRPr="00826155">
        <w:t xml:space="preserve">an unlicensed radio station on </w:t>
      </w:r>
      <w:r>
        <w:t>102.3 MHz i</w:t>
      </w:r>
      <w:r w:rsidRPr="00826155">
        <w:t xml:space="preserve">n </w:t>
      </w:r>
      <w:r>
        <w:t>Worcester, Massachusetts</w:t>
      </w:r>
      <w:r w:rsidRPr="00826155">
        <w:t xml:space="preserve">.  The Commission previously warned </w:t>
      </w:r>
      <w:r w:rsidR="00EC3D0A">
        <w:t xml:space="preserve">Mr. Oburoni </w:t>
      </w:r>
      <w:r w:rsidRPr="00826155">
        <w:t xml:space="preserve">that operation of this unlicensed station was illegal and that continued operation could result in further enforcement action.  </w:t>
      </w:r>
      <w:r w:rsidR="00EC3D0A">
        <w:t xml:space="preserve">Mr. Oburoni’s </w:t>
      </w:r>
      <w:r w:rsidRPr="00826155">
        <w:t>deliberate disregard of the Commission’s warning warrants a significant penalty.  Commission action in this area is essential because unlicensed radio stations create a danger of interference to licensed communications and undermine the Commission’s authority over FM broadcast radio operations.</w:t>
      </w:r>
    </w:p>
    <w:p w14:paraId="1E5586FD" w14:textId="663F49E4" w:rsidR="00826155" w:rsidRDefault="00826155" w:rsidP="00826155">
      <w:pPr>
        <w:pStyle w:val="Heading1"/>
      </w:pPr>
      <w:r>
        <w:t>Background</w:t>
      </w:r>
    </w:p>
    <w:p w14:paraId="7AA93D73" w14:textId="4C5164A3" w:rsidR="00320891" w:rsidRDefault="00C30755" w:rsidP="00EC3D0A">
      <w:pPr>
        <w:pStyle w:val="ParaNum"/>
        <w:tabs>
          <w:tab w:val="clear" w:pos="1080"/>
          <w:tab w:val="num" w:pos="1440"/>
        </w:tabs>
      </w:pPr>
      <w:r>
        <w:t>On April 2</w:t>
      </w:r>
      <w:r w:rsidR="00BF32D8">
        <w:t>1</w:t>
      </w:r>
      <w:r>
        <w:t xml:space="preserve">, 2015, the Enforcement Bureau’s Boston Field Office (Boston Office) received a complaint alleging that an unlicensed FM broadcast station operating on 102.3 MHz was causing interference to Station WKLB-FM, 102.5 FM in the vicinity of Worcester, Massachusetts.  On April 28, 2015, two agents from the Boston Office used </w:t>
      </w:r>
      <w:r w:rsidRPr="00C30755">
        <w:t>mobile direction-finding techniques to identify the source of radio</w:t>
      </w:r>
      <w:r w:rsidR="00EA459D">
        <w:t xml:space="preserve"> </w:t>
      </w:r>
      <w:r w:rsidRPr="00C30755">
        <w:t xml:space="preserve">frequency transmissions on the frequency </w:t>
      </w:r>
      <w:r>
        <w:t xml:space="preserve">102.3 MHz </w:t>
      </w:r>
      <w:r w:rsidRPr="00C30755">
        <w:t xml:space="preserve">as an FM </w:t>
      </w:r>
      <w:r w:rsidR="00320891">
        <w:t xml:space="preserve">antenna mounted on the roof of </w:t>
      </w:r>
      <w:r w:rsidR="00EC3D0A">
        <w:t xml:space="preserve">Christian Praise International’s (CPI) </w:t>
      </w:r>
      <w:r>
        <w:t xml:space="preserve">church building located at 52 Ward Street, Worcester, Massachusetts.  </w:t>
      </w:r>
      <w:r w:rsidR="00BF32D8">
        <w:t xml:space="preserve">The agents recorded the station’s audio stream and photographed the FM antenna and its coaxial cable leading into the building.  On June 11, 2015, the agents returned to 52 Ward Street and, upon taking </w:t>
      </w:r>
      <w:r w:rsidRPr="00C30755">
        <w:t>field strength measurements of the station’s signal</w:t>
      </w:r>
      <w:r w:rsidR="00BF32D8">
        <w:t>,</w:t>
      </w:r>
      <w:r w:rsidRPr="00C30755">
        <w:t xml:space="preserve"> determined that the transmissions on </w:t>
      </w:r>
      <w:r>
        <w:t>102.3 </w:t>
      </w:r>
      <w:r w:rsidRPr="00C30755">
        <w:t>MHz exceeded the limits for operation under Part 15 of the Commission’s rules (Rules), an</w:t>
      </w:r>
      <w:r>
        <w:t>d therefore required a license.</w:t>
      </w:r>
      <w:r>
        <w:rPr>
          <w:rStyle w:val="FootnoteReference"/>
        </w:rPr>
        <w:footnoteReference w:id="2"/>
      </w:r>
      <w:r w:rsidRPr="00C30755">
        <w:t xml:space="preserve">  The agent</w:t>
      </w:r>
      <w:r>
        <w:t>s</w:t>
      </w:r>
      <w:r w:rsidRPr="00C30755">
        <w:t xml:space="preserve"> consulted the Commission’s records and confirmed that the Commission had not authorized an FM broadcast station to operate on </w:t>
      </w:r>
      <w:r>
        <w:t>102.3 MHz at or near 52 Ward Street</w:t>
      </w:r>
      <w:r w:rsidRPr="00C30755">
        <w:t xml:space="preserve">.  </w:t>
      </w:r>
      <w:r w:rsidR="00320891">
        <w:t>On June 11, 2015, the agents posted a Notice of Unlicensed Radio Operation on the door of 52 Ward Street (Field Notice).</w:t>
      </w:r>
      <w:r w:rsidR="00320891">
        <w:rPr>
          <w:rStyle w:val="FootnoteReference"/>
        </w:rPr>
        <w:footnoteReference w:id="3"/>
      </w:r>
      <w:r w:rsidR="00320891">
        <w:t xml:space="preserve">  On June 30, the Boston Office mailed a Warning of Unlicensed Operation to </w:t>
      </w:r>
      <w:r w:rsidR="00EC3D0A">
        <w:lastRenderedPageBreak/>
        <w:t xml:space="preserve">Mr. </w:t>
      </w:r>
      <w:r w:rsidR="00320891">
        <w:t>Oburoni (Warning Letter).</w:t>
      </w:r>
      <w:r w:rsidR="00320891">
        <w:rPr>
          <w:rStyle w:val="FootnoteReference"/>
        </w:rPr>
        <w:footnoteReference w:id="4"/>
      </w:r>
      <w:r w:rsidR="00320891">
        <w:t xml:space="preserve">  On July 1, 2015, the Boston Office mailed a Notice of Unlicensed Operation to </w:t>
      </w:r>
      <w:r w:rsidR="00EC3D0A">
        <w:t xml:space="preserve">Mr. </w:t>
      </w:r>
      <w:r w:rsidR="00320891">
        <w:t>Oburoni (NOUO</w:t>
      </w:r>
      <w:r w:rsidR="00162455">
        <w:t xml:space="preserve"> and, together with the Field Notice and Warning Letter, the Enforcement Actions</w:t>
      </w:r>
      <w:r w:rsidR="00320891">
        <w:t>).</w:t>
      </w:r>
      <w:r w:rsidR="00320891">
        <w:rPr>
          <w:rStyle w:val="FootnoteReference"/>
        </w:rPr>
        <w:footnoteReference w:id="5"/>
      </w:r>
      <w:r w:rsidR="00320891">
        <w:t xml:space="preserve">  Each of the</w:t>
      </w:r>
      <w:r w:rsidR="00A10B0B">
        <w:t xml:space="preserve"> Enforcement Actions </w:t>
      </w:r>
      <w:r w:rsidR="00EC3D0A">
        <w:t xml:space="preserve">informed Mr. Oburoni </w:t>
      </w:r>
      <w:r w:rsidR="00320891">
        <w:t xml:space="preserve">that </w:t>
      </w:r>
      <w:r w:rsidRPr="00C30755">
        <w:t xml:space="preserve">an unlicensed radio station was operating at </w:t>
      </w:r>
      <w:r w:rsidR="00320891">
        <w:t xml:space="preserve">102.3 MHz at 52 Ward Street and warned </w:t>
      </w:r>
      <w:r w:rsidR="00301467">
        <w:t xml:space="preserve">him </w:t>
      </w:r>
      <w:r w:rsidR="00320891">
        <w:t xml:space="preserve">that </w:t>
      </w:r>
      <w:r w:rsidRPr="00C30755">
        <w:t xml:space="preserve">continued unlicensed operations could result in additional enforcement action. </w:t>
      </w:r>
      <w:r w:rsidR="00320891">
        <w:t xml:space="preserve"> </w:t>
      </w:r>
    </w:p>
    <w:p w14:paraId="11CE48EE" w14:textId="698E9DD3" w:rsidR="00C30755" w:rsidRPr="00C30755" w:rsidRDefault="00320891" w:rsidP="00EC3D0A">
      <w:pPr>
        <w:pStyle w:val="ParaNum"/>
        <w:tabs>
          <w:tab w:val="clear" w:pos="1080"/>
          <w:tab w:val="num" w:pos="1440"/>
        </w:tabs>
      </w:pPr>
      <w:r>
        <w:t xml:space="preserve">On July 10, 2015, </w:t>
      </w:r>
      <w:r w:rsidR="00EC3D0A">
        <w:t xml:space="preserve">Mr. </w:t>
      </w:r>
      <w:r>
        <w:t xml:space="preserve">Oburoni met with an agent at the Boston Office to discuss the </w:t>
      </w:r>
      <w:r w:rsidR="00A10B0B">
        <w:t>Enforcement Actions</w:t>
      </w:r>
      <w:r>
        <w:t xml:space="preserve">.  During the meeting, </w:t>
      </w:r>
      <w:r w:rsidR="00EC3D0A">
        <w:t xml:space="preserve">Mr. </w:t>
      </w:r>
      <w:r>
        <w:t xml:space="preserve">Oburoni admitted that he was the operator of the radio station, acknowledged that he did not have </w:t>
      </w:r>
      <w:r w:rsidR="0038240D">
        <w:t>Commission</w:t>
      </w:r>
      <w:r>
        <w:t xml:space="preserve"> authorization to operate an FM broadcast station on 102.3 MHz, and requested information on how to obtain a license from the Commission.  The agent instructed </w:t>
      </w:r>
      <w:r w:rsidR="0038240D">
        <w:t xml:space="preserve">Mr. </w:t>
      </w:r>
      <w:r>
        <w:t>Oburoni that he must immediately cease operating the unlicensed station.  The agent also directed Mr. Oburoni to the Media Bureau’s website to learn mor</w:t>
      </w:r>
      <w:r w:rsidR="009B5BD5">
        <w:t>e</w:t>
      </w:r>
      <w:r>
        <w:t xml:space="preserve"> about the process of obtaining a license to operate an FM broadcast station.</w:t>
      </w:r>
      <w:r w:rsidR="00C30755" w:rsidRPr="00C30755">
        <w:t xml:space="preserve">  </w:t>
      </w:r>
    </w:p>
    <w:p w14:paraId="65541890" w14:textId="0C429CC1" w:rsidR="00826155" w:rsidRDefault="009B5BD5" w:rsidP="00EC3D0A">
      <w:pPr>
        <w:pStyle w:val="ParaNum"/>
        <w:tabs>
          <w:tab w:val="clear" w:pos="1080"/>
          <w:tab w:val="num" w:pos="1440"/>
        </w:tabs>
      </w:pPr>
      <w:r>
        <w:t>On May 2, 2016, agents from the Boston Office observed that a station was again operating on 102.3 MHz in Worcester, Massachusetts</w:t>
      </w:r>
      <w:r w:rsidR="00955478">
        <w:t xml:space="preserve"> and recorded the station’s audio stream.  On May 4, 2016, the agents returned to Worcester and, after confirming that an unlicensed station was still operating on 102.3 MHz, used </w:t>
      </w:r>
      <w:r w:rsidR="00955478" w:rsidRPr="00C30755">
        <w:t>mobile direction-finding techniques to identify the source of radio</w:t>
      </w:r>
      <w:r w:rsidR="00EA459D">
        <w:t xml:space="preserve"> </w:t>
      </w:r>
      <w:r w:rsidR="00955478" w:rsidRPr="00C30755">
        <w:t xml:space="preserve">frequency transmissions on the frequency </w:t>
      </w:r>
      <w:r w:rsidR="00955478">
        <w:t xml:space="preserve">102.3 MHz </w:t>
      </w:r>
      <w:r w:rsidR="00955478" w:rsidRPr="00C30755">
        <w:t xml:space="preserve">as an FM </w:t>
      </w:r>
      <w:r w:rsidR="00955478">
        <w:t>antenna mounted on the roof of CPI’s</w:t>
      </w:r>
      <w:r w:rsidR="00955478" w:rsidRPr="00C30755">
        <w:t xml:space="preserve"> </w:t>
      </w:r>
      <w:r w:rsidR="00955478">
        <w:t xml:space="preserve">church building located at 52 Ward Street, Worcester, Massachusetts.  The agents then took </w:t>
      </w:r>
      <w:r w:rsidR="00955478" w:rsidRPr="00C30755">
        <w:t>field strength measurements of the station’s signal</w:t>
      </w:r>
      <w:r w:rsidR="00955478">
        <w:t xml:space="preserve"> and </w:t>
      </w:r>
      <w:r w:rsidR="00955478" w:rsidRPr="00C30755">
        <w:t xml:space="preserve">determined that the transmissions on </w:t>
      </w:r>
      <w:r w:rsidR="00955478">
        <w:t>102.3 </w:t>
      </w:r>
      <w:r w:rsidR="00955478" w:rsidRPr="00C30755">
        <w:t>MHz exceeded the limits for operation under Part 15 of the Commission’s rules (Rules), an</w:t>
      </w:r>
      <w:r w:rsidR="00955478">
        <w:t>d therefore required a license.</w:t>
      </w:r>
      <w:r w:rsidR="00955478">
        <w:rPr>
          <w:rStyle w:val="FootnoteReference"/>
        </w:rPr>
        <w:footnoteReference w:id="6"/>
      </w:r>
      <w:r w:rsidR="00955478">
        <w:t xml:space="preserve">  </w:t>
      </w:r>
      <w:r w:rsidR="00A10B0B" w:rsidRPr="00C30755">
        <w:t>The agent</w:t>
      </w:r>
      <w:r w:rsidR="00A10B0B">
        <w:t>s</w:t>
      </w:r>
      <w:r w:rsidR="00A10B0B" w:rsidRPr="00C30755">
        <w:t xml:space="preserve"> consulted the Commission’s records and confirmed that the Commission had not authorized an FM broadcast station to operate on </w:t>
      </w:r>
      <w:r w:rsidR="00A10B0B">
        <w:t>102.3 MHz at or near 52 Ward Street</w:t>
      </w:r>
      <w:r w:rsidR="00A10B0B" w:rsidRPr="00C30755">
        <w:t>.</w:t>
      </w:r>
    </w:p>
    <w:p w14:paraId="737ED376" w14:textId="2D55CC27" w:rsidR="00955478" w:rsidRDefault="00955478" w:rsidP="00955478">
      <w:pPr>
        <w:pStyle w:val="Heading1"/>
      </w:pPr>
      <w:r>
        <w:t>Discussion</w:t>
      </w:r>
    </w:p>
    <w:p w14:paraId="7BF97DA3" w14:textId="33C62EA1" w:rsidR="00955478" w:rsidRDefault="00955478" w:rsidP="00162455">
      <w:pPr>
        <w:pStyle w:val="ParaNum"/>
        <w:tabs>
          <w:tab w:val="clear" w:pos="1080"/>
          <w:tab w:val="num" w:pos="1440"/>
        </w:tabs>
      </w:pPr>
      <w:r w:rsidRPr="00955478">
        <w:t xml:space="preserve">We find that </w:t>
      </w:r>
      <w:r w:rsidR="00EC3D0A">
        <w:t>Mr. Oburoni</w:t>
      </w:r>
      <w:r w:rsidR="00162455">
        <w:t xml:space="preserve"> </w:t>
      </w:r>
      <w:r w:rsidRPr="00955478">
        <w:t>willfully and repeatedly violated Section 301 of the Communications Act of 1934, as amended (Act).  Section 301 of the Act states that no person shall use or operate any apparatus for the transmission of energy or communications or signals by radio within the United States without a license granted by the Commission.</w:t>
      </w:r>
      <w:r w:rsidR="00162455">
        <w:rPr>
          <w:rStyle w:val="FootnoteReference"/>
        </w:rPr>
        <w:footnoteReference w:id="7"/>
      </w:r>
      <w:r w:rsidR="00162455">
        <w:t xml:space="preserve">  Here, agents from the Bo</w:t>
      </w:r>
      <w:r w:rsidR="00EC3D0A">
        <w:t xml:space="preserve">ston Office determined that Mr. Oburoni </w:t>
      </w:r>
      <w:r w:rsidR="00162455">
        <w:t xml:space="preserve">operated an unlicensed FM broadcast station on 102.3 MHz using a transmitter located </w:t>
      </w:r>
      <w:r w:rsidR="004205B2">
        <w:t xml:space="preserve">within the CPI building at 52 Ward Street </w:t>
      </w:r>
      <w:r w:rsidR="00162455">
        <w:t xml:space="preserve">on April 28, 2015; June 11, 2015; May 2, 2016; and May 4, 2016.  </w:t>
      </w:r>
    </w:p>
    <w:p w14:paraId="2C785F81" w14:textId="1978AA30" w:rsidR="001F48A5" w:rsidRDefault="00A10B0B" w:rsidP="00B712E3">
      <w:pPr>
        <w:pStyle w:val="ParaNum"/>
        <w:widowControl/>
        <w:tabs>
          <w:tab w:val="clear" w:pos="1080"/>
          <w:tab w:val="num" w:pos="1440"/>
        </w:tabs>
      </w:pPr>
      <w:r>
        <w:t xml:space="preserve">As discussed above, </w:t>
      </w:r>
      <w:r w:rsidR="00D43B92">
        <w:t>f</w:t>
      </w:r>
      <w:r w:rsidR="00162455">
        <w:t xml:space="preserve">ollowing the June 11, 2015 investigation, the agents from the Boston Office issued </w:t>
      </w:r>
      <w:r w:rsidR="00507E4F">
        <w:t xml:space="preserve">to Mr. Oburoni the Enforcement Actions, each of which </w:t>
      </w:r>
      <w:r w:rsidR="00162455">
        <w:t xml:space="preserve">explained that </w:t>
      </w:r>
      <w:r w:rsidR="004205B2">
        <w:t xml:space="preserve">Mr. Oburoni’s operation of an unlicensed transmitter </w:t>
      </w:r>
      <w:r w:rsidR="00162455">
        <w:t>on 102.3 MHz was not authorized and must immediately cease.  In response to the Enforcement Actions, Mr. Oburoni met with agents of the Boston Office, where he admitted that he was the operator of the station on 102.3 MHz in Worcester</w:t>
      </w:r>
      <w:r w:rsidR="00E91493">
        <w:t xml:space="preserve">, acknowledged that he did not possess authority from the Commission to operate on that frequency, and </w:t>
      </w:r>
      <w:r w:rsidR="00162455">
        <w:t>inquired about the process for obtaining a license from the Commission.</w:t>
      </w:r>
      <w:r w:rsidR="004205B2">
        <w:rPr>
          <w:rStyle w:val="FootnoteReference"/>
        </w:rPr>
        <w:footnoteReference w:id="8"/>
      </w:r>
      <w:r w:rsidR="00162455">
        <w:t xml:space="preserve">  </w:t>
      </w:r>
      <w:r>
        <w:t xml:space="preserve">Since that time, however, </w:t>
      </w:r>
      <w:r w:rsidR="004205B2">
        <w:t xml:space="preserve">Mr. Oburoni has </w:t>
      </w:r>
      <w:r w:rsidR="00E91493">
        <w:t>not sought authority from the Commission to operate on 102.3 MHz from CPI’s facilities at 52 Ward Street</w:t>
      </w:r>
      <w:r>
        <w:t xml:space="preserve">, yet he has </w:t>
      </w:r>
      <w:r w:rsidR="001F48A5">
        <w:t xml:space="preserve">continued to operate the unlicensed station in apparent willful and repeated violation of Section 301 of the Act. </w:t>
      </w:r>
    </w:p>
    <w:p w14:paraId="0F101A00" w14:textId="64519FC3" w:rsidR="00507E4F" w:rsidRDefault="001F48A5" w:rsidP="005769A2">
      <w:pPr>
        <w:pStyle w:val="ParaNum"/>
        <w:widowControl/>
        <w:tabs>
          <w:tab w:val="clear" w:pos="1080"/>
          <w:tab w:val="num" w:pos="1440"/>
        </w:tabs>
      </w:pPr>
      <w:r w:rsidRPr="001F48A5">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9"/>
      </w:r>
      <w:r>
        <w:t xml:space="preserve"> </w:t>
      </w:r>
      <w:r w:rsidRPr="001F48A5">
        <w:t xml:space="preserve"> Here, Section 503(b)(2)(E) of the Act authorizes us to assess a forfeiture against </w:t>
      </w:r>
      <w:r w:rsidR="004205B2">
        <w:t>Mr. Oburoni</w:t>
      </w:r>
      <w:r w:rsidRPr="001F48A5">
        <w:t xml:space="preserve"> of up to $18,936 for each day of a continuing violation, up to a statutory maximum of $142,021 for a single act or failure to act.</w:t>
      </w:r>
      <w:r>
        <w:rPr>
          <w:rStyle w:val="FootnoteReference"/>
        </w:rPr>
        <w:footnoteReference w:id="10"/>
      </w:r>
      <w:r w:rsidRPr="001F48A5">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1"/>
      </w:r>
      <w:r w:rsidRPr="001F48A5">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12"/>
      </w:r>
      <w:r w:rsidRPr="001F48A5">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13"/>
      </w:r>
      <w:r w:rsidRPr="001F48A5">
        <w:t xml:space="preserve">  Section 1.80(b) of the Rules sets a base forfeiture of $10,000 for operation without an instrument of authorization for each violation or each day of a continuing violation.</w:t>
      </w:r>
      <w:r>
        <w:rPr>
          <w:rStyle w:val="FootnoteReference"/>
        </w:rPr>
        <w:footnoteReference w:id="14"/>
      </w:r>
      <w:r w:rsidRPr="001F48A5">
        <w:t xml:space="preserve">  </w:t>
      </w:r>
    </w:p>
    <w:p w14:paraId="6F22DB51" w14:textId="3EB66D4C" w:rsidR="001F48A5" w:rsidRDefault="00507E4F" w:rsidP="000C708C">
      <w:pPr>
        <w:pStyle w:val="ParaNum"/>
        <w:tabs>
          <w:tab w:val="clear" w:pos="1080"/>
          <w:tab w:val="num" w:pos="1440"/>
        </w:tabs>
      </w:pPr>
      <w:r>
        <w:t>Through its investigation, the Enforcement Bureau has determined that</w:t>
      </w:r>
      <w:r w:rsidR="00A10B0B">
        <w:t xml:space="preserve"> </w:t>
      </w:r>
      <w:r>
        <w:t xml:space="preserve">Mr. Oburoni operated the Station on May 2, 2016 and May 4, 2016 in apparent violation of Section 301 of the Act.  In light of these findings, we propose a base forfeiture of $10,000 for this apparent violation of Section 301 of the Act.  </w:t>
      </w:r>
      <w:r w:rsidRPr="00981F23">
        <w:t>We have discretion, however, to depart from these guidelines, taking into account the particular facts of each individual case.</w:t>
      </w:r>
      <w:r w:rsidRPr="009328F0">
        <w:rPr>
          <w:rStyle w:val="FootnoteReference"/>
          <w:color w:val="000000"/>
          <w:szCs w:val="22"/>
        </w:rPr>
        <w:footnoteReference w:id="15"/>
      </w:r>
      <w:r w:rsidRPr="00981F23">
        <w:t xml:space="preserve"> </w:t>
      </w:r>
      <w:r>
        <w:t xml:space="preserve"> In this regard, we note that, on </w:t>
      </w:r>
      <w:r w:rsidR="0076799A">
        <w:t>June 11, 2015, June 30, 2015 and July 1, 201</w:t>
      </w:r>
      <w:r w:rsidR="004205B2">
        <w:t xml:space="preserve">5, the Boston Office issued to Mr. Oburoni </w:t>
      </w:r>
      <w:r w:rsidR="0076799A">
        <w:t xml:space="preserve">the Enforcement Actions, each of which warned that </w:t>
      </w:r>
      <w:r w:rsidR="0076799A" w:rsidRPr="0076799A">
        <w:t xml:space="preserve">unlicensed operation of a radio station violated the law and could subject </w:t>
      </w:r>
      <w:r w:rsidR="004205B2">
        <w:t xml:space="preserve">him </w:t>
      </w:r>
      <w:r w:rsidR="0076799A" w:rsidRPr="0076799A">
        <w:t>to further enforcement action, including a substantial monetary forfeiture.</w:t>
      </w:r>
      <w:r w:rsidR="0076799A">
        <w:t xml:space="preserve">  The fact that </w:t>
      </w:r>
      <w:r w:rsidR="004205B2">
        <w:t xml:space="preserve">Mr. Oburoni </w:t>
      </w:r>
      <w:r w:rsidR="0076799A">
        <w:t xml:space="preserve">continued to operate an unlicensed station after being put on notice that </w:t>
      </w:r>
      <w:r w:rsidR="004205B2">
        <w:t xml:space="preserve">his </w:t>
      </w:r>
      <w:r w:rsidR="0076799A">
        <w:t xml:space="preserve">actions contravened the Act, the Rules, and related Commission decisions and orders, demonstrates a deliberate disregard </w:t>
      </w:r>
      <w:r w:rsidR="0076799A" w:rsidRPr="0076799A">
        <w:t>for the Commission's authority and requirements</w:t>
      </w:r>
      <w:r w:rsidR="004205B2">
        <w:t>.</w:t>
      </w:r>
      <w:r w:rsidR="0076799A">
        <w:t xml:space="preserve"> </w:t>
      </w:r>
      <w:r w:rsidR="004205B2">
        <w:t xml:space="preserve"> Based on the record in this case, and </w:t>
      </w:r>
      <w:r w:rsidR="0076799A">
        <w:t>a</w:t>
      </w:r>
      <w:r w:rsidR="001F48A5" w:rsidRPr="001F48A5">
        <w:t xml:space="preserve">fter applying the </w:t>
      </w:r>
      <w:r w:rsidR="001F48A5" w:rsidRPr="00507E4F">
        <w:rPr>
          <w:i/>
        </w:rPr>
        <w:t>Forfeiture Policy Statement</w:t>
      </w:r>
      <w:r w:rsidR="001F48A5" w:rsidRPr="001F48A5">
        <w:t xml:space="preserve">, Section 1.80 of the Rules, and the statutory factors, we </w:t>
      </w:r>
      <w:r>
        <w:t xml:space="preserve">therefore </w:t>
      </w:r>
      <w:r w:rsidR="001F48A5" w:rsidRPr="001F48A5">
        <w:t>propose a total forfeiture of $1</w:t>
      </w:r>
      <w:r w:rsidR="0076799A">
        <w:t>5</w:t>
      </w:r>
      <w:r w:rsidR="001F48A5" w:rsidRPr="001F48A5">
        <w:t xml:space="preserve">,000 for which </w:t>
      </w:r>
      <w:r w:rsidR="004205B2">
        <w:t xml:space="preserve">Mr. Oburoni is </w:t>
      </w:r>
      <w:r w:rsidR="0076799A">
        <w:t xml:space="preserve">apparently liable.  </w:t>
      </w:r>
    </w:p>
    <w:p w14:paraId="2AAE9C25" w14:textId="37147352" w:rsidR="0076799A" w:rsidRDefault="0076799A" w:rsidP="0076799A">
      <w:pPr>
        <w:pStyle w:val="Heading1"/>
      </w:pPr>
      <w:r>
        <w:t>Conclusion</w:t>
      </w:r>
    </w:p>
    <w:p w14:paraId="3CC39ABF" w14:textId="74CA2119" w:rsidR="0076799A" w:rsidRDefault="002709C1" w:rsidP="002709C1">
      <w:pPr>
        <w:pStyle w:val="ParaNum"/>
        <w:tabs>
          <w:tab w:val="clear" w:pos="1080"/>
          <w:tab w:val="num" w:pos="1440"/>
        </w:tabs>
      </w:pPr>
      <w:r>
        <w:t>W</w:t>
      </w:r>
      <w:r w:rsidRPr="002709C1">
        <w:t xml:space="preserve">e have determined that </w:t>
      </w:r>
      <w:r>
        <w:t xml:space="preserve">Mr. Oburoni apparently willfully and repeatedly violated Section 301 of the Act.  As such, Mr. Oburoni </w:t>
      </w:r>
      <w:r w:rsidR="004205B2">
        <w:t xml:space="preserve">is </w:t>
      </w:r>
      <w:r>
        <w:t xml:space="preserve">apparently liable for a forfeiture of $15,000. </w:t>
      </w:r>
    </w:p>
    <w:p w14:paraId="39FAA520" w14:textId="7EAF1355" w:rsidR="0076799A" w:rsidRDefault="0076799A" w:rsidP="0076799A">
      <w:pPr>
        <w:pStyle w:val="Heading1"/>
      </w:pPr>
      <w:r>
        <w:t>Ordering Clauses</w:t>
      </w:r>
    </w:p>
    <w:p w14:paraId="641F601D" w14:textId="4663E4F3" w:rsidR="00007119" w:rsidRDefault="002709C1" w:rsidP="00007119">
      <w:pPr>
        <w:pStyle w:val="ParaNum"/>
        <w:tabs>
          <w:tab w:val="clear" w:pos="1080"/>
          <w:tab w:val="num" w:pos="1440"/>
        </w:tabs>
      </w:pPr>
      <w:r w:rsidRPr="002709C1">
        <w:t xml:space="preserve">Accordingly, </w:t>
      </w:r>
      <w:r w:rsidRPr="00007119">
        <w:rPr>
          <w:b/>
        </w:rPr>
        <w:t>IT IS ORDERED</w:t>
      </w:r>
      <w:r w:rsidRPr="002709C1">
        <w:t xml:space="preserve"> that, pursuant to Section 503(b) of the Act</w:t>
      </w:r>
      <w:r w:rsidR="00007119">
        <w:rPr>
          <w:rStyle w:val="FootnoteReference"/>
        </w:rPr>
        <w:footnoteReference w:id="16"/>
      </w:r>
      <w:r w:rsidRPr="002709C1">
        <w:t xml:space="preserve"> and Section 1.80 of the Rules,</w:t>
      </w:r>
      <w:r w:rsidR="00007119">
        <w:rPr>
          <w:rStyle w:val="FootnoteReference"/>
        </w:rPr>
        <w:footnoteReference w:id="17"/>
      </w:r>
      <w:r w:rsidRPr="002709C1">
        <w:t xml:space="preserve"> </w:t>
      </w:r>
      <w:r w:rsidR="00007119">
        <w:t xml:space="preserve">Vasco Oburoni </w:t>
      </w:r>
      <w:r w:rsidR="004205B2">
        <w:t xml:space="preserve">is </w:t>
      </w:r>
      <w:r w:rsidRPr="002709C1">
        <w:t xml:space="preserve">hereby </w:t>
      </w:r>
      <w:r w:rsidRPr="00007119">
        <w:rPr>
          <w:b/>
        </w:rPr>
        <w:t>NOTIFIED</w:t>
      </w:r>
      <w:r w:rsidRPr="002709C1">
        <w:t xml:space="preserve"> of this </w:t>
      </w:r>
      <w:r w:rsidRPr="00007119">
        <w:rPr>
          <w:b/>
        </w:rPr>
        <w:t>APPARENT LIABILITY FOR A FORFEITURE</w:t>
      </w:r>
      <w:r w:rsidR="00007119">
        <w:t xml:space="preserve"> in the amount of Fifteen </w:t>
      </w:r>
      <w:r w:rsidRPr="002709C1">
        <w:t>Thousand Dollars ($1</w:t>
      </w:r>
      <w:r w:rsidR="00007119">
        <w:t>5</w:t>
      </w:r>
      <w:r w:rsidRPr="002709C1">
        <w:t>,000) for willful and repeated violations of Section 301 of the Act.</w:t>
      </w:r>
      <w:r w:rsidR="00007119">
        <w:rPr>
          <w:rStyle w:val="FootnoteReference"/>
        </w:rPr>
        <w:footnoteReference w:id="18"/>
      </w:r>
      <w:r w:rsidRPr="002709C1">
        <w:t xml:space="preserve">   </w:t>
      </w:r>
    </w:p>
    <w:p w14:paraId="6CE607E7" w14:textId="01530970" w:rsidR="00007119" w:rsidRDefault="002709C1" w:rsidP="00B712E3">
      <w:pPr>
        <w:pStyle w:val="ParaNum"/>
        <w:widowControl/>
        <w:tabs>
          <w:tab w:val="clear" w:pos="1080"/>
          <w:tab w:val="num" w:pos="1440"/>
        </w:tabs>
      </w:pPr>
      <w:r w:rsidRPr="00007119">
        <w:rPr>
          <w:b/>
        </w:rPr>
        <w:t>IT IS FURTHER ORDERED</w:t>
      </w:r>
      <w:r w:rsidRPr="00007119">
        <w:t xml:space="preserve"> that, pursuant to Section 1.80 of the Rules,</w:t>
      </w:r>
      <w:r w:rsidR="00007119">
        <w:rPr>
          <w:rStyle w:val="FootnoteReference"/>
        </w:rPr>
        <w:footnoteReference w:id="19"/>
      </w:r>
      <w:r w:rsidRPr="00007119">
        <w:t xml:space="preserve"> within thirty (30) calendar days of the release date of this Notice of Apparent Liability for Forfeiture, </w:t>
      </w:r>
      <w:r w:rsidR="00007119">
        <w:t xml:space="preserve">Vasco Oburoni </w:t>
      </w:r>
      <w:r w:rsidRPr="00007119">
        <w:rPr>
          <w:b/>
        </w:rPr>
        <w:t>SHALL PAY</w:t>
      </w:r>
      <w:r w:rsidRPr="00007119">
        <w:t xml:space="preserve"> the full amount of the proposed forfeiture or </w:t>
      </w:r>
      <w:r w:rsidRPr="00007119">
        <w:rPr>
          <w:b/>
        </w:rPr>
        <w:t>SHALL FILE</w:t>
      </w:r>
      <w:r w:rsidRPr="00007119">
        <w:t xml:space="preserve"> a written statement seeking reduction or cancellation of the proposed forfeiture consistent with paragraph 1</w:t>
      </w:r>
      <w:r w:rsidR="00B712E3">
        <w:t>4</w:t>
      </w:r>
      <w:r w:rsidRPr="00007119">
        <w:t xml:space="preserve"> below.</w:t>
      </w:r>
    </w:p>
    <w:p w14:paraId="012F93F6" w14:textId="05DEAB00" w:rsidR="002709C1" w:rsidRPr="00007119" w:rsidRDefault="002709C1" w:rsidP="00007119">
      <w:pPr>
        <w:pStyle w:val="ParaNum"/>
        <w:widowControl/>
        <w:tabs>
          <w:tab w:val="clear" w:pos="1080"/>
          <w:tab w:val="num" w:pos="1440"/>
        </w:tabs>
      </w:pPr>
      <w:r w:rsidRPr="00007119">
        <w:t xml:space="preserve">Payment of the forfeiture must be made by check or similar instrument, wire transfer, or credit card, and must include the NAL/Account Number and FRN referenced above.  </w:t>
      </w:r>
      <w:r w:rsidR="00007119">
        <w:t xml:space="preserve">Vasco Oburoni </w:t>
      </w:r>
      <w:r w:rsidRPr="00007119">
        <w:t>shall send electronic notification of payment to NER-Response@fcc.gov and Matthew.Gibson@fcc.gov on the date said payment is made.  Regardless of the form of payment, a completed FCC Form 159 (Remittance Advice) must be submitted.</w:t>
      </w:r>
      <w:r w:rsidR="00007119">
        <w:rPr>
          <w:rStyle w:val="FootnoteReference"/>
        </w:rPr>
        <w:footnoteReference w:id="20"/>
      </w:r>
      <w:r w:rsidRPr="00007119">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sidRPr="00007119">
        <w:tab/>
      </w:r>
    </w:p>
    <w:p w14:paraId="194BE2DE" w14:textId="77777777" w:rsidR="002709C1" w:rsidRPr="002709C1" w:rsidRDefault="002709C1" w:rsidP="00007119">
      <w:pPr>
        <w:numPr>
          <w:ilvl w:val="0"/>
          <w:numId w:val="23"/>
        </w:numPr>
        <w:spacing w:after="120"/>
      </w:pPr>
      <w:r w:rsidRPr="002709C1">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4D98D795" w14:textId="77777777" w:rsidR="002709C1" w:rsidRPr="002709C1" w:rsidRDefault="002709C1" w:rsidP="00007119">
      <w:pPr>
        <w:numPr>
          <w:ilvl w:val="0"/>
          <w:numId w:val="23"/>
        </w:numPr>
        <w:spacing w:after="120"/>
      </w:pPr>
      <w:r w:rsidRPr="002709C1">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69EA815B" w14:textId="288B2722" w:rsidR="002709C1" w:rsidRPr="00007119" w:rsidRDefault="002709C1" w:rsidP="00007119">
      <w:pPr>
        <w:numPr>
          <w:ilvl w:val="0"/>
          <w:numId w:val="23"/>
        </w:numPr>
        <w:spacing w:after="120"/>
      </w:pPr>
      <w:r w:rsidRPr="002709C1">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25A7387" w14:textId="48B76827" w:rsidR="00007119" w:rsidRDefault="002709C1" w:rsidP="00270066">
      <w:pPr>
        <w:pStyle w:val="ParaNum"/>
        <w:tabs>
          <w:tab w:val="clear" w:pos="1080"/>
          <w:tab w:val="num" w:pos="1440"/>
        </w:tabs>
      </w:pPr>
      <w:r w:rsidRPr="00007119">
        <w:t>Any request for making full payment over time under an installment plan should be sent to:  Chief Financial Officer-Financial Operations, Federal Communications Commission, 445 12th Street, SW, Room 1-A625, Washington, DC 20554.</w:t>
      </w:r>
      <w:r w:rsidR="00007119">
        <w:rPr>
          <w:rStyle w:val="FootnoteReference"/>
        </w:rPr>
        <w:footnoteReference w:id="21"/>
      </w:r>
      <w:r w:rsidRPr="00007119">
        <w:t xml:space="preserve">  Questions regarding payment procedures should be directed to the Financial Operations Group Help Desk by phone, 1-877-480-3201, or by e-mail, </w:t>
      </w:r>
      <w:hyperlink r:id="rId8" w:history="1">
        <w:r w:rsidR="00007119" w:rsidRPr="005D32D9">
          <w:rPr>
            <w:rStyle w:val="Hyperlink"/>
          </w:rPr>
          <w:t>ARINQUIRIES@fcc.gov</w:t>
        </w:r>
      </w:hyperlink>
      <w:r w:rsidRPr="00007119">
        <w:t>.</w:t>
      </w:r>
    </w:p>
    <w:p w14:paraId="17AAAB8F" w14:textId="0DFB4652" w:rsidR="00007119" w:rsidRDefault="002709C1" w:rsidP="00EA459D">
      <w:pPr>
        <w:pStyle w:val="ParaNum"/>
      </w:pPr>
      <w:r w:rsidRPr="00007119">
        <w:t>The written statement seeking reduction or cancellation of the proposed forfeiture, if any, must include a detailed factual statement supported by appropriate documentation and affidavits pursuant to Sections 1.16 and 1.80(f)(3) of the Rules.</w:t>
      </w:r>
      <w:r w:rsidR="00007119">
        <w:rPr>
          <w:rStyle w:val="FootnoteReference"/>
        </w:rPr>
        <w:footnoteReference w:id="22"/>
      </w:r>
      <w:r w:rsidRPr="00007119">
        <w:t xml:space="preserve">  The written statement must be mailed to the Federal Communications Commission, Enforcement Bureau, Region </w:t>
      </w:r>
      <w:r w:rsidR="00007119">
        <w:t xml:space="preserve">One, </w:t>
      </w:r>
      <w:r w:rsidR="00EA459D">
        <w:t xml:space="preserve">Columbia Office, </w:t>
      </w:r>
      <w:r w:rsidR="00EA459D" w:rsidRPr="00EA459D">
        <w:t>9200 Farm House Lane, Columbia, MD 21046</w:t>
      </w:r>
      <w:r w:rsidR="00037F6F">
        <w:t xml:space="preserve">, </w:t>
      </w:r>
      <w:r w:rsidRPr="00007119">
        <w:t xml:space="preserve">and must include the NAL/Account Number referenced in the caption. The statement must also be e-mailed to NER-Response@fcc.gov and </w:t>
      </w:r>
      <w:hyperlink r:id="rId9" w:history="1">
        <w:r w:rsidR="00007119" w:rsidRPr="005D32D9">
          <w:rPr>
            <w:rStyle w:val="Hyperlink"/>
          </w:rPr>
          <w:t>Matthew.Gibson@fcc.gov</w:t>
        </w:r>
      </w:hyperlink>
      <w:r w:rsidRPr="00007119">
        <w:t>.</w:t>
      </w:r>
    </w:p>
    <w:p w14:paraId="08ECD741" w14:textId="200B35A1" w:rsidR="00007119" w:rsidRDefault="002709C1" w:rsidP="00672320">
      <w:pPr>
        <w:pStyle w:val="ParaNum"/>
        <w:tabs>
          <w:tab w:val="clear" w:pos="1080"/>
          <w:tab w:val="num" w:pos="1440"/>
        </w:tabs>
      </w:pPr>
      <w:r w:rsidRPr="00007119">
        <w:t>The Commission will not consider reducing or canceling a forfeiture in response to a claim of inability to pay unless the petitioner submits:  (</w:t>
      </w:r>
      <w:r w:rsidRPr="00007119">
        <w:rPr>
          <w:i/>
        </w:rPr>
        <w:t>1</w:t>
      </w:r>
      <w:r w:rsidRPr="00007119">
        <w:t>)</w:t>
      </w:r>
      <w:r w:rsidR="00007119">
        <w:t> </w:t>
      </w:r>
      <w:r w:rsidRPr="00007119">
        <w:t>federal tax returns for the most recent three-year period; (</w:t>
      </w:r>
      <w:r w:rsidRPr="00007119">
        <w:rPr>
          <w:i/>
        </w:rPr>
        <w:t>2</w:t>
      </w:r>
      <w:r w:rsidRPr="00007119">
        <w:t>)</w:t>
      </w:r>
      <w:r w:rsidR="00007119">
        <w:t> </w:t>
      </w:r>
      <w:r w:rsidRPr="00007119">
        <w:t>financial statements prepared according to generally accepted accounting practices; or (</w:t>
      </w:r>
      <w:r w:rsidRPr="00007119">
        <w:rPr>
          <w:i/>
        </w:rPr>
        <w:t>3</w:t>
      </w:r>
      <w:r w:rsidRPr="00007119">
        <w:t>)</w:t>
      </w:r>
      <w:r w:rsidR="00007119">
        <w:t> </w:t>
      </w:r>
      <w:r w:rsidRPr="00007119">
        <w:t>some other reliable and objective documentation that accurately reflects the petitioner's current financial status.  Any claim of inability to pay must specifically identify the basis for the claim by reference to the financial documentation.</w:t>
      </w:r>
    </w:p>
    <w:p w14:paraId="29856CE3" w14:textId="0F352BD1" w:rsidR="0076799A" w:rsidRDefault="002709C1" w:rsidP="00672320">
      <w:pPr>
        <w:pStyle w:val="ParaNum"/>
        <w:tabs>
          <w:tab w:val="clear" w:pos="1080"/>
          <w:tab w:val="num" w:pos="1440"/>
        </w:tabs>
      </w:pPr>
      <w:r w:rsidRPr="00007119">
        <w:rPr>
          <w:b/>
        </w:rPr>
        <w:t>IT IS FURTHER ORDERED</w:t>
      </w:r>
      <w:r w:rsidRPr="00007119">
        <w:t xml:space="preserve"> that a copy of this Notice of Apparent Liability for Forfeiture shall be sent by first class mail and certified mail, return receipt requested</w:t>
      </w:r>
      <w:r w:rsidR="004205B2">
        <w:t xml:space="preserve">, to </w:t>
      </w:r>
      <w:r w:rsidR="00007119">
        <w:t xml:space="preserve">Vasco Oburoni at </w:t>
      </w:r>
      <w:r w:rsidR="00037F6F">
        <w:t>52 Ward Street, Worcester, Massachusetts 01610.</w:t>
      </w:r>
    </w:p>
    <w:p w14:paraId="44E3AEDB" w14:textId="77777777" w:rsidR="00037F6F" w:rsidRDefault="00037F6F" w:rsidP="00037F6F">
      <w:pPr>
        <w:ind w:left="4320"/>
      </w:pPr>
      <w:r>
        <w:t>FEDERAL COMMUNICATIONS COMMISSION</w:t>
      </w:r>
    </w:p>
    <w:p w14:paraId="43CA46A8" w14:textId="77777777" w:rsidR="00037F6F" w:rsidRDefault="00037F6F" w:rsidP="00037F6F">
      <w:pPr>
        <w:ind w:left="4320"/>
      </w:pPr>
    </w:p>
    <w:p w14:paraId="42056DAD" w14:textId="77777777" w:rsidR="00037F6F" w:rsidRDefault="00037F6F" w:rsidP="00037F6F">
      <w:pPr>
        <w:ind w:left="4320"/>
      </w:pPr>
    </w:p>
    <w:p w14:paraId="654D6D19" w14:textId="77777777" w:rsidR="00037F6F" w:rsidRDefault="00037F6F" w:rsidP="00037F6F">
      <w:pPr>
        <w:ind w:left="4320"/>
      </w:pPr>
    </w:p>
    <w:p w14:paraId="6EC5A87D" w14:textId="77777777" w:rsidR="00037F6F" w:rsidRDefault="00037F6F" w:rsidP="00037F6F">
      <w:pPr>
        <w:ind w:left="4320"/>
      </w:pPr>
      <w:r>
        <w:t>David Dombrowski</w:t>
      </w:r>
    </w:p>
    <w:p w14:paraId="2E2C646F" w14:textId="77777777" w:rsidR="00037F6F" w:rsidRDefault="00037F6F" w:rsidP="00037F6F">
      <w:pPr>
        <w:ind w:left="4320"/>
      </w:pPr>
      <w:r>
        <w:t>Regional Director, Region One,</w:t>
      </w:r>
    </w:p>
    <w:p w14:paraId="769D1E8F" w14:textId="7815CF90" w:rsidR="00037F6F" w:rsidRDefault="00037F6F" w:rsidP="00037F6F">
      <w:pPr>
        <w:ind w:left="4320"/>
      </w:pPr>
      <w:r>
        <w:t>Enforcement Bureau</w:t>
      </w:r>
    </w:p>
    <w:sectPr w:rsidR="00037F6F"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0D785" w14:textId="77777777" w:rsidR="0018692A" w:rsidRDefault="0018692A">
      <w:pPr>
        <w:spacing w:line="20" w:lineRule="exact"/>
      </w:pPr>
    </w:p>
  </w:endnote>
  <w:endnote w:type="continuationSeparator" w:id="0">
    <w:p w14:paraId="07B34B58" w14:textId="77777777" w:rsidR="0018692A" w:rsidRDefault="0018692A">
      <w:r>
        <w:t xml:space="preserve"> </w:t>
      </w:r>
    </w:p>
  </w:endnote>
  <w:endnote w:type="continuationNotice" w:id="1">
    <w:p w14:paraId="2CCEE4E5" w14:textId="77777777" w:rsidR="0018692A" w:rsidRDefault="001869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C82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DC3B45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8A9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421EB">
      <w:rPr>
        <w:noProof/>
      </w:rPr>
      <w:t>4</w:t>
    </w:r>
    <w:r>
      <w:fldChar w:fldCharType="end"/>
    </w:r>
  </w:p>
  <w:p w14:paraId="4A77622D"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CED4"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CA2E2" w14:textId="77777777" w:rsidR="0018692A" w:rsidRDefault="0018692A">
      <w:r>
        <w:separator/>
      </w:r>
    </w:p>
  </w:footnote>
  <w:footnote w:type="continuationSeparator" w:id="0">
    <w:p w14:paraId="38941FF5" w14:textId="77777777" w:rsidR="0018692A" w:rsidRDefault="0018692A" w:rsidP="00C721AC">
      <w:pPr>
        <w:spacing w:before="120"/>
        <w:rPr>
          <w:sz w:val="20"/>
        </w:rPr>
      </w:pPr>
      <w:r>
        <w:rPr>
          <w:sz w:val="20"/>
        </w:rPr>
        <w:t xml:space="preserve">(Continued from previous page)  </w:t>
      </w:r>
      <w:r>
        <w:rPr>
          <w:sz w:val="20"/>
        </w:rPr>
        <w:separator/>
      </w:r>
    </w:p>
  </w:footnote>
  <w:footnote w:type="continuationNotice" w:id="1">
    <w:p w14:paraId="3F565BCC" w14:textId="77777777" w:rsidR="0018692A" w:rsidRDefault="0018692A" w:rsidP="00C721AC">
      <w:pPr>
        <w:jc w:val="right"/>
        <w:rPr>
          <w:sz w:val="20"/>
        </w:rPr>
      </w:pPr>
      <w:r>
        <w:rPr>
          <w:sz w:val="20"/>
        </w:rPr>
        <w:t>(continued….)</w:t>
      </w:r>
    </w:p>
  </w:footnote>
  <w:footnote w:id="2">
    <w:p w14:paraId="4E0F6DB5" w14:textId="743467A2" w:rsidR="00C30755" w:rsidRDefault="00C30755">
      <w:pPr>
        <w:pStyle w:val="FootnoteText"/>
      </w:pPr>
      <w:r>
        <w:rPr>
          <w:rStyle w:val="FootnoteReference"/>
        </w:rPr>
        <w:footnoteRef/>
      </w:r>
      <w:r>
        <w:t xml:space="preserve"> </w:t>
      </w:r>
      <w:r w:rsidR="00012728" w:rsidRPr="00012728">
        <w:t>Section 15.239 of the Rules provides that non-licensed broadcasting in the 88-108 MHz band is permitted only if the field strength of the transmission does not exceed 250 micro volts per meter (“μV/m”) at three meters.  47 CFR §</w:t>
      </w:r>
      <w:r w:rsidR="00012728">
        <w:t> </w:t>
      </w:r>
      <w:r w:rsidR="00012728" w:rsidRPr="00012728">
        <w:t xml:space="preserve">15.239.  </w:t>
      </w:r>
      <w:r w:rsidR="00012728" w:rsidRPr="007906BC">
        <w:t xml:space="preserve">Measurements </w:t>
      </w:r>
      <w:r w:rsidR="00012728">
        <w:t xml:space="preserve">taken on </w:t>
      </w:r>
      <w:r w:rsidR="00B712E3">
        <w:t>June 11, 2015</w:t>
      </w:r>
      <w:r w:rsidR="00012728">
        <w:t xml:space="preserve">, </w:t>
      </w:r>
      <w:r w:rsidR="00012728" w:rsidRPr="007906BC">
        <w:t xml:space="preserve">showed </w:t>
      </w:r>
      <w:r w:rsidR="00012728">
        <w:t xml:space="preserve">a field strength that exceeded </w:t>
      </w:r>
      <w:r w:rsidR="00012728" w:rsidRPr="007906BC">
        <w:t>the permissible level for a non-licensed Part 15</w:t>
      </w:r>
      <w:r w:rsidR="00507E4F">
        <w:t xml:space="preserve"> transmitter</w:t>
      </w:r>
      <w:r w:rsidR="00012728">
        <w:t>.</w:t>
      </w:r>
    </w:p>
  </w:footnote>
  <w:footnote w:id="3">
    <w:p w14:paraId="66E3788F" w14:textId="22D7FD11" w:rsidR="00320891" w:rsidRDefault="00320891">
      <w:pPr>
        <w:pStyle w:val="FootnoteText"/>
      </w:pPr>
      <w:r>
        <w:rPr>
          <w:rStyle w:val="FootnoteReference"/>
        </w:rPr>
        <w:footnoteRef/>
      </w:r>
      <w:r>
        <w:t xml:space="preserve"> </w:t>
      </w:r>
      <w:r w:rsidR="00B712E3" w:rsidRPr="00B712E3">
        <w:rPr>
          <w:i/>
        </w:rPr>
        <w:t>Owner/Occupant</w:t>
      </w:r>
      <w:r w:rsidR="00B712E3">
        <w:t>, Notice of Unlicensed Radio Operation (Boston Field Office, EB, June 11, 2015).</w:t>
      </w:r>
    </w:p>
  </w:footnote>
  <w:footnote w:id="4">
    <w:p w14:paraId="6554634D" w14:textId="549D9A79" w:rsidR="00320891" w:rsidRDefault="00320891">
      <w:pPr>
        <w:pStyle w:val="FootnoteText"/>
      </w:pPr>
      <w:r>
        <w:rPr>
          <w:rStyle w:val="FootnoteReference"/>
        </w:rPr>
        <w:footnoteRef/>
      </w:r>
      <w:r>
        <w:t xml:space="preserve"> </w:t>
      </w:r>
      <w:r w:rsidR="00B712E3" w:rsidRPr="00B712E3">
        <w:rPr>
          <w:i/>
        </w:rPr>
        <w:t>Vasco Oburoni</w:t>
      </w:r>
      <w:r w:rsidR="00B712E3">
        <w:t>, Warning of Unlicensed Operation (Boston Field Office, EB, June 30, 2015).</w:t>
      </w:r>
    </w:p>
  </w:footnote>
  <w:footnote w:id="5">
    <w:p w14:paraId="30878464" w14:textId="5B177B74" w:rsidR="00320891" w:rsidRDefault="00320891">
      <w:pPr>
        <w:pStyle w:val="FootnoteText"/>
      </w:pPr>
      <w:r>
        <w:rPr>
          <w:rStyle w:val="FootnoteReference"/>
        </w:rPr>
        <w:footnoteRef/>
      </w:r>
      <w:r>
        <w:t xml:space="preserve"> </w:t>
      </w:r>
      <w:r w:rsidR="00B712E3" w:rsidRPr="00B712E3">
        <w:rPr>
          <w:i/>
        </w:rPr>
        <w:t>Vasco Oburoni</w:t>
      </w:r>
      <w:r w:rsidR="00B712E3">
        <w:t>, Notice of Unlicensed Operation (Boston Field Office, EB, July 1, 2015).</w:t>
      </w:r>
    </w:p>
  </w:footnote>
  <w:footnote w:id="6">
    <w:p w14:paraId="4CDCC9D3" w14:textId="2602D500" w:rsidR="00955478" w:rsidRDefault="00955478" w:rsidP="00955478">
      <w:pPr>
        <w:pStyle w:val="FootnoteText"/>
      </w:pPr>
      <w:r>
        <w:rPr>
          <w:rStyle w:val="FootnoteReference"/>
        </w:rPr>
        <w:footnoteRef/>
      </w:r>
      <w:r>
        <w:t xml:space="preserve"> </w:t>
      </w:r>
      <w:r w:rsidR="00B712E3">
        <w:t xml:space="preserve">47 CFR § 15.239.  </w:t>
      </w:r>
      <w:r w:rsidR="00B712E3" w:rsidRPr="007906BC">
        <w:t xml:space="preserve">Measurements </w:t>
      </w:r>
      <w:r w:rsidR="00B712E3">
        <w:t xml:space="preserve">taken on May 4, 2016, </w:t>
      </w:r>
      <w:r w:rsidR="00B712E3" w:rsidRPr="007906BC">
        <w:t xml:space="preserve">showed </w:t>
      </w:r>
      <w:r w:rsidR="00B712E3">
        <w:t xml:space="preserve">a field strength that exceeded </w:t>
      </w:r>
      <w:r w:rsidR="00B712E3" w:rsidRPr="007906BC">
        <w:t>the permissible level for a non-licensed Part 15 transmitter</w:t>
      </w:r>
      <w:r w:rsidR="004205B2">
        <w:t>.</w:t>
      </w:r>
    </w:p>
  </w:footnote>
  <w:footnote w:id="7">
    <w:p w14:paraId="32721D5A" w14:textId="30B50950" w:rsidR="00162455" w:rsidRDefault="00162455">
      <w:pPr>
        <w:pStyle w:val="FootnoteText"/>
      </w:pPr>
      <w:r>
        <w:rPr>
          <w:rStyle w:val="FootnoteReference"/>
        </w:rPr>
        <w:footnoteRef/>
      </w:r>
      <w:r>
        <w:t xml:space="preserve"> </w:t>
      </w:r>
      <w:r w:rsidR="00B712E3">
        <w:t xml:space="preserve">47 U.S.C. </w:t>
      </w:r>
      <w:r w:rsidR="0038240D">
        <w:t xml:space="preserve">§ </w:t>
      </w:r>
      <w:r w:rsidR="00B712E3">
        <w:t>301.</w:t>
      </w:r>
    </w:p>
  </w:footnote>
  <w:footnote w:id="8">
    <w:p w14:paraId="7C2900A7" w14:textId="2FB0B0FD" w:rsidR="004205B2" w:rsidRDefault="004205B2">
      <w:pPr>
        <w:pStyle w:val="FootnoteText"/>
      </w:pPr>
      <w:r>
        <w:rPr>
          <w:rStyle w:val="FootnoteReference"/>
        </w:rPr>
        <w:footnoteRef/>
      </w:r>
      <w:r>
        <w:t xml:space="preserve"> </w:t>
      </w:r>
      <w:r w:rsidR="00507E4F" w:rsidRPr="00507E4F">
        <w:rPr>
          <w:i/>
        </w:rPr>
        <w:t>See</w:t>
      </w:r>
      <w:r w:rsidR="00507E4F">
        <w:t xml:space="preserve"> paragraph 3, </w:t>
      </w:r>
      <w:r w:rsidR="00507E4F" w:rsidRPr="00507E4F">
        <w:rPr>
          <w:i/>
        </w:rPr>
        <w:t>supra</w:t>
      </w:r>
      <w:r w:rsidR="00507E4F">
        <w:t>.</w:t>
      </w:r>
    </w:p>
  </w:footnote>
  <w:footnote w:id="9">
    <w:p w14:paraId="33456F0F" w14:textId="75D14B34" w:rsidR="001F48A5" w:rsidRDefault="001F48A5">
      <w:pPr>
        <w:pStyle w:val="FootnoteText"/>
      </w:pPr>
      <w:r>
        <w:rPr>
          <w:rStyle w:val="FootnoteReference"/>
        </w:rPr>
        <w:footnoteRef/>
      </w:r>
      <w:r>
        <w:t xml:space="preserve"> </w:t>
      </w:r>
      <w:r>
        <w:rPr>
          <w:color w:val="000000"/>
        </w:rPr>
        <w:t>47 U.S.C. § 503(b).</w:t>
      </w:r>
    </w:p>
  </w:footnote>
  <w:footnote w:id="10">
    <w:p w14:paraId="376184CF" w14:textId="01A25988" w:rsidR="001F48A5" w:rsidRDefault="001F48A5">
      <w:pPr>
        <w:pStyle w:val="FootnoteText"/>
      </w:pPr>
      <w:r>
        <w:rPr>
          <w:rStyle w:val="FootnoteReference"/>
        </w:rPr>
        <w:footnoteRef/>
      </w:r>
      <w:r>
        <w:t xml:space="preserve"> </w:t>
      </w:r>
      <w:r w:rsidRPr="00540D70">
        <w:rPr>
          <w:i/>
          <w:color w:val="000000"/>
        </w:rPr>
        <w:t>See</w:t>
      </w:r>
      <w:r w:rsidRPr="00540D70">
        <w:rPr>
          <w:color w:val="000000"/>
        </w:rPr>
        <w:t xml:space="preserve"> 47 U.S.C. § 503(b)(2)(D); 47 CFR §§ 1.80(b)(7), (9).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Pr="00981FF8">
        <w:t xml:space="preserve"> </w:t>
      </w:r>
      <w:r>
        <w:t xml:space="preserve">as further amended by the Federal Reports Elimination Act of 1998, Pub. L. No. 105-362, Sec. 1301, 112 Stat. 3280, </w:t>
      </w:r>
      <w:r w:rsidRPr="00540D70">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Pr="00540D70">
        <w:rPr>
          <w:i/>
          <w:color w:val="000000"/>
        </w:rPr>
        <w:t>See</w:t>
      </w:r>
      <w:r w:rsidRPr="00540D70">
        <w:rPr>
          <w:color w:val="000000"/>
        </w:rPr>
        <w:t xml:space="preserve"> 28 U.S.C. § 2461 note.  The Commission published those interim final rules on June 30, 2016.  </w:t>
      </w:r>
      <w:r w:rsidRPr="00540D70">
        <w:rPr>
          <w:i/>
          <w:color w:val="000000"/>
        </w:rPr>
        <w:t>See</w:t>
      </w:r>
      <w:r w:rsidRPr="00540D70">
        <w:rPr>
          <w:color w:val="000000"/>
        </w:rPr>
        <w:t xml:space="preserve"> </w:t>
      </w:r>
      <w:r w:rsidRPr="00540D70">
        <w:rPr>
          <w:i/>
          <w:color w:val="000000"/>
        </w:rPr>
        <w:t>Amendment of Section 1.80(b) of the Commission’s Rules, Adjustment of Civil Monetary Penalties to Reflect Inflation</w:t>
      </w:r>
      <w:r w:rsidRPr="00540D70">
        <w:rPr>
          <w:color w:val="000000"/>
        </w:rPr>
        <w:t xml:space="preserve">, Order, </w:t>
      </w:r>
      <w:r w:rsidR="004A60FD">
        <w:rPr>
          <w:color w:val="000000"/>
        </w:rPr>
        <w:t xml:space="preserve">31 FCC Rcd 6793 </w:t>
      </w:r>
      <w:r w:rsidRPr="00540D70">
        <w:rPr>
          <w:color w:val="000000"/>
        </w:rPr>
        <w:t xml:space="preserve">(EB 2016); </w:t>
      </w:r>
      <w:r w:rsidRPr="00540D70">
        <w:rPr>
          <w:i/>
          <w:color w:val="000000"/>
        </w:rPr>
        <w:t>see also</w:t>
      </w:r>
      <w:r w:rsidRPr="00540D70">
        <w:rPr>
          <w:color w:val="000000"/>
        </w:rPr>
        <w:t xml:space="preserve"> </w:t>
      </w:r>
      <w:r w:rsidRPr="00540D70">
        <w:rPr>
          <w:i/>
          <w:color w:val="000000"/>
        </w:rPr>
        <w:t>Adjustment of Civil Monetary Penalties to Reflect Inflation</w:t>
      </w:r>
      <w:r w:rsidRPr="00540D70">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Pr="00540D70">
        <w:rPr>
          <w:i/>
          <w:color w:val="000000"/>
        </w:rPr>
        <w:t>See</w:t>
      </w:r>
      <w:r w:rsidRPr="00540D70">
        <w:rPr>
          <w:color w:val="000000"/>
        </w:rPr>
        <w:t xml:space="preserve"> 28 U.S.C. § 2461 note (6).</w:t>
      </w:r>
    </w:p>
  </w:footnote>
  <w:footnote w:id="11">
    <w:p w14:paraId="3505016F" w14:textId="5E46DA1A" w:rsidR="001F48A5" w:rsidRDefault="001F48A5">
      <w:pPr>
        <w:pStyle w:val="FootnoteText"/>
      </w:pPr>
      <w:r>
        <w:rPr>
          <w:rStyle w:val="FootnoteReference"/>
        </w:rPr>
        <w:footnoteRef/>
      </w:r>
      <w:r>
        <w:t xml:space="preserve"> </w:t>
      </w:r>
      <w:r w:rsidRPr="009328F0">
        <w:rPr>
          <w:color w:val="000000"/>
          <w:lang w:val="es-ES"/>
        </w:rPr>
        <w:t>47 U.S.C. § 503(b)(2)(E).</w:t>
      </w:r>
    </w:p>
  </w:footnote>
  <w:footnote w:id="12">
    <w:p w14:paraId="6F61422D" w14:textId="2A64883E" w:rsidR="001F48A5" w:rsidRDefault="001F48A5">
      <w:pPr>
        <w:pStyle w:val="FootnoteText"/>
      </w:pPr>
      <w:r>
        <w:rPr>
          <w:rStyle w:val="FootnoteReference"/>
        </w:rPr>
        <w:footnoteRef/>
      </w:r>
      <w:r>
        <w:t xml:space="preserve"> </w:t>
      </w:r>
      <w:r w:rsidRPr="009328F0">
        <w:rPr>
          <w:color w:val="000000"/>
        </w:rPr>
        <w:t>47 CFR § 1.80(b)(8), Note to paragraph (b)(8)</w:t>
      </w:r>
      <w:r>
        <w:rPr>
          <w:color w:val="000000"/>
        </w:rPr>
        <w:t xml:space="preserve">; </w:t>
      </w:r>
      <w:r w:rsidRPr="009328F0">
        <w:rPr>
          <w:i/>
          <w:color w:val="000000"/>
        </w:rPr>
        <w:t>The Commission’s Forfeiture Policy Statement and Amendment of Section 1.80 of the Rules to Incorporate the Forfeiture Guidelines</w:t>
      </w:r>
      <w:r w:rsidRPr="009328F0">
        <w:rPr>
          <w:color w:val="000000"/>
        </w:rPr>
        <w:t>, Report and Order, 12 FCC Rcd 17087, 17098</w:t>
      </w:r>
      <w:r>
        <w:rPr>
          <w:color w:val="000000"/>
        </w:rPr>
        <w:t>-</w:t>
      </w:r>
      <w:r w:rsidRPr="009328F0">
        <w:rPr>
          <w:color w:val="000000"/>
        </w:rPr>
        <w:t>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328F0">
        <w:rPr>
          <w:i/>
          <w:color w:val="000000"/>
        </w:rPr>
        <w:t>Forfeiture Policy Statement</w:t>
      </w:r>
      <w:r w:rsidRPr="009328F0">
        <w:rPr>
          <w:color w:val="000000"/>
        </w:rPr>
        <w:t xml:space="preserve">), </w:t>
      </w:r>
      <w:r w:rsidRPr="009328F0">
        <w:rPr>
          <w:i/>
          <w:color w:val="000000"/>
        </w:rPr>
        <w:t>recons. denied</w:t>
      </w:r>
      <w:r w:rsidRPr="009328F0">
        <w:rPr>
          <w:color w:val="000000"/>
        </w:rPr>
        <w:t>, Memorandum Opinion and Order, 15 FCC Rcd 303 (1999).</w:t>
      </w:r>
      <w:r>
        <w:rPr>
          <w:color w:val="000000"/>
        </w:rPr>
        <w:t xml:space="preserve">  </w:t>
      </w:r>
    </w:p>
  </w:footnote>
  <w:footnote w:id="13">
    <w:p w14:paraId="2B877E7C" w14:textId="0959BA3A" w:rsidR="001F48A5" w:rsidRDefault="001F48A5">
      <w:pPr>
        <w:pStyle w:val="FootnoteText"/>
      </w:pPr>
      <w:r>
        <w:rPr>
          <w:rStyle w:val="FootnoteReference"/>
        </w:rPr>
        <w:footnoteRef/>
      </w:r>
      <w:r>
        <w:t xml:space="preserve"> </w:t>
      </w:r>
      <w:r w:rsidRPr="009328F0">
        <w:rPr>
          <w:color w:val="000000"/>
        </w:rPr>
        <w:t>47 CFR § 1.80(b)(8)</w:t>
      </w:r>
      <w:r>
        <w:rPr>
          <w:color w:val="000000"/>
        </w:rPr>
        <w:t xml:space="preserve">, </w:t>
      </w:r>
      <w:r w:rsidRPr="009328F0">
        <w:rPr>
          <w:color w:val="000000"/>
        </w:rPr>
        <w:t>Note to paragraph (b)(8)</w:t>
      </w:r>
      <w:r>
        <w:rPr>
          <w:color w:val="000000"/>
        </w:rPr>
        <w:t>.</w:t>
      </w:r>
    </w:p>
  </w:footnote>
  <w:footnote w:id="14">
    <w:p w14:paraId="4C953CDF" w14:textId="0EDA1DBE" w:rsidR="001F48A5" w:rsidRDefault="001F48A5">
      <w:pPr>
        <w:pStyle w:val="FootnoteText"/>
      </w:pPr>
      <w:r>
        <w:rPr>
          <w:rStyle w:val="FootnoteReference"/>
        </w:rPr>
        <w:footnoteRef/>
      </w:r>
      <w:r>
        <w:t xml:space="preserve"> </w:t>
      </w:r>
      <w:r w:rsidR="00C46C60">
        <w:t>47 CFR § 1.80(b).</w:t>
      </w:r>
    </w:p>
  </w:footnote>
  <w:footnote w:id="15">
    <w:p w14:paraId="2790D512" w14:textId="77777777" w:rsidR="00507E4F" w:rsidRPr="009328F0" w:rsidRDefault="00507E4F" w:rsidP="00507E4F">
      <w:pPr>
        <w:pStyle w:val="FootnoteText"/>
        <w:rPr>
          <w:color w:val="000000"/>
        </w:rPr>
      </w:pPr>
      <w:r w:rsidRPr="009328F0">
        <w:rPr>
          <w:rStyle w:val="FootnoteReference"/>
          <w:color w:val="000000"/>
        </w:rPr>
        <w:footnoteRef/>
      </w:r>
      <w:r w:rsidRPr="009328F0">
        <w:rPr>
          <w:color w:val="000000"/>
        </w:rPr>
        <w:t xml:space="preserve"> </w:t>
      </w:r>
      <w:r w:rsidRPr="009328F0">
        <w:rPr>
          <w:i/>
          <w:color w:val="000000"/>
        </w:rPr>
        <w:t>The Commission’s Forfeiture Policy Statement and Amendment of Section 1.80 of the Rules to Incorporate the Forfeiture Guidelines</w:t>
      </w:r>
      <w:r w:rsidRPr="009328F0">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328F0">
        <w:rPr>
          <w:i/>
          <w:color w:val="000000"/>
        </w:rPr>
        <w:t>Forfeiture Policy Statement</w:t>
      </w:r>
      <w:r w:rsidRPr="009328F0">
        <w:rPr>
          <w:color w:val="000000"/>
        </w:rPr>
        <w:t xml:space="preserve">), </w:t>
      </w:r>
      <w:r w:rsidRPr="009328F0">
        <w:rPr>
          <w:i/>
          <w:color w:val="000000"/>
        </w:rPr>
        <w:t>recons. denied</w:t>
      </w:r>
      <w:r w:rsidRPr="009328F0">
        <w:rPr>
          <w:color w:val="000000"/>
        </w:rPr>
        <w:t>, Memorandum Opinion and Order, 15 FCC Rcd 303 (1999).</w:t>
      </w:r>
    </w:p>
  </w:footnote>
  <w:footnote w:id="16">
    <w:p w14:paraId="369A42B5" w14:textId="4D6BC7B3" w:rsidR="00007119" w:rsidRDefault="00007119">
      <w:pPr>
        <w:pStyle w:val="FootnoteText"/>
      </w:pPr>
      <w:r>
        <w:rPr>
          <w:rStyle w:val="FootnoteReference"/>
        </w:rPr>
        <w:footnoteRef/>
      </w:r>
      <w:r>
        <w:t xml:space="preserve"> </w:t>
      </w:r>
      <w:r w:rsidRPr="00725755">
        <w:rPr>
          <w:color w:val="000000"/>
        </w:rPr>
        <w:t>47 U.S.C. § 503(b).</w:t>
      </w:r>
    </w:p>
  </w:footnote>
  <w:footnote w:id="17">
    <w:p w14:paraId="3F925843" w14:textId="608E0494" w:rsidR="00007119" w:rsidRDefault="00007119">
      <w:pPr>
        <w:pStyle w:val="FootnoteText"/>
      </w:pPr>
      <w:r>
        <w:rPr>
          <w:rStyle w:val="FootnoteReference"/>
        </w:rPr>
        <w:footnoteRef/>
      </w:r>
      <w:r>
        <w:t xml:space="preserve"> </w:t>
      </w:r>
      <w:r w:rsidRPr="00725755">
        <w:rPr>
          <w:color w:val="000000"/>
          <w:lang w:val="es-ES"/>
        </w:rPr>
        <w:t>47 CFR § 1.80.</w:t>
      </w:r>
    </w:p>
  </w:footnote>
  <w:footnote w:id="18">
    <w:p w14:paraId="415A9904" w14:textId="19394191" w:rsidR="00007119" w:rsidRDefault="00007119">
      <w:pPr>
        <w:pStyle w:val="FootnoteText"/>
      </w:pPr>
      <w:r>
        <w:rPr>
          <w:rStyle w:val="FootnoteReference"/>
        </w:rPr>
        <w:footnoteRef/>
      </w:r>
      <w:r>
        <w:t xml:space="preserve"> </w:t>
      </w:r>
      <w:r w:rsidRPr="00725755">
        <w:rPr>
          <w:color w:val="000000"/>
          <w:lang w:val="es-ES"/>
        </w:rPr>
        <w:t>47 U.S.C. § 301.</w:t>
      </w:r>
    </w:p>
  </w:footnote>
  <w:footnote w:id="19">
    <w:p w14:paraId="23E9C129" w14:textId="4961515E" w:rsidR="00007119" w:rsidRDefault="00007119">
      <w:pPr>
        <w:pStyle w:val="FootnoteText"/>
      </w:pPr>
      <w:r>
        <w:rPr>
          <w:rStyle w:val="FootnoteReference"/>
        </w:rPr>
        <w:footnoteRef/>
      </w:r>
      <w:r>
        <w:t xml:space="preserve"> </w:t>
      </w:r>
      <w:r w:rsidRPr="00725755">
        <w:rPr>
          <w:color w:val="000000"/>
        </w:rPr>
        <w:t>47 CFR § 1.80.</w:t>
      </w:r>
    </w:p>
  </w:footnote>
  <w:footnote w:id="20">
    <w:p w14:paraId="09506E80" w14:textId="6E471AD8" w:rsidR="00007119" w:rsidRDefault="00007119">
      <w:pPr>
        <w:pStyle w:val="FootnoteText"/>
      </w:pPr>
      <w:r>
        <w:rPr>
          <w:rStyle w:val="FootnoteReference"/>
        </w:rPr>
        <w:footnoteRef/>
      </w:r>
      <w:r>
        <w:t xml:space="preserve"> </w:t>
      </w:r>
      <w:r w:rsidRPr="00725755">
        <w:rPr>
          <w:rFonts w:eastAsia="MS Mincho"/>
          <w:color w:val="000000"/>
        </w:rPr>
        <w:t>An FCC Form 159 and detailed instructions for completing the form may be obtained at http://www.fcc.gov/Forms/Form159/159.pdf.</w:t>
      </w:r>
    </w:p>
  </w:footnote>
  <w:footnote w:id="21">
    <w:p w14:paraId="7740BAAB" w14:textId="10A0EE62" w:rsidR="00007119" w:rsidRDefault="00007119">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22">
    <w:p w14:paraId="34190BBA" w14:textId="5B94DD83" w:rsidR="00007119" w:rsidRDefault="00007119">
      <w:pPr>
        <w:pStyle w:val="FootnoteText"/>
      </w:pPr>
      <w:r>
        <w:rPr>
          <w:rStyle w:val="FootnoteReference"/>
        </w:rPr>
        <w:footnoteRef/>
      </w:r>
      <w:r>
        <w:t xml:space="preserve"> </w:t>
      </w:r>
      <w:r w:rsidRPr="00725755">
        <w:rPr>
          <w:color w:val="000000"/>
        </w:rPr>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9B63" w14:textId="77777777" w:rsidR="008421EB" w:rsidRDefault="00842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F4409" w14:textId="1244AEC3" w:rsidR="00D25FB5" w:rsidRDefault="00A474CF" w:rsidP="00810B6F">
    <w:pPr>
      <w:pStyle w:val="Header"/>
      <w:rPr>
        <w:b w:val="0"/>
      </w:rPr>
    </w:pPr>
    <w:r>
      <w:tab/>
    </w:r>
    <w:r w:rsidR="00D25FB5">
      <w:t>Federal Communications Commission</w:t>
    </w:r>
    <w:r w:rsidR="00D25FB5">
      <w:tab/>
    </w:r>
    <w:r>
      <w:t>DA 16-</w:t>
    </w:r>
    <w:r w:rsidR="00672A5A">
      <w:t>1243</w:t>
    </w:r>
  </w:p>
  <w:p w14:paraId="6D41B235" w14:textId="77777777" w:rsidR="00D25FB5" w:rsidRDefault="00A87FF4">
    <w:pPr>
      <w:tabs>
        <w:tab w:val="left" w:pos="-720"/>
      </w:tabs>
      <w:suppressAutoHyphens/>
      <w:spacing w:line="19" w:lineRule="exact"/>
      <w:rPr>
        <w:spacing w:val="-2"/>
      </w:rPr>
    </w:pPr>
    <w:r>
      <w:rPr>
        <w:noProof/>
      </w:rPr>
      <w:pict w14:anchorId="3B4B4903">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0C5E8A2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AF207" w14:textId="60156BE4" w:rsidR="00D25FB5" w:rsidRDefault="00A87FF4" w:rsidP="00810B6F">
    <w:pPr>
      <w:pStyle w:val="Header"/>
      <w:rPr>
        <w:b w:val="0"/>
      </w:rPr>
    </w:pPr>
    <w:r>
      <w:rPr>
        <w:noProof/>
      </w:rPr>
      <w:pict w14:anchorId="523CBA07">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8692A">
      <w:rPr>
        <w:spacing w:val="-2"/>
      </w:rPr>
      <w:t>DA 16-</w:t>
    </w:r>
    <w:r w:rsidR="00672A5A">
      <w:rPr>
        <w:spacing w:val="-2"/>
      </w:rPr>
      <w:t>1243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A3546"/>
    <w:lvl w:ilvl="0">
      <w:start w:val="1"/>
      <w:numFmt w:val="decimal"/>
      <w:lvlText w:val="%1."/>
      <w:lvlJc w:val="left"/>
      <w:pPr>
        <w:tabs>
          <w:tab w:val="num" w:pos="1800"/>
        </w:tabs>
        <w:ind w:left="1800" w:hanging="360"/>
      </w:pPr>
    </w:lvl>
  </w:abstractNum>
  <w:abstractNum w:abstractNumId="1">
    <w:nsid w:val="FFFFFF7D"/>
    <w:multiLevelType w:val="singleLevel"/>
    <w:tmpl w:val="9CCCE3A6"/>
    <w:lvl w:ilvl="0">
      <w:start w:val="1"/>
      <w:numFmt w:val="decimal"/>
      <w:lvlText w:val="%1."/>
      <w:lvlJc w:val="left"/>
      <w:pPr>
        <w:tabs>
          <w:tab w:val="num" w:pos="1440"/>
        </w:tabs>
        <w:ind w:left="1440" w:hanging="360"/>
      </w:pPr>
    </w:lvl>
  </w:abstractNum>
  <w:abstractNum w:abstractNumId="2">
    <w:nsid w:val="FFFFFF7E"/>
    <w:multiLevelType w:val="singleLevel"/>
    <w:tmpl w:val="3F424EE2"/>
    <w:lvl w:ilvl="0">
      <w:start w:val="1"/>
      <w:numFmt w:val="decimal"/>
      <w:lvlText w:val="%1."/>
      <w:lvlJc w:val="left"/>
      <w:pPr>
        <w:tabs>
          <w:tab w:val="num" w:pos="1080"/>
        </w:tabs>
        <w:ind w:left="1080" w:hanging="360"/>
      </w:pPr>
    </w:lvl>
  </w:abstractNum>
  <w:abstractNum w:abstractNumId="3">
    <w:nsid w:val="FFFFFF7F"/>
    <w:multiLevelType w:val="singleLevel"/>
    <w:tmpl w:val="CE08B018"/>
    <w:lvl w:ilvl="0">
      <w:start w:val="1"/>
      <w:numFmt w:val="decimal"/>
      <w:lvlText w:val="%1."/>
      <w:lvlJc w:val="left"/>
      <w:pPr>
        <w:tabs>
          <w:tab w:val="num" w:pos="720"/>
        </w:tabs>
        <w:ind w:left="720" w:hanging="360"/>
      </w:pPr>
    </w:lvl>
  </w:abstractNum>
  <w:abstractNum w:abstractNumId="4">
    <w:nsid w:val="FFFFFF80"/>
    <w:multiLevelType w:val="singleLevel"/>
    <w:tmpl w:val="10DC1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CEA2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A2C2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DA39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1CB798"/>
    <w:lvl w:ilvl="0">
      <w:start w:val="1"/>
      <w:numFmt w:val="decimal"/>
      <w:lvlText w:val="%1."/>
      <w:lvlJc w:val="left"/>
      <w:pPr>
        <w:tabs>
          <w:tab w:val="num" w:pos="360"/>
        </w:tabs>
        <w:ind w:left="360" w:hanging="360"/>
      </w:pPr>
    </w:lvl>
  </w:abstractNum>
  <w:abstractNum w:abstractNumId="9">
    <w:nsid w:val="FFFFFF89"/>
    <w:multiLevelType w:val="singleLevel"/>
    <w:tmpl w:val="88187DE8"/>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16CF30D7"/>
    <w:multiLevelType w:val="hybridMultilevel"/>
    <w:tmpl w:val="D44A9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16"/>
  </w:num>
  <w:num w:numId="3">
    <w:abstractNumId w:val="14"/>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1"/>
  </w:num>
  <w:num w:numId="24">
    <w:abstractNumId w:val="16"/>
  </w:num>
  <w:num w:numId="25">
    <w:abstractNumId w:val="16"/>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92A"/>
    <w:rsid w:val="00007119"/>
    <w:rsid w:val="00012728"/>
    <w:rsid w:val="00036039"/>
    <w:rsid w:val="00037F6F"/>
    <w:rsid w:val="00037F90"/>
    <w:rsid w:val="000875BF"/>
    <w:rsid w:val="00096D8C"/>
    <w:rsid w:val="000C0B65"/>
    <w:rsid w:val="000E05FE"/>
    <w:rsid w:val="000E3D42"/>
    <w:rsid w:val="00122BD5"/>
    <w:rsid w:val="00133F79"/>
    <w:rsid w:val="00162455"/>
    <w:rsid w:val="0018692A"/>
    <w:rsid w:val="00194A66"/>
    <w:rsid w:val="001D6BCF"/>
    <w:rsid w:val="001E01CA"/>
    <w:rsid w:val="001F48A5"/>
    <w:rsid w:val="002709C1"/>
    <w:rsid w:val="00275CF5"/>
    <w:rsid w:val="0028301F"/>
    <w:rsid w:val="00285017"/>
    <w:rsid w:val="002A2D2E"/>
    <w:rsid w:val="002C00E8"/>
    <w:rsid w:val="00301467"/>
    <w:rsid w:val="00320891"/>
    <w:rsid w:val="00337B54"/>
    <w:rsid w:val="00343749"/>
    <w:rsid w:val="00352EA9"/>
    <w:rsid w:val="003660ED"/>
    <w:rsid w:val="0038240D"/>
    <w:rsid w:val="003B0550"/>
    <w:rsid w:val="003B694F"/>
    <w:rsid w:val="003F171C"/>
    <w:rsid w:val="00412FC5"/>
    <w:rsid w:val="004205B2"/>
    <w:rsid w:val="00422276"/>
    <w:rsid w:val="004242F1"/>
    <w:rsid w:val="00445A00"/>
    <w:rsid w:val="00446C1D"/>
    <w:rsid w:val="00451B0F"/>
    <w:rsid w:val="004A4600"/>
    <w:rsid w:val="004A60FD"/>
    <w:rsid w:val="004C2EE3"/>
    <w:rsid w:val="004E4A22"/>
    <w:rsid w:val="00507E4F"/>
    <w:rsid w:val="00511968"/>
    <w:rsid w:val="0055614C"/>
    <w:rsid w:val="005C091E"/>
    <w:rsid w:val="005E14C2"/>
    <w:rsid w:val="00607BA5"/>
    <w:rsid w:val="0061180A"/>
    <w:rsid w:val="00626EB6"/>
    <w:rsid w:val="00655D03"/>
    <w:rsid w:val="00672A5A"/>
    <w:rsid w:val="00683388"/>
    <w:rsid w:val="00683F84"/>
    <w:rsid w:val="006A6A81"/>
    <w:rsid w:val="006F7393"/>
    <w:rsid w:val="0070224F"/>
    <w:rsid w:val="007115F7"/>
    <w:rsid w:val="00725BDB"/>
    <w:rsid w:val="0076799A"/>
    <w:rsid w:val="00773FEA"/>
    <w:rsid w:val="00785689"/>
    <w:rsid w:val="0079754B"/>
    <w:rsid w:val="007A1E6D"/>
    <w:rsid w:val="007B0EB2"/>
    <w:rsid w:val="00810B6F"/>
    <w:rsid w:val="00822CE0"/>
    <w:rsid w:val="00826155"/>
    <w:rsid w:val="00841AB1"/>
    <w:rsid w:val="008421EB"/>
    <w:rsid w:val="008811BF"/>
    <w:rsid w:val="008C68F1"/>
    <w:rsid w:val="00921803"/>
    <w:rsid w:val="00926503"/>
    <w:rsid w:val="00955478"/>
    <w:rsid w:val="009726D8"/>
    <w:rsid w:val="009B5BD5"/>
    <w:rsid w:val="009F2FC5"/>
    <w:rsid w:val="009F76DB"/>
    <w:rsid w:val="00A10B0B"/>
    <w:rsid w:val="00A32C3B"/>
    <w:rsid w:val="00A45F4F"/>
    <w:rsid w:val="00A474CF"/>
    <w:rsid w:val="00A600A9"/>
    <w:rsid w:val="00A87FF4"/>
    <w:rsid w:val="00AA55B7"/>
    <w:rsid w:val="00AA5B9E"/>
    <w:rsid w:val="00AB2407"/>
    <w:rsid w:val="00AB53DF"/>
    <w:rsid w:val="00B07E5C"/>
    <w:rsid w:val="00B4020B"/>
    <w:rsid w:val="00B712E3"/>
    <w:rsid w:val="00B811F7"/>
    <w:rsid w:val="00BA5DC6"/>
    <w:rsid w:val="00BA6196"/>
    <w:rsid w:val="00BC6D8C"/>
    <w:rsid w:val="00BF32D8"/>
    <w:rsid w:val="00C30755"/>
    <w:rsid w:val="00C34006"/>
    <w:rsid w:val="00C426B1"/>
    <w:rsid w:val="00C46C60"/>
    <w:rsid w:val="00C66160"/>
    <w:rsid w:val="00C721AC"/>
    <w:rsid w:val="00C90D6A"/>
    <w:rsid w:val="00CA247E"/>
    <w:rsid w:val="00CC72B6"/>
    <w:rsid w:val="00CE0398"/>
    <w:rsid w:val="00D0218D"/>
    <w:rsid w:val="00D25FB5"/>
    <w:rsid w:val="00D43B92"/>
    <w:rsid w:val="00D44223"/>
    <w:rsid w:val="00D939DF"/>
    <w:rsid w:val="00DA2529"/>
    <w:rsid w:val="00DB130A"/>
    <w:rsid w:val="00DB2EBB"/>
    <w:rsid w:val="00DC10A1"/>
    <w:rsid w:val="00DC655F"/>
    <w:rsid w:val="00DD0B59"/>
    <w:rsid w:val="00DD7EBD"/>
    <w:rsid w:val="00DF62B6"/>
    <w:rsid w:val="00E07225"/>
    <w:rsid w:val="00E5409F"/>
    <w:rsid w:val="00E91493"/>
    <w:rsid w:val="00EA459D"/>
    <w:rsid w:val="00EC3D0A"/>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66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0E3D42"/>
    <w:pPr>
      <w:spacing w:after="120"/>
    </w:pPr>
  </w:style>
  <w:style w:type="character" w:styleId="FootnoteReference">
    <w:name w:val="footnote reference"/>
    <w:aliases w:val="Style 4,Appel note de bas de p,Style 12,(NECG) Footnote Reference,Style 124,Style 13,o,fr,Style 3,Footnote Reference1,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A474CF"/>
    <w:rPr>
      <w:b/>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507E4F"/>
  </w:style>
  <w:style w:type="paragraph" w:styleId="BalloonText">
    <w:name w:val="Balloon Text"/>
    <w:basedOn w:val="Normal"/>
    <w:link w:val="BalloonTextChar"/>
    <w:rsid w:val="00A10B0B"/>
    <w:rPr>
      <w:rFonts w:ascii="Segoe UI" w:hAnsi="Segoe UI" w:cs="Segoe UI"/>
      <w:sz w:val="18"/>
      <w:szCs w:val="18"/>
    </w:rPr>
  </w:style>
  <w:style w:type="character" w:customStyle="1" w:styleId="BalloonTextChar">
    <w:name w:val="Balloon Text Char"/>
    <w:link w:val="BalloonText"/>
    <w:rsid w:val="00A10B0B"/>
    <w:rPr>
      <w:rFonts w:ascii="Segoe UI" w:hAnsi="Segoe UI" w:cs="Segoe UI"/>
      <w:snapToGrid w:val="0"/>
      <w:kern w:val="28"/>
      <w:sz w:val="18"/>
      <w:szCs w:val="18"/>
    </w:rPr>
  </w:style>
  <w:style w:type="character" w:styleId="CommentReference">
    <w:name w:val="annotation reference"/>
    <w:rsid w:val="0038240D"/>
    <w:rPr>
      <w:sz w:val="16"/>
      <w:szCs w:val="16"/>
    </w:rPr>
  </w:style>
  <w:style w:type="paragraph" w:styleId="CommentText">
    <w:name w:val="annotation text"/>
    <w:basedOn w:val="Normal"/>
    <w:link w:val="CommentTextChar"/>
    <w:rsid w:val="0038240D"/>
    <w:rPr>
      <w:sz w:val="20"/>
    </w:rPr>
  </w:style>
  <w:style w:type="character" w:customStyle="1" w:styleId="CommentTextChar">
    <w:name w:val="Comment Text Char"/>
    <w:link w:val="CommentText"/>
    <w:rsid w:val="0038240D"/>
    <w:rPr>
      <w:snapToGrid w:val="0"/>
      <w:kern w:val="28"/>
    </w:rPr>
  </w:style>
  <w:style w:type="paragraph" w:styleId="CommentSubject">
    <w:name w:val="annotation subject"/>
    <w:basedOn w:val="CommentText"/>
    <w:next w:val="CommentText"/>
    <w:link w:val="CommentSubjectChar"/>
    <w:rsid w:val="0038240D"/>
    <w:rPr>
      <w:b/>
      <w:bCs/>
    </w:rPr>
  </w:style>
  <w:style w:type="character" w:customStyle="1" w:styleId="CommentSubjectChar">
    <w:name w:val="Comment Subject Char"/>
    <w:link w:val="CommentSubject"/>
    <w:rsid w:val="0038240D"/>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ew.Gibson@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2062</Words>
  <Characters>11114</Characters>
  <Application>Microsoft Office Word</Application>
  <DocSecurity>0</DocSecurity>
  <Lines>183</Lines>
  <Paragraphs>48</Paragraphs>
  <ScaleCrop>false</ScaleCrop>
  <Manager/>
  <Company/>
  <LinksUpToDate>false</LinksUpToDate>
  <CharactersWithSpaces>13193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2016-11-09T15:59:00Z</dcterms:created>
  <dcterms:modified xsi:type="dcterms:W3CDTF">2016-11-09T15:59:00Z</dcterms:modified>
  <cp:category> </cp:category>
  <cp:contentStatus> </cp:contentStatus>
</cp:coreProperties>
</file>