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Pr="005176A0" w:rsidRDefault="00F059F6" w:rsidP="003750DC">
      <w:pPr>
        <w:ind w:left="5760"/>
        <w:rPr>
          <w:b/>
          <w:sz w:val="22"/>
          <w:szCs w:val="22"/>
        </w:rPr>
      </w:pPr>
      <w:bookmarkStart w:id="0" w:name="_GoBack"/>
      <w:bookmarkEnd w:id="0"/>
      <w:r>
        <w:rPr>
          <w:b/>
          <w:sz w:val="22"/>
          <w:szCs w:val="22"/>
        </w:rPr>
        <w:t>DA 16-1252</w:t>
      </w:r>
    </w:p>
    <w:p w:rsidR="005176A0" w:rsidRPr="005176A0" w:rsidRDefault="005448B1" w:rsidP="003750DC">
      <w:pPr>
        <w:ind w:left="5760"/>
        <w:rPr>
          <w:b/>
          <w:sz w:val="22"/>
          <w:szCs w:val="22"/>
        </w:rPr>
      </w:pPr>
      <w:r>
        <w:rPr>
          <w:b/>
          <w:sz w:val="22"/>
          <w:szCs w:val="22"/>
        </w:rPr>
        <w:t>Released:  November 4</w:t>
      </w:r>
      <w:r w:rsidR="005176A0" w:rsidRPr="005176A0">
        <w:rPr>
          <w:b/>
          <w:sz w:val="22"/>
          <w:szCs w:val="22"/>
        </w:rPr>
        <w:t>, 2016</w:t>
      </w:r>
    </w:p>
    <w:p w:rsidR="005176A0" w:rsidRPr="005176A0" w:rsidRDefault="005176A0" w:rsidP="003750DC">
      <w:pPr>
        <w:autoSpaceDE w:val="0"/>
        <w:autoSpaceDN w:val="0"/>
        <w:adjustRightInd w:val="0"/>
        <w:rPr>
          <w:sz w:val="22"/>
          <w:szCs w:val="22"/>
        </w:rPr>
      </w:pPr>
      <w:r w:rsidRPr="005176A0">
        <w:rPr>
          <w:sz w:val="22"/>
          <w:szCs w:val="22"/>
        </w:rPr>
        <w:t>Angela J. Campbell, Esq.</w:t>
      </w:r>
    </w:p>
    <w:p w:rsidR="005176A0" w:rsidRPr="005176A0" w:rsidRDefault="005176A0" w:rsidP="003750DC">
      <w:pPr>
        <w:autoSpaceDE w:val="0"/>
        <w:autoSpaceDN w:val="0"/>
        <w:adjustRightInd w:val="0"/>
        <w:rPr>
          <w:sz w:val="22"/>
          <w:szCs w:val="22"/>
        </w:rPr>
      </w:pPr>
      <w:r w:rsidRPr="005176A0">
        <w:rPr>
          <w:sz w:val="22"/>
          <w:szCs w:val="22"/>
        </w:rPr>
        <w:t>Institute for Public Representation</w:t>
      </w:r>
    </w:p>
    <w:p w:rsidR="005176A0" w:rsidRPr="005176A0" w:rsidRDefault="005176A0" w:rsidP="003750DC">
      <w:pPr>
        <w:autoSpaceDE w:val="0"/>
        <w:autoSpaceDN w:val="0"/>
        <w:adjustRightInd w:val="0"/>
        <w:rPr>
          <w:sz w:val="22"/>
          <w:szCs w:val="22"/>
        </w:rPr>
      </w:pPr>
      <w:r w:rsidRPr="005176A0">
        <w:rPr>
          <w:sz w:val="22"/>
          <w:szCs w:val="22"/>
        </w:rPr>
        <w:t>Counsel for Common Cause et al.</w:t>
      </w:r>
    </w:p>
    <w:p w:rsidR="005176A0" w:rsidRPr="005176A0" w:rsidRDefault="005176A0" w:rsidP="003750DC">
      <w:pPr>
        <w:autoSpaceDE w:val="0"/>
        <w:autoSpaceDN w:val="0"/>
        <w:adjustRightInd w:val="0"/>
        <w:rPr>
          <w:sz w:val="22"/>
          <w:szCs w:val="22"/>
        </w:rPr>
      </w:pPr>
      <w:r w:rsidRPr="005176A0">
        <w:rPr>
          <w:sz w:val="22"/>
          <w:szCs w:val="22"/>
        </w:rPr>
        <w:t>Georgetown University Law Center</w:t>
      </w:r>
    </w:p>
    <w:p w:rsidR="005176A0" w:rsidRPr="005176A0" w:rsidRDefault="005176A0" w:rsidP="003750DC">
      <w:pPr>
        <w:autoSpaceDE w:val="0"/>
        <w:autoSpaceDN w:val="0"/>
        <w:adjustRightInd w:val="0"/>
        <w:rPr>
          <w:sz w:val="22"/>
          <w:szCs w:val="22"/>
        </w:rPr>
      </w:pPr>
      <w:r w:rsidRPr="005176A0">
        <w:rPr>
          <w:sz w:val="22"/>
          <w:szCs w:val="22"/>
        </w:rPr>
        <w:t>600 New Jersey Avenue, N.W.</w:t>
      </w:r>
    </w:p>
    <w:p w:rsidR="005176A0" w:rsidRPr="005176A0" w:rsidRDefault="005176A0" w:rsidP="003750DC">
      <w:pPr>
        <w:autoSpaceDE w:val="0"/>
        <w:autoSpaceDN w:val="0"/>
        <w:adjustRightInd w:val="0"/>
        <w:rPr>
          <w:sz w:val="22"/>
          <w:szCs w:val="22"/>
        </w:rPr>
      </w:pPr>
      <w:r w:rsidRPr="005176A0">
        <w:rPr>
          <w:sz w:val="22"/>
          <w:szCs w:val="22"/>
        </w:rPr>
        <w:t>Washington, D.C. 20001</w:t>
      </w:r>
    </w:p>
    <w:p w:rsidR="005176A0" w:rsidRPr="005176A0" w:rsidRDefault="005176A0" w:rsidP="003750DC">
      <w:pPr>
        <w:autoSpaceDE w:val="0"/>
        <w:autoSpaceDN w:val="0"/>
        <w:adjustRightInd w:val="0"/>
        <w:rPr>
          <w:sz w:val="22"/>
          <w:szCs w:val="22"/>
        </w:rPr>
      </w:pPr>
    </w:p>
    <w:p w:rsidR="005176A0" w:rsidRPr="005176A0" w:rsidRDefault="005176A0" w:rsidP="003750DC">
      <w:pPr>
        <w:autoSpaceDE w:val="0"/>
        <w:autoSpaceDN w:val="0"/>
        <w:adjustRightInd w:val="0"/>
        <w:rPr>
          <w:sz w:val="22"/>
          <w:szCs w:val="22"/>
        </w:rPr>
      </w:pPr>
      <w:r w:rsidRPr="005176A0">
        <w:rPr>
          <w:sz w:val="22"/>
          <w:szCs w:val="22"/>
        </w:rPr>
        <w:tab/>
      </w:r>
      <w:r w:rsidRPr="005176A0">
        <w:rPr>
          <w:sz w:val="22"/>
          <w:szCs w:val="22"/>
        </w:rPr>
        <w:tab/>
      </w:r>
      <w:r w:rsidRPr="005176A0">
        <w:rPr>
          <w:sz w:val="22"/>
          <w:szCs w:val="22"/>
        </w:rPr>
        <w:tab/>
      </w:r>
      <w:r w:rsidRPr="005176A0">
        <w:rPr>
          <w:sz w:val="22"/>
          <w:szCs w:val="22"/>
        </w:rPr>
        <w:tab/>
      </w:r>
      <w:r w:rsidRPr="005176A0">
        <w:rPr>
          <w:sz w:val="22"/>
          <w:szCs w:val="22"/>
        </w:rPr>
        <w:tab/>
        <w:t>Re:</w:t>
      </w:r>
      <w:r w:rsidRPr="005176A0">
        <w:rPr>
          <w:sz w:val="22"/>
          <w:szCs w:val="22"/>
        </w:rPr>
        <w:tab/>
        <w:t>Petition for Reconsideration</w:t>
      </w:r>
    </w:p>
    <w:p w:rsidR="005176A0" w:rsidRPr="005176A0" w:rsidRDefault="005176A0" w:rsidP="003750DC">
      <w:pPr>
        <w:autoSpaceDE w:val="0"/>
        <w:autoSpaceDN w:val="0"/>
        <w:adjustRightInd w:val="0"/>
        <w:rPr>
          <w:sz w:val="22"/>
          <w:szCs w:val="22"/>
        </w:rPr>
      </w:pPr>
      <w:r w:rsidRPr="005176A0">
        <w:rPr>
          <w:sz w:val="22"/>
          <w:szCs w:val="22"/>
        </w:rPr>
        <w:tab/>
      </w:r>
      <w:r w:rsidRPr="005176A0">
        <w:rPr>
          <w:sz w:val="22"/>
          <w:szCs w:val="22"/>
        </w:rPr>
        <w:tab/>
      </w:r>
      <w:r w:rsidRPr="005176A0">
        <w:rPr>
          <w:sz w:val="22"/>
          <w:szCs w:val="22"/>
        </w:rPr>
        <w:tab/>
      </w:r>
      <w:r w:rsidRPr="005176A0">
        <w:rPr>
          <w:sz w:val="22"/>
          <w:szCs w:val="22"/>
        </w:rPr>
        <w:tab/>
      </w:r>
      <w:r w:rsidRPr="005176A0">
        <w:rPr>
          <w:sz w:val="22"/>
          <w:szCs w:val="22"/>
        </w:rPr>
        <w:tab/>
      </w:r>
      <w:r w:rsidRPr="005176A0">
        <w:rPr>
          <w:sz w:val="22"/>
          <w:szCs w:val="22"/>
        </w:rPr>
        <w:tab/>
        <w:t>MB Docket No. 06-121 et al.</w:t>
      </w:r>
    </w:p>
    <w:p w:rsidR="005176A0" w:rsidRPr="005176A0" w:rsidRDefault="005176A0" w:rsidP="003750DC">
      <w:pPr>
        <w:rPr>
          <w:sz w:val="22"/>
          <w:szCs w:val="22"/>
        </w:rPr>
      </w:pPr>
    </w:p>
    <w:p w:rsidR="005176A0" w:rsidRPr="005176A0" w:rsidRDefault="005176A0" w:rsidP="003750DC">
      <w:pPr>
        <w:pStyle w:val="ParaNum"/>
        <w:widowControl/>
        <w:numPr>
          <w:ilvl w:val="0"/>
          <w:numId w:val="0"/>
        </w:numPr>
        <w:tabs>
          <w:tab w:val="num" w:pos="1440"/>
        </w:tabs>
        <w:spacing w:after="200"/>
        <w:rPr>
          <w:szCs w:val="22"/>
        </w:rPr>
      </w:pPr>
      <w:r w:rsidRPr="005176A0">
        <w:rPr>
          <w:szCs w:val="22"/>
        </w:rPr>
        <w:t>Ms. Campbell:</w:t>
      </w:r>
    </w:p>
    <w:p w:rsidR="00BF6AC9" w:rsidRDefault="005176A0" w:rsidP="003750DC">
      <w:pPr>
        <w:pStyle w:val="ParaNum"/>
        <w:widowControl/>
        <w:numPr>
          <w:ilvl w:val="0"/>
          <w:numId w:val="0"/>
        </w:numPr>
        <w:tabs>
          <w:tab w:val="num" w:pos="720"/>
        </w:tabs>
        <w:spacing w:after="200"/>
        <w:rPr>
          <w:szCs w:val="22"/>
        </w:rPr>
      </w:pPr>
      <w:r>
        <w:rPr>
          <w:szCs w:val="22"/>
        </w:rPr>
        <w:tab/>
      </w:r>
      <w:r w:rsidRPr="005176A0">
        <w:rPr>
          <w:szCs w:val="22"/>
        </w:rPr>
        <w:t>On March 24, 2008, Common Cause, the Benton Foundation, Consumer Action, Massachusetts Consumers’ Coalition, NYC Wireless, James J. Elekes, and N</w:t>
      </w:r>
      <w:r w:rsidR="004B2475">
        <w:rPr>
          <w:szCs w:val="22"/>
        </w:rPr>
        <w:t xml:space="preserve">ational </w:t>
      </w:r>
      <w:r w:rsidRPr="005176A0">
        <w:rPr>
          <w:szCs w:val="22"/>
        </w:rPr>
        <w:t>H</w:t>
      </w:r>
      <w:r w:rsidR="004B2475">
        <w:rPr>
          <w:szCs w:val="22"/>
        </w:rPr>
        <w:t xml:space="preserve">ispanic </w:t>
      </w:r>
      <w:r w:rsidRPr="005176A0">
        <w:rPr>
          <w:szCs w:val="22"/>
        </w:rPr>
        <w:t>M</w:t>
      </w:r>
      <w:r w:rsidR="004B2475">
        <w:rPr>
          <w:szCs w:val="22"/>
        </w:rPr>
        <w:t xml:space="preserve">edia </w:t>
      </w:r>
      <w:r w:rsidRPr="005176A0">
        <w:rPr>
          <w:szCs w:val="22"/>
        </w:rPr>
        <w:t>C</w:t>
      </w:r>
      <w:r w:rsidR="004B2475">
        <w:rPr>
          <w:szCs w:val="22"/>
        </w:rPr>
        <w:t>oalition</w:t>
      </w:r>
      <w:r w:rsidRPr="005176A0">
        <w:rPr>
          <w:szCs w:val="22"/>
        </w:rPr>
        <w:t xml:space="preserve"> (jointly,</w:t>
      </w:r>
      <w:r w:rsidR="00BF6AC9">
        <w:rPr>
          <w:szCs w:val="22"/>
        </w:rPr>
        <w:t xml:space="preserve"> Petitioners</w:t>
      </w:r>
      <w:r w:rsidRPr="005176A0">
        <w:rPr>
          <w:szCs w:val="22"/>
        </w:rPr>
        <w:t>) filed a petition</w:t>
      </w:r>
      <w:r w:rsidR="00BF6AC9">
        <w:rPr>
          <w:szCs w:val="22"/>
        </w:rPr>
        <w:t xml:space="preserve"> for reconsideration (Petition</w:t>
      </w:r>
      <w:r w:rsidRPr="005176A0">
        <w:rPr>
          <w:szCs w:val="22"/>
        </w:rPr>
        <w:t xml:space="preserve">) of </w:t>
      </w:r>
      <w:r w:rsidR="00BF6AC9">
        <w:rPr>
          <w:szCs w:val="22"/>
        </w:rPr>
        <w:t xml:space="preserve">certain aspects of the </w:t>
      </w:r>
      <w:r w:rsidRPr="005176A0">
        <w:rPr>
          <w:i/>
          <w:szCs w:val="22"/>
        </w:rPr>
        <w:t>2006 Quadrennial Review Order</w:t>
      </w:r>
      <w:r w:rsidRPr="005176A0">
        <w:rPr>
          <w:szCs w:val="22"/>
        </w:rPr>
        <w:t>.</w:t>
      </w:r>
      <w:r w:rsidRPr="005176A0">
        <w:rPr>
          <w:rStyle w:val="FootnoteReference"/>
          <w:szCs w:val="22"/>
        </w:rPr>
        <w:footnoteReference w:id="1"/>
      </w:r>
      <w:r w:rsidRPr="005176A0">
        <w:rPr>
          <w:szCs w:val="22"/>
        </w:rPr>
        <w:t xml:space="preserve">  </w:t>
      </w:r>
      <w:r w:rsidR="00E7407D">
        <w:rPr>
          <w:szCs w:val="22"/>
        </w:rPr>
        <w:t>For the reasons discussed below, we dismiss the Petition because there are no longer any active</w:t>
      </w:r>
      <w:r w:rsidR="0081173A">
        <w:rPr>
          <w:szCs w:val="22"/>
        </w:rPr>
        <w:t xml:space="preserve"> issues for the Commission to </w:t>
      </w:r>
      <w:r w:rsidR="00E7407D">
        <w:rPr>
          <w:szCs w:val="22"/>
        </w:rPr>
        <w:t>consider.</w:t>
      </w:r>
      <w:r w:rsidR="00E7407D">
        <w:rPr>
          <w:rStyle w:val="FootnoteReference"/>
          <w:szCs w:val="22"/>
        </w:rPr>
        <w:footnoteReference w:id="2"/>
      </w:r>
    </w:p>
    <w:p w:rsidR="001F6916" w:rsidRPr="001F6916" w:rsidRDefault="005176A0" w:rsidP="003750DC">
      <w:pPr>
        <w:pStyle w:val="ParaNum"/>
        <w:widowControl/>
        <w:numPr>
          <w:ilvl w:val="0"/>
          <w:numId w:val="0"/>
        </w:numPr>
        <w:spacing w:after="200"/>
        <w:ind w:firstLine="720"/>
      </w:pPr>
      <w:r w:rsidRPr="005176A0">
        <w:rPr>
          <w:szCs w:val="22"/>
        </w:rPr>
        <w:t>The Petition sought reconsideration</w:t>
      </w:r>
      <w:r w:rsidR="00BF6AC9">
        <w:rPr>
          <w:szCs w:val="22"/>
        </w:rPr>
        <w:t xml:space="preserve"> of several of the rules adopted</w:t>
      </w:r>
      <w:r w:rsidRPr="005176A0">
        <w:rPr>
          <w:szCs w:val="22"/>
        </w:rPr>
        <w:t xml:space="preserve"> </w:t>
      </w:r>
      <w:r w:rsidR="00BF6AC9">
        <w:rPr>
          <w:szCs w:val="22"/>
        </w:rPr>
        <w:t xml:space="preserve">in the </w:t>
      </w:r>
      <w:r w:rsidR="00874509" w:rsidRPr="005176A0">
        <w:rPr>
          <w:i/>
          <w:szCs w:val="22"/>
        </w:rPr>
        <w:t xml:space="preserve">2006 Quadrennial Review </w:t>
      </w:r>
      <w:r w:rsidR="00BF6AC9">
        <w:rPr>
          <w:i/>
          <w:szCs w:val="22"/>
        </w:rPr>
        <w:t>Order</w:t>
      </w:r>
      <w:r w:rsidR="00BF6AC9">
        <w:rPr>
          <w:szCs w:val="22"/>
        </w:rPr>
        <w:t xml:space="preserve">; </w:t>
      </w:r>
      <w:r w:rsidR="00BF6AC9">
        <w:t>s</w:t>
      </w:r>
      <w:r w:rsidR="00BF6AC9" w:rsidRPr="00F43A74">
        <w:t>pecifically, Petitioners argue</w:t>
      </w:r>
      <w:r w:rsidR="00BF6AC9">
        <w:t>d</w:t>
      </w:r>
      <w:r w:rsidR="00BF6AC9" w:rsidRPr="00F43A74">
        <w:t xml:space="preserve"> that the Com</w:t>
      </w:r>
      <w:r w:rsidR="0098523F">
        <w:t>mission should modify the 2006 N</w:t>
      </w:r>
      <w:r w:rsidR="00BF6AC9" w:rsidRPr="00F43A74">
        <w:t>ewsp</w:t>
      </w:r>
      <w:r w:rsidR="0098523F">
        <w:t>aper/Broadcast Cross-Ownership (NBCO) Rule and tighten the Local Television and Local Radio O</w:t>
      </w:r>
      <w:r w:rsidR="00BF6AC9" w:rsidRPr="00F43A74">
        <w:t xml:space="preserve">wnership </w:t>
      </w:r>
      <w:r w:rsidR="0098523F">
        <w:t>Rules</w:t>
      </w:r>
      <w:r w:rsidR="00BF6AC9" w:rsidRPr="00F43A74">
        <w:t>.</w:t>
      </w:r>
      <w:r w:rsidR="001F6916">
        <w:rPr>
          <w:rStyle w:val="FootnoteReference"/>
        </w:rPr>
        <w:footnoteReference w:id="3"/>
      </w:r>
      <w:r w:rsidR="001F6916">
        <w:t xml:space="preserve">  </w:t>
      </w:r>
      <w:r w:rsidR="0098523F">
        <w:t>The</w:t>
      </w:r>
      <w:r w:rsidR="001F6916">
        <w:t xml:space="preserve"> challenges</w:t>
      </w:r>
      <w:r w:rsidR="001F6916" w:rsidRPr="001F6916">
        <w:t xml:space="preserve"> of the</w:t>
      </w:r>
      <w:r w:rsidR="0098523F">
        <w:t>se</w:t>
      </w:r>
      <w:r w:rsidR="001F6916" w:rsidRPr="001F6916">
        <w:t xml:space="preserve"> media ownership rules were </w:t>
      </w:r>
      <w:r w:rsidR="001F7EEB">
        <w:t xml:space="preserve">either addressed or </w:t>
      </w:r>
      <w:r w:rsidR="001F6916" w:rsidRPr="001F6916">
        <w:t xml:space="preserve">rendered moot by the subsequent </w:t>
      </w:r>
      <w:r w:rsidR="001F6916" w:rsidRPr="001F6916">
        <w:rPr>
          <w:i/>
        </w:rPr>
        <w:t>Prometheus II</w:t>
      </w:r>
      <w:r w:rsidR="001F6916" w:rsidRPr="001F6916">
        <w:t xml:space="preserve"> decision</w:t>
      </w:r>
      <w:r w:rsidR="0088187A">
        <w:rPr>
          <w:i/>
        </w:rPr>
        <w:t>—</w:t>
      </w:r>
      <w:r w:rsidR="001F6916" w:rsidRPr="001F6916">
        <w:t xml:space="preserve">in which the court vacated the 2006 </w:t>
      </w:r>
      <w:r w:rsidR="0098523F">
        <w:t>NBCO Rule and upheld the Local Television and Local Radio Ownership R</w:t>
      </w:r>
      <w:r w:rsidR="001F6916" w:rsidRPr="001F6916">
        <w:t>ules</w:t>
      </w:r>
      <w:r w:rsidR="0088187A">
        <w:t>—</w:t>
      </w:r>
      <w:r w:rsidR="001F7EEB">
        <w:t>and the recent</w:t>
      </w:r>
      <w:r w:rsidR="0087038C">
        <w:t>ly adopted</w:t>
      </w:r>
      <w:r w:rsidR="001F7EEB">
        <w:t xml:space="preserve"> </w:t>
      </w:r>
      <w:r w:rsidR="001F7EEB" w:rsidRPr="00E4783B">
        <w:rPr>
          <w:i/>
        </w:rPr>
        <w:t>Second Report and Order</w:t>
      </w:r>
      <w:r w:rsidR="001F7EEB">
        <w:t xml:space="preserve"> concluding the 2010 and 2014 quadrennial review proceedings</w:t>
      </w:r>
      <w:r w:rsidR="001F6916" w:rsidRPr="001F6916">
        <w:t>.</w:t>
      </w:r>
      <w:r w:rsidR="001F6916" w:rsidRPr="001F6916">
        <w:rPr>
          <w:vertAlign w:val="superscript"/>
        </w:rPr>
        <w:footnoteReference w:id="4"/>
      </w:r>
      <w:r w:rsidR="001F7EEB">
        <w:t xml:space="preserve">  </w:t>
      </w:r>
    </w:p>
    <w:p w:rsidR="00BF6AC9" w:rsidRDefault="001F6916" w:rsidP="003750DC">
      <w:pPr>
        <w:pStyle w:val="ParaNum"/>
        <w:widowControl/>
        <w:numPr>
          <w:ilvl w:val="0"/>
          <w:numId w:val="0"/>
        </w:numPr>
        <w:tabs>
          <w:tab w:val="num" w:pos="720"/>
        </w:tabs>
        <w:spacing w:after="200"/>
        <w:rPr>
          <w:szCs w:val="22"/>
        </w:rPr>
      </w:pPr>
      <w:r>
        <w:rPr>
          <w:i/>
          <w:szCs w:val="22"/>
        </w:rPr>
        <w:lastRenderedPageBreak/>
        <w:tab/>
      </w:r>
      <w:r w:rsidR="00BF6AC9" w:rsidRPr="00BF6AC9">
        <w:rPr>
          <w:szCs w:val="22"/>
        </w:rPr>
        <w:t>In addition,</w:t>
      </w:r>
      <w:r w:rsidR="00BF6AC9">
        <w:rPr>
          <w:i/>
          <w:szCs w:val="22"/>
        </w:rPr>
        <w:t xml:space="preserve"> </w:t>
      </w:r>
      <w:r w:rsidR="00BF6AC9">
        <w:rPr>
          <w:szCs w:val="22"/>
        </w:rPr>
        <w:t>Petitioners challenged</w:t>
      </w:r>
      <w:r w:rsidR="005176A0" w:rsidRPr="005176A0">
        <w:rPr>
          <w:szCs w:val="22"/>
        </w:rPr>
        <w:t xml:space="preserve"> the Commission’s grant of five permanent waivers of the </w:t>
      </w:r>
      <w:r w:rsidR="0098523F">
        <w:rPr>
          <w:szCs w:val="22"/>
        </w:rPr>
        <w:t>NBCO R</w:t>
      </w:r>
      <w:r w:rsidR="00874509">
        <w:rPr>
          <w:szCs w:val="22"/>
        </w:rPr>
        <w:t>ule—</w:t>
      </w:r>
      <w:r w:rsidR="005176A0" w:rsidRPr="005176A0">
        <w:rPr>
          <w:szCs w:val="22"/>
        </w:rPr>
        <w:t>one</w:t>
      </w:r>
      <w:r w:rsidR="00683785">
        <w:rPr>
          <w:szCs w:val="22"/>
        </w:rPr>
        <w:t xml:space="preserve"> to Gannett Co., Inc. (Gannett</w:t>
      </w:r>
      <w:r w:rsidR="005176A0" w:rsidRPr="005176A0">
        <w:rPr>
          <w:szCs w:val="22"/>
        </w:rPr>
        <w:t xml:space="preserve">) and four to Media General, Inc. (Media </w:t>
      </w:r>
      <w:r w:rsidR="00683785">
        <w:rPr>
          <w:szCs w:val="22"/>
        </w:rPr>
        <w:t>General</w:t>
      </w:r>
      <w:r w:rsidR="005176A0" w:rsidRPr="005176A0">
        <w:rPr>
          <w:szCs w:val="22"/>
        </w:rPr>
        <w:t>).</w:t>
      </w:r>
      <w:r w:rsidR="005176A0" w:rsidRPr="005176A0">
        <w:rPr>
          <w:rStyle w:val="FootnoteReference"/>
          <w:szCs w:val="22"/>
        </w:rPr>
        <w:footnoteReference w:id="5"/>
      </w:r>
      <w:r w:rsidR="005176A0" w:rsidRPr="005176A0">
        <w:rPr>
          <w:szCs w:val="22"/>
        </w:rPr>
        <w:t xml:space="preserve">  In each of the five markets, the waivers approved an existing combination of a single broadcast </w:t>
      </w:r>
      <w:r w:rsidR="0098523F">
        <w:rPr>
          <w:szCs w:val="22"/>
        </w:rPr>
        <w:t xml:space="preserve">television </w:t>
      </w:r>
      <w:r w:rsidR="005176A0" w:rsidRPr="005176A0">
        <w:rPr>
          <w:szCs w:val="22"/>
        </w:rPr>
        <w:t>station and a newspaper acquired after the date of the broadcast station’s last renewal.</w:t>
      </w:r>
      <w:r w:rsidR="005176A0" w:rsidRPr="005176A0">
        <w:rPr>
          <w:rStyle w:val="FootnoteReference"/>
          <w:szCs w:val="22"/>
        </w:rPr>
        <w:footnoteReference w:id="6"/>
      </w:r>
      <w:r w:rsidR="005176A0" w:rsidRPr="005176A0">
        <w:rPr>
          <w:szCs w:val="22"/>
        </w:rPr>
        <w:t xml:space="preserve">  The waivers involved Gannett’s combination in the Phoenix, Arizona, DMA (KPNX-TV and </w:t>
      </w:r>
      <w:r w:rsidR="005176A0" w:rsidRPr="005176A0">
        <w:rPr>
          <w:i/>
          <w:szCs w:val="22"/>
        </w:rPr>
        <w:t>The Arizona Republic</w:t>
      </w:r>
      <w:r w:rsidR="005176A0" w:rsidRPr="005176A0">
        <w:rPr>
          <w:szCs w:val="22"/>
        </w:rPr>
        <w:t>)</w:t>
      </w:r>
      <w:r w:rsidR="005176A0" w:rsidRPr="005176A0">
        <w:rPr>
          <w:i/>
          <w:szCs w:val="22"/>
        </w:rPr>
        <w:t xml:space="preserve"> </w:t>
      </w:r>
      <w:r w:rsidR="005176A0" w:rsidRPr="005176A0">
        <w:rPr>
          <w:szCs w:val="22"/>
        </w:rPr>
        <w:t xml:space="preserve">and Media General’s combinations in the Myrtle Beach-Florence, South Carolina, DMA (WBTW(TV) and the </w:t>
      </w:r>
      <w:r w:rsidR="005176A0" w:rsidRPr="005176A0">
        <w:rPr>
          <w:i/>
          <w:szCs w:val="22"/>
        </w:rPr>
        <w:t>Morning News</w:t>
      </w:r>
      <w:r w:rsidR="005C4842">
        <w:rPr>
          <w:szCs w:val="22"/>
        </w:rPr>
        <w:t>);</w:t>
      </w:r>
      <w:r w:rsidR="005176A0" w:rsidRPr="005176A0">
        <w:rPr>
          <w:szCs w:val="22"/>
        </w:rPr>
        <w:t xml:space="preserve"> Columbus, Georgia, DMA (WRBL(TV) and the </w:t>
      </w:r>
      <w:r w:rsidR="005176A0" w:rsidRPr="005176A0">
        <w:rPr>
          <w:i/>
          <w:szCs w:val="22"/>
        </w:rPr>
        <w:t>Opelika-Auburn News</w:t>
      </w:r>
      <w:r w:rsidR="005176A0" w:rsidRPr="005176A0">
        <w:rPr>
          <w:szCs w:val="22"/>
        </w:rPr>
        <w:t>)</w:t>
      </w:r>
      <w:r w:rsidR="005C4842">
        <w:rPr>
          <w:szCs w:val="22"/>
        </w:rPr>
        <w:t>;</w:t>
      </w:r>
      <w:r w:rsidR="005176A0" w:rsidRPr="005176A0">
        <w:rPr>
          <w:szCs w:val="22"/>
        </w:rPr>
        <w:t xml:space="preserve"> Tri-Cities DMA (WJHL-TV and the </w:t>
      </w:r>
      <w:r w:rsidR="005176A0" w:rsidRPr="005176A0">
        <w:rPr>
          <w:i/>
          <w:szCs w:val="22"/>
        </w:rPr>
        <w:t>Bristol</w:t>
      </w:r>
      <w:r w:rsidR="005176A0" w:rsidRPr="005176A0">
        <w:rPr>
          <w:szCs w:val="22"/>
        </w:rPr>
        <w:t xml:space="preserve"> (</w:t>
      </w:r>
      <w:r w:rsidR="005176A0" w:rsidRPr="005176A0">
        <w:rPr>
          <w:i/>
          <w:szCs w:val="22"/>
        </w:rPr>
        <w:t>Virginia Tennessee</w:t>
      </w:r>
      <w:r w:rsidR="005176A0" w:rsidRPr="005176A0">
        <w:rPr>
          <w:szCs w:val="22"/>
        </w:rPr>
        <w:t>)</w:t>
      </w:r>
      <w:r w:rsidR="005176A0" w:rsidRPr="005176A0">
        <w:rPr>
          <w:i/>
          <w:szCs w:val="22"/>
        </w:rPr>
        <w:t xml:space="preserve"> Herald Courier</w:t>
      </w:r>
      <w:r w:rsidR="005176A0" w:rsidRPr="005176A0">
        <w:rPr>
          <w:szCs w:val="22"/>
        </w:rPr>
        <w:t>)</w:t>
      </w:r>
      <w:r w:rsidR="005C4842">
        <w:rPr>
          <w:szCs w:val="22"/>
        </w:rPr>
        <w:t>;</w:t>
      </w:r>
      <w:r w:rsidR="005176A0" w:rsidRPr="005176A0">
        <w:rPr>
          <w:szCs w:val="22"/>
        </w:rPr>
        <w:t xml:space="preserve"> and Panama City, Florida, DMA (WMBB(TV) and the </w:t>
      </w:r>
      <w:r w:rsidR="005176A0" w:rsidRPr="005176A0">
        <w:rPr>
          <w:i/>
          <w:szCs w:val="22"/>
        </w:rPr>
        <w:t>Jackson County Floridian</w:t>
      </w:r>
      <w:r w:rsidR="005176A0" w:rsidRPr="005176A0">
        <w:rPr>
          <w:szCs w:val="22"/>
        </w:rPr>
        <w:t xml:space="preserve">).  </w:t>
      </w:r>
    </w:p>
    <w:p w:rsidR="00020387" w:rsidRPr="0081173A" w:rsidRDefault="00BF6AC9" w:rsidP="003750DC">
      <w:pPr>
        <w:ind w:firstLine="720"/>
        <w:rPr>
          <w:sz w:val="22"/>
          <w:szCs w:val="22"/>
        </w:rPr>
      </w:pPr>
      <w:r w:rsidRPr="0081173A">
        <w:rPr>
          <w:sz w:val="22"/>
          <w:szCs w:val="22"/>
        </w:rPr>
        <w:t>Subsequent to the filing of the Petition,</w:t>
      </w:r>
      <w:r w:rsidR="00020387" w:rsidRPr="0081173A">
        <w:rPr>
          <w:sz w:val="22"/>
          <w:szCs w:val="22"/>
        </w:rPr>
        <w:t xml:space="preserve"> all of the newspaper/television combinations challenge</w:t>
      </w:r>
      <w:r w:rsidR="00B44B07" w:rsidRPr="0081173A">
        <w:rPr>
          <w:sz w:val="22"/>
          <w:szCs w:val="22"/>
        </w:rPr>
        <w:t>d in the Petition were severed</w:t>
      </w:r>
      <w:r w:rsidR="005C7516" w:rsidRPr="0081173A">
        <w:rPr>
          <w:sz w:val="22"/>
          <w:szCs w:val="22"/>
        </w:rPr>
        <w:t xml:space="preserve"> by the parties</w:t>
      </w:r>
      <w:r w:rsidR="00B44B07" w:rsidRPr="0081173A">
        <w:rPr>
          <w:sz w:val="22"/>
          <w:szCs w:val="22"/>
        </w:rPr>
        <w:t>:</w:t>
      </w:r>
      <w:r w:rsidR="00020387" w:rsidRPr="0081173A">
        <w:rPr>
          <w:sz w:val="22"/>
          <w:szCs w:val="22"/>
        </w:rPr>
        <w:t xml:space="preserve"> </w:t>
      </w:r>
      <w:r w:rsidRPr="0081173A">
        <w:rPr>
          <w:sz w:val="22"/>
          <w:szCs w:val="22"/>
        </w:rPr>
        <w:t xml:space="preserve"> </w:t>
      </w:r>
      <w:r w:rsidR="00020387" w:rsidRPr="0081173A">
        <w:rPr>
          <w:sz w:val="22"/>
          <w:szCs w:val="22"/>
        </w:rPr>
        <w:t xml:space="preserve">(1) </w:t>
      </w:r>
      <w:r w:rsidRPr="0081173A">
        <w:rPr>
          <w:sz w:val="22"/>
          <w:szCs w:val="22"/>
        </w:rPr>
        <w:t>Media General sold WMBB(TV), eliminating the combination in the</w:t>
      </w:r>
      <w:r w:rsidR="00020387" w:rsidRPr="0081173A">
        <w:rPr>
          <w:sz w:val="22"/>
          <w:szCs w:val="22"/>
        </w:rPr>
        <w:t xml:space="preserve"> Panama City DMA;</w:t>
      </w:r>
      <w:r w:rsidRPr="0081173A">
        <w:rPr>
          <w:rStyle w:val="FootnoteReference"/>
          <w:szCs w:val="22"/>
        </w:rPr>
        <w:footnoteReference w:id="7"/>
      </w:r>
      <w:r w:rsidR="00020387" w:rsidRPr="0081173A">
        <w:rPr>
          <w:sz w:val="22"/>
          <w:szCs w:val="22"/>
        </w:rPr>
        <w:t xml:space="preserve"> (2) Media</w:t>
      </w:r>
      <w:r w:rsidR="00DC56C6" w:rsidRPr="0081173A">
        <w:rPr>
          <w:sz w:val="22"/>
          <w:szCs w:val="22"/>
        </w:rPr>
        <w:t xml:space="preserve"> General sold the </w:t>
      </w:r>
      <w:r w:rsidR="00DC56C6" w:rsidRPr="0081173A">
        <w:rPr>
          <w:i/>
          <w:sz w:val="22"/>
          <w:szCs w:val="22"/>
        </w:rPr>
        <w:t>Morning News</w:t>
      </w:r>
      <w:r w:rsidR="00DC56C6" w:rsidRPr="0081173A">
        <w:rPr>
          <w:sz w:val="22"/>
          <w:szCs w:val="22"/>
        </w:rPr>
        <w:t xml:space="preserve">, the </w:t>
      </w:r>
      <w:r w:rsidR="00DC56C6" w:rsidRPr="0081173A">
        <w:rPr>
          <w:i/>
          <w:sz w:val="22"/>
          <w:szCs w:val="22"/>
        </w:rPr>
        <w:t>Opelika-Auburn News</w:t>
      </w:r>
      <w:r w:rsidR="00DC56C6" w:rsidRPr="0081173A">
        <w:rPr>
          <w:sz w:val="22"/>
          <w:szCs w:val="22"/>
        </w:rPr>
        <w:t xml:space="preserve">, and the </w:t>
      </w:r>
      <w:r w:rsidR="00DC56C6" w:rsidRPr="0081173A">
        <w:rPr>
          <w:i/>
          <w:sz w:val="22"/>
          <w:szCs w:val="22"/>
        </w:rPr>
        <w:t>Bristol</w:t>
      </w:r>
      <w:r w:rsidR="00DC56C6" w:rsidRPr="0081173A">
        <w:rPr>
          <w:sz w:val="22"/>
          <w:szCs w:val="22"/>
        </w:rPr>
        <w:t xml:space="preserve"> (</w:t>
      </w:r>
      <w:r w:rsidR="00DC56C6" w:rsidRPr="0081173A">
        <w:rPr>
          <w:i/>
          <w:sz w:val="22"/>
          <w:szCs w:val="22"/>
        </w:rPr>
        <w:t>Virginia Tennessee</w:t>
      </w:r>
      <w:r w:rsidR="00DC56C6" w:rsidRPr="0081173A">
        <w:rPr>
          <w:sz w:val="22"/>
          <w:szCs w:val="22"/>
        </w:rPr>
        <w:t>)</w:t>
      </w:r>
      <w:r w:rsidR="00DC56C6" w:rsidRPr="0081173A">
        <w:rPr>
          <w:i/>
          <w:sz w:val="22"/>
          <w:szCs w:val="22"/>
        </w:rPr>
        <w:t xml:space="preserve"> Herald Courier</w:t>
      </w:r>
      <w:r w:rsidR="00DC56C6" w:rsidRPr="0081173A">
        <w:rPr>
          <w:sz w:val="22"/>
          <w:szCs w:val="22"/>
        </w:rPr>
        <w:t xml:space="preserve">, among other properties, </w:t>
      </w:r>
      <w:r w:rsidR="00020387" w:rsidRPr="0081173A">
        <w:rPr>
          <w:sz w:val="22"/>
          <w:szCs w:val="22"/>
        </w:rPr>
        <w:t xml:space="preserve">to Berkshire Hathaway in a transaction </w:t>
      </w:r>
      <w:r w:rsidR="00B44B07" w:rsidRPr="0081173A">
        <w:rPr>
          <w:sz w:val="22"/>
          <w:szCs w:val="22"/>
        </w:rPr>
        <w:t>completed</w:t>
      </w:r>
      <w:r w:rsidR="00020387" w:rsidRPr="0081173A">
        <w:rPr>
          <w:sz w:val="22"/>
          <w:szCs w:val="22"/>
        </w:rPr>
        <w:t xml:space="preserve"> on June 25, 2012</w:t>
      </w:r>
      <w:r w:rsidR="00DC56C6" w:rsidRPr="0081173A">
        <w:rPr>
          <w:sz w:val="22"/>
          <w:szCs w:val="22"/>
        </w:rPr>
        <w:t>, eliminating its remaining combinations</w:t>
      </w:r>
      <w:r w:rsidR="00020387" w:rsidRPr="0081173A">
        <w:rPr>
          <w:sz w:val="22"/>
          <w:szCs w:val="22"/>
        </w:rPr>
        <w:t>;</w:t>
      </w:r>
      <w:r w:rsidR="00020387" w:rsidRPr="0081173A">
        <w:rPr>
          <w:rStyle w:val="FootnoteReference"/>
          <w:szCs w:val="22"/>
        </w:rPr>
        <w:footnoteReference w:id="8"/>
      </w:r>
      <w:r w:rsidR="00DC56C6" w:rsidRPr="0081173A">
        <w:rPr>
          <w:sz w:val="22"/>
          <w:szCs w:val="22"/>
        </w:rPr>
        <w:t xml:space="preserve"> and (3)</w:t>
      </w:r>
      <w:r w:rsidR="00020387" w:rsidRPr="0081173A">
        <w:rPr>
          <w:sz w:val="22"/>
          <w:szCs w:val="22"/>
        </w:rPr>
        <w:t xml:space="preserve"> </w:t>
      </w:r>
      <w:r w:rsidR="00DC56C6" w:rsidRPr="0081173A">
        <w:rPr>
          <w:sz w:val="22"/>
          <w:szCs w:val="22"/>
        </w:rPr>
        <w:t>on June 29, 2015, Ganne</w:t>
      </w:r>
      <w:r w:rsidR="0098523F" w:rsidRPr="0081173A">
        <w:rPr>
          <w:sz w:val="22"/>
          <w:szCs w:val="22"/>
        </w:rPr>
        <w:t>t</w:t>
      </w:r>
      <w:r w:rsidR="00DC56C6" w:rsidRPr="0081173A">
        <w:rPr>
          <w:sz w:val="22"/>
          <w:szCs w:val="22"/>
        </w:rPr>
        <w:t>t executed a split, whereby Gannet</w:t>
      </w:r>
      <w:r w:rsidR="0098523F" w:rsidRPr="0081173A">
        <w:rPr>
          <w:sz w:val="22"/>
          <w:szCs w:val="22"/>
        </w:rPr>
        <w:t>t</w:t>
      </w:r>
      <w:r w:rsidR="00DC56C6" w:rsidRPr="0081173A">
        <w:rPr>
          <w:sz w:val="22"/>
          <w:szCs w:val="22"/>
        </w:rPr>
        <w:t xml:space="preserve"> was renamed TEGNA and its publishing and certain other assets were spun off to a newly formed, independent </w:t>
      </w:r>
      <w:r w:rsidR="0098523F" w:rsidRPr="0081173A">
        <w:rPr>
          <w:sz w:val="22"/>
          <w:szCs w:val="22"/>
        </w:rPr>
        <w:t>company that retained the Gannett name.</w:t>
      </w:r>
      <w:r w:rsidR="0098523F" w:rsidRPr="0081173A">
        <w:rPr>
          <w:rStyle w:val="FootnoteReference"/>
          <w:szCs w:val="22"/>
        </w:rPr>
        <w:footnoteReference w:id="9"/>
      </w:r>
    </w:p>
    <w:p w:rsidR="00E7407D" w:rsidRDefault="00E7407D" w:rsidP="003750DC">
      <w:pPr>
        <w:ind w:firstLine="720"/>
        <w:rPr>
          <w:sz w:val="22"/>
          <w:szCs w:val="22"/>
        </w:rPr>
      </w:pPr>
    </w:p>
    <w:p w:rsidR="003750DC" w:rsidRPr="004B2475" w:rsidRDefault="005608FE" w:rsidP="00FA3549">
      <w:pPr>
        <w:tabs>
          <w:tab w:val="left" w:pos="5040"/>
        </w:tabs>
        <w:ind w:firstLine="720"/>
        <w:rPr>
          <w:sz w:val="22"/>
          <w:szCs w:val="22"/>
        </w:rPr>
      </w:pPr>
      <w:r>
        <w:rPr>
          <w:sz w:val="22"/>
          <w:szCs w:val="22"/>
        </w:rPr>
        <w:t xml:space="preserve">As noted herein, the Petition’s challenges </w:t>
      </w:r>
      <w:r w:rsidR="0081173A">
        <w:rPr>
          <w:sz w:val="22"/>
          <w:szCs w:val="22"/>
        </w:rPr>
        <w:t>of</w:t>
      </w:r>
      <w:r w:rsidR="004B2475">
        <w:rPr>
          <w:sz w:val="22"/>
          <w:szCs w:val="22"/>
        </w:rPr>
        <w:t xml:space="preserve"> certain of the media ownership rules </w:t>
      </w:r>
      <w:r>
        <w:rPr>
          <w:sz w:val="22"/>
          <w:szCs w:val="22"/>
        </w:rPr>
        <w:t xml:space="preserve">were </w:t>
      </w:r>
      <w:r w:rsidR="004B2475">
        <w:rPr>
          <w:sz w:val="22"/>
          <w:szCs w:val="22"/>
        </w:rPr>
        <w:t xml:space="preserve">already </w:t>
      </w:r>
      <w:r>
        <w:rPr>
          <w:sz w:val="22"/>
          <w:szCs w:val="22"/>
        </w:rPr>
        <w:t xml:space="preserve">addressed by the court </w:t>
      </w:r>
      <w:r w:rsidRPr="004B2475">
        <w:rPr>
          <w:sz w:val="22"/>
          <w:szCs w:val="22"/>
        </w:rPr>
        <w:t xml:space="preserve">in </w:t>
      </w:r>
      <w:r w:rsidRPr="004B2475">
        <w:rPr>
          <w:i/>
          <w:sz w:val="22"/>
          <w:szCs w:val="22"/>
        </w:rPr>
        <w:t>Prometheus II</w:t>
      </w:r>
      <w:r w:rsidR="0087038C">
        <w:rPr>
          <w:sz w:val="22"/>
          <w:szCs w:val="22"/>
        </w:rPr>
        <w:t xml:space="preserve"> and the Commission in the recently adopted </w:t>
      </w:r>
      <w:r w:rsidR="0087038C">
        <w:rPr>
          <w:i/>
          <w:sz w:val="22"/>
          <w:szCs w:val="22"/>
        </w:rPr>
        <w:t>Second Report and Order</w:t>
      </w:r>
      <w:r w:rsidR="004B2475" w:rsidRPr="004B2475">
        <w:rPr>
          <w:sz w:val="22"/>
          <w:szCs w:val="22"/>
        </w:rPr>
        <w:t xml:space="preserve">, and the </w:t>
      </w:r>
      <w:r w:rsidR="004B2475">
        <w:rPr>
          <w:sz w:val="22"/>
          <w:szCs w:val="22"/>
        </w:rPr>
        <w:t xml:space="preserve">combinations </w:t>
      </w:r>
      <w:r w:rsidR="003A4387">
        <w:rPr>
          <w:sz w:val="22"/>
          <w:szCs w:val="22"/>
        </w:rPr>
        <w:t xml:space="preserve">approved </w:t>
      </w:r>
      <w:r w:rsidR="004B2475">
        <w:rPr>
          <w:sz w:val="22"/>
          <w:szCs w:val="22"/>
        </w:rPr>
        <w:t xml:space="preserve">in the </w:t>
      </w:r>
      <w:r w:rsidR="004B2475" w:rsidRPr="004B2475">
        <w:rPr>
          <w:sz w:val="22"/>
          <w:szCs w:val="22"/>
        </w:rPr>
        <w:t>challenged</w:t>
      </w:r>
      <w:r w:rsidR="004B2475">
        <w:rPr>
          <w:sz w:val="22"/>
          <w:szCs w:val="22"/>
        </w:rPr>
        <w:t xml:space="preserve"> NBCO</w:t>
      </w:r>
      <w:r w:rsidR="004B2475" w:rsidRPr="004B2475">
        <w:rPr>
          <w:sz w:val="22"/>
          <w:szCs w:val="22"/>
        </w:rPr>
        <w:t xml:space="preserve"> waivers have already been severed by the </w:t>
      </w:r>
      <w:r w:rsidR="004B2475" w:rsidRPr="004B2475">
        <w:rPr>
          <w:sz w:val="22"/>
          <w:szCs w:val="22"/>
        </w:rPr>
        <w:lastRenderedPageBreak/>
        <w:t>parties in the normal course of business.</w:t>
      </w:r>
      <w:r w:rsidRPr="004B2475">
        <w:rPr>
          <w:sz w:val="22"/>
          <w:szCs w:val="22"/>
        </w:rPr>
        <w:t xml:space="preserve"> </w:t>
      </w:r>
      <w:r w:rsidR="004B2475" w:rsidRPr="004B2475">
        <w:rPr>
          <w:sz w:val="22"/>
          <w:szCs w:val="22"/>
        </w:rPr>
        <w:t xml:space="preserve"> </w:t>
      </w:r>
      <w:r w:rsidRPr="004B2475">
        <w:rPr>
          <w:sz w:val="22"/>
          <w:szCs w:val="22"/>
        </w:rPr>
        <w:t>Accordingly, because t</w:t>
      </w:r>
      <w:r w:rsidR="004B2475" w:rsidRPr="004B2475">
        <w:rPr>
          <w:sz w:val="22"/>
          <w:szCs w:val="22"/>
        </w:rPr>
        <w:t>here are no longer any active issues for Commission consideration</w:t>
      </w:r>
      <w:r w:rsidRPr="004B2475">
        <w:rPr>
          <w:sz w:val="22"/>
          <w:szCs w:val="22"/>
        </w:rPr>
        <w:t xml:space="preserve">, we </w:t>
      </w:r>
      <w:r w:rsidRPr="00222CE9">
        <w:rPr>
          <w:b/>
          <w:sz w:val="22"/>
          <w:szCs w:val="22"/>
        </w:rPr>
        <w:t>DISMISS</w:t>
      </w:r>
      <w:r w:rsidRPr="004B2475">
        <w:rPr>
          <w:sz w:val="22"/>
          <w:szCs w:val="22"/>
        </w:rPr>
        <w:t xml:space="preserve"> the </w:t>
      </w:r>
      <w:r w:rsidR="004B2475" w:rsidRPr="004B2475">
        <w:rPr>
          <w:sz w:val="22"/>
          <w:szCs w:val="22"/>
        </w:rPr>
        <w:t>Petition</w:t>
      </w:r>
      <w:r w:rsidRPr="004B2475">
        <w:rPr>
          <w:sz w:val="22"/>
          <w:szCs w:val="22"/>
        </w:rPr>
        <w:t xml:space="preserve"> for Reconsideration of the </w:t>
      </w:r>
      <w:r w:rsidR="004B2475" w:rsidRPr="004B2475">
        <w:rPr>
          <w:i/>
          <w:sz w:val="22"/>
          <w:szCs w:val="22"/>
        </w:rPr>
        <w:t xml:space="preserve">2006 Quadrennial Review Order </w:t>
      </w:r>
      <w:r w:rsidR="004B2475" w:rsidRPr="004B2475">
        <w:rPr>
          <w:sz w:val="22"/>
          <w:szCs w:val="22"/>
        </w:rPr>
        <w:t>filed by Common Cause, the Benton Foundation, Consumer Action, Massachusetts Consumers’ Coalition, NYC Wireless, James J. Elekes, and National Hispanic Media Coalition</w:t>
      </w:r>
      <w:r w:rsidR="003A4387">
        <w:rPr>
          <w:sz w:val="22"/>
          <w:szCs w:val="22"/>
        </w:rPr>
        <w:t>.</w:t>
      </w:r>
    </w:p>
    <w:p w:rsidR="00E7407D" w:rsidRDefault="00E7407D" w:rsidP="004B2475">
      <w:pPr>
        <w:rPr>
          <w:sz w:val="22"/>
          <w:szCs w:val="22"/>
        </w:rPr>
      </w:pPr>
    </w:p>
    <w:p w:rsidR="00020387" w:rsidRDefault="00FD06F8" w:rsidP="00FD06F8">
      <w:pPr>
        <w:tabs>
          <w:tab w:val="left" w:pos="4320"/>
          <w:tab w:val="left" w:pos="5040"/>
        </w:tabs>
        <w:rPr>
          <w:sz w:val="22"/>
          <w:szCs w:val="22"/>
        </w:rPr>
      </w:pPr>
      <w:r>
        <w:rPr>
          <w:sz w:val="22"/>
          <w:szCs w:val="22"/>
        </w:rPr>
        <w:tab/>
      </w:r>
      <w:r w:rsidR="00FA3549">
        <w:rPr>
          <w:sz w:val="22"/>
          <w:szCs w:val="22"/>
        </w:rPr>
        <w:t>Sincerely,</w:t>
      </w:r>
    </w:p>
    <w:p w:rsidR="00FA3549" w:rsidRDefault="00FA3549" w:rsidP="00FA3549">
      <w:pPr>
        <w:tabs>
          <w:tab w:val="left" w:pos="5040"/>
        </w:tabs>
        <w:rPr>
          <w:sz w:val="22"/>
          <w:szCs w:val="22"/>
        </w:rPr>
      </w:pPr>
    </w:p>
    <w:p w:rsidR="00FA3549" w:rsidRDefault="00FA3549" w:rsidP="00FA3549">
      <w:pPr>
        <w:tabs>
          <w:tab w:val="left" w:pos="5040"/>
        </w:tabs>
        <w:rPr>
          <w:sz w:val="22"/>
          <w:szCs w:val="22"/>
        </w:rPr>
      </w:pPr>
    </w:p>
    <w:p w:rsidR="00FA3549" w:rsidRDefault="00FA3549" w:rsidP="00FA3549">
      <w:pPr>
        <w:tabs>
          <w:tab w:val="left" w:pos="5040"/>
        </w:tabs>
        <w:rPr>
          <w:sz w:val="22"/>
          <w:szCs w:val="22"/>
        </w:rPr>
      </w:pPr>
    </w:p>
    <w:p w:rsidR="00FA3549" w:rsidRDefault="00FD06F8" w:rsidP="00FD06F8">
      <w:pPr>
        <w:tabs>
          <w:tab w:val="left" w:pos="4320"/>
          <w:tab w:val="left" w:pos="5040"/>
        </w:tabs>
        <w:rPr>
          <w:sz w:val="22"/>
          <w:szCs w:val="22"/>
        </w:rPr>
      </w:pPr>
      <w:r>
        <w:rPr>
          <w:sz w:val="22"/>
          <w:szCs w:val="22"/>
        </w:rPr>
        <w:tab/>
      </w:r>
      <w:r w:rsidR="00FA3549">
        <w:rPr>
          <w:sz w:val="22"/>
          <w:szCs w:val="22"/>
        </w:rPr>
        <w:t>William T. Lake</w:t>
      </w:r>
    </w:p>
    <w:p w:rsidR="00FA3549" w:rsidRDefault="00FD06F8" w:rsidP="00FD06F8">
      <w:pPr>
        <w:tabs>
          <w:tab w:val="left" w:pos="4320"/>
          <w:tab w:val="left" w:pos="5040"/>
        </w:tabs>
        <w:rPr>
          <w:sz w:val="22"/>
          <w:szCs w:val="22"/>
        </w:rPr>
      </w:pPr>
      <w:r>
        <w:rPr>
          <w:sz w:val="22"/>
          <w:szCs w:val="22"/>
        </w:rPr>
        <w:tab/>
      </w:r>
      <w:r w:rsidR="00FA3549">
        <w:rPr>
          <w:sz w:val="22"/>
          <w:szCs w:val="22"/>
        </w:rPr>
        <w:t>Chief, Media Bureau</w:t>
      </w:r>
    </w:p>
    <w:p w:rsidR="00FA3549" w:rsidRDefault="00FA3549" w:rsidP="00FA3549">
      <w:pPr>
        <w:tabs>
          <w:tab w:val="left" w:pos="5040"/>
        </w:tabs>
        <w:rPr>
          <w:sz w:val="22"/>
          <w:szCs w:val="22"/>
        </w:rPr>
      </w:pPr>
    </w:p>
    <w:p w:rsidR="00FA3549" w:rsidRDefault="00FA3549" w:rsidP="00FA3549">
      <w:pPr>
        <w:tabs>
          <w:tab w:val="left" w:pos="5040"/>
        </w:tabs>
        <w:rPr>
          <w:sz w:val="22"/>
          <w:szCs w:val="22"/>
        </w:rPr>
      </w:pPr>
    </w:p>
    <w:p w:rsidR="005176A0" w:rsidRPr="005176A0" w:rsidRDefault="00020387" w:rsidP="003750DC">
      <w:pPr>
        <w:ind w:firstLine="720"/>
        <w:rPr>
          <w:sz w:val="22"/>
          <w:szCs w:val="22"/>
        </w:rPr>
      </w:pPr>
      <w:r>
        <w:rPr>
          <w:sz w:val="22"/>
          <w:szCs w:val="22"/>
        </w:rPr>
        <w:t xml:space="preserve"> </w:t>
      </w:r>
      <w:r w:rsidR="00BF6AC9" w:rsidRPr="005176A0">
        <w:rPr>
          <w:sz w:val="22"/>
          <w:szCs w:val="22"/>
        </w:rPr>
        <w:t xml:space="preserve">  </w:t>
      </w:r>
      <w:r w:rsidR="00BF6AC9" w:rsidRPr="00BF6AC9">
        <w:rPr>
          <w:sz w:val="22"/>
          <w:szCs w:val="22"/>
        </w:rPr>
        <w:t xml:space="preserve"> </w:t>
      </w:r>
    </w:p>
    <w:sectPr w:rsidR="005176A0" w:rsidRPr="005176A0">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FA" w:rsidRDefault="008020FA">
      <w:r>
        <w:separator/>
      </w:r>
    </w:p>
  </w:endnote>
  <w:endnote w:type="continuationSeparator" w:id="0">
    <w:p w:rsidR="008020FA" w:rsidRDefault="0080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F7" w:rsidRDefault="00D73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F7" w:rsidRDefault="00D73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F7" w:rsidRDefault="00D73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FA" w:rsidRDefault="008020FA">
      <w:r>
        <w:separator/>
      </w:r>
    </w:p>
  </w:footnote>
  <w:footnote w:type="continuationSeparator" w:id="0">
    <w:p w:rsidR="008020FA" w:rsidRDefault="008020FA">
      <w:r>
        <w:continuationSeparator/>
      </w:r>
    </w:p>
  </w:footnote>
  <w:footnote w:id="1">
    <w:p w:rsidR="005176A0" w:rsidRPr="00F43A74" w:rsidRDefault="005176A0" w:rsidP="001F6916">
      <w:pPr>
        <w:pStyle w:val="FootnoteText"/>
      </w:pPr>
      <w:r w:rsidRPr="00F43A74">
        <w:rPr>
          <w:rStyle w:val="FootnoteReference"/>
        </w:rPr>
        <w:footnoteRef/>
      </w:r>
      <w:r w:rsidRPr="00F43A74">
        <w:t xml:space="preserve"> </w:t>
      </w:r>
      <w:r w:rsidRPr="00F43A74">
        <w:rPr>
          <w:i/>
        </w:rPr>
        <w:t xml:space="preserve">See </w:t>
      </w:r>
      <w:r w:rsidR="001F6916" w:rsidRPr="004054FD">
        <w:rPr>
          <w:i/>
        </w:rPr>
        <w:t>2006 Quadrennial Regulatory Review – Review of the Commission’s Broadcast Ownership Rules and Other Rules Adopted Pursuant to Section 202 of the Telecommunications Act of 1996</w:t>
      </w:r>
      <w:r w:rsidR="009032F6">
        <w:rPr>
          <w:i/>
        </w:rPr>
        <w:t xml:space="preserve"> et al.</w:t>
      </w:r>
      <w:r w:rsidR="001F6916" w:rsidRPr="004054FD">
        <w:t>, Report and Order and Order on Reconside</w:t>
      </w:r>
      <w:r w:rsidR="001F6916">
        <w:t>ration, 23 FCC Rcd 2010</w:t>
      </w:r>
      <w:r w:rsidR="001F6916" w:rsidRPr="004054FD">
        <w:t xml:space="preserve"> (2008) </w:t>
      </w:r>
      <w:r w:rsidR="001F6916">
        <w:t>(</w:t>
      </w:r>
      <w:r w:rsidR="001F6916" w:rsidRPr="004054FD">
        <w:rPr>
          <w:i/>
        </w:rPr>
        <w:t>2006 Quadrennial Review Order</w:t>
      </w:r>
      <w:r w:rsidR="001F6916">
        <w:t>).</w:t>
      </w:r>
    </w:p>
  </w:footnote>
  <w:footnote w:id="2">
    <w:p w:rsidR="00E7407D" w:rsidRPr="00C93326" w:rsidRDefault="00E7407D" w:rsidP="00C93326">
      <w:pPr>
        <w:pStyle w:val="FootnoteText"/>
        <w:rPr>
          <w:i/>
        </w:rPr>
      </w:pPr>
      <w:r>
        <w:rPr>
          <w:rStyle w:val="FootnoteReference"/>
        </w:rPr>
        <w:footnoteRef/>
      </w:r>
      <w:r>
        <w:t xml:space="preserve"> The Media Bureau takes this action pursuant to the authority delegated to it under Section 1.429(l) of the Commission’s Rules.  47 CFR § 1.429(l).  That section provides that the relevant bureau may dismiss a petition for reconsideration of a Commission action if that action “plainly do[es] not warrant consideration by the Commission.”  </w:t>
      </w:r>
      <w:r w:rsidRPr="00E7407D">
        <w:rPr>
          <w:i/>
        </w:rPr>
        <w:t>Id</w:t>
      </w:r>
      <w:r>
        <w:t>.  In this case, as discussed below, the issues raised in the Petition have already been addressed and/or the relief requested cannot be granted; thus, it plainly does not warrant Commission consideration.</w:t>
      </w:r>
      <w:r w:rsidR="00C93326">
        <w:t xml:space="preserve">  </w:t>
      </w:r>
      <w:r w:rsidR="00C93326">
        <w:rPr>
          <w:i/>
        </w:rPr>
        <w:t>See</w:t>
      </w:r>
      <w:r w:rsidR="005C4842">
        <w:rPr>
          <w:i/>
        </w:rPr>
        <w:t>, e.g.</w:t>
      </w:r>
      <w:r w:rsidR="005C4842">
        <w:t>,</w:t>
      </w:r>
      <w:r w:rsidR="00C93326">
        <w:rPr>
          <w:i/>
        </w:rPr>
        <w:t xml:space="preserve"> Petition for Reconsideration of </w:t>
      </w:r>
      <w:r w:rsidR="00C93326" w:rsidRPr="00C93326">
        <w:rPr>
          <w:i/>
        </w:rPr>
        <w:t xml:space="preserve">2004 Second </w:t>
      </w:r>
      <w:r w:rsidR="00C93326">
        <w:rPr>
          <w:i/>
        </w:rPr>
        <w:t xml:space="preserve">DTV </w:t>
      </w:r>
      <w:r w:rsidR="00C93326" w:rsidRPr="00C93326">
        <w:rPr>
          <w:i/>
        </w:rPr>
        <w:t>Periodic Report and Order</w:t>
      </w:r>
      <w:r w:rsidR="00C93326">
        <w:t>, Letter Order, 27 FCC Rcd 13001 (MB 2012) (dismissing various petitions for reconsideration pursuant to 47 CFR § 1.429(l)).</w:t>
      </w:r>
    </w:p>
  </w:footnote>
  <w:footnote w:id="3">
    <w:p w:rsidR="001F6916" w:rsidRDefault="001F6916" w:rsidP="001F6916">
      <w:pPr>
        <w:pStyle w:val="FootnoteText"/>
      </w:pPr>
      <w:r>
        <w:rPr>
          <w:rStyle w:val="FootnoteReference"/>
        </w:rPr>
        <w:footnoteRef/>
      </w:r>
      <w:r>
        <w:t xml:space="preserve"> </w:t>
      </w:r>
      <w:r w:rsidRPr="00F43A74">
        <w:rPr>
          <w:i/>
        </w:rPr>
        <w:t xml:space="preserve">See </w:t>
      </w:r>
      <w:r w:rsidR="00295749">
        <w:t xml:space="preserve">Petition of </w:t>
      </w:r>
      <w:r w:rsidRPr="00F43A74">
        <w:t xml:space="preserve">Common Cause </w:t>
      </w:r>
      <w:r w:rsidRPr="00BF6AC9">
        <w:t>et al.</w:t>
      </w:r>
      <w:r w:rsidRPr="00F43A74">
        <w:rPr>
          <w:i/>
        </w:rPr>
        <w:t xml:space="preserve"> </w:t>
      </w:r>
      <w:r w:rsidRPr="00F43A74">
        <w:t>for Reconsid</w:t>
      </w:r>
      <w:r>
        <w:t>eration</w:t>
      </w:r>
      <w:r w:rsidR="00295749">
        <w:t xml:space="preserve"> of the 2006 Quadrennial Review </w:t>
      </w:r>
      <w:r w:rsidR="00031B38">
        <w:t>Order</w:t>
      </w:r>
      <w:r>
        <w:t>, MB Docket No. 06-121</w:t>
      </w:r>
      <w:r w:rsidR="00031B38">
        <w:t>,</w:t>
      </w:r>
      <w:r>
        <w:t xml:space="preserve"> at </w:t>
      </w:r>
      <w:r w:rsidRPr="00F43A74">
        <w:t>1-7, 11-23</w:t>
      </w:r>
      <w:r>
        <w:t xml:space="preserve"> </w:t>
      </w:r>
      <w:r w:rsidR="00031B38">
        <w:t xml:space="preserve">(filed Mar. 24, 2008), </w:t>
      </w:r>
      <w:hyperlink r:id="rId1" w:history="1">
        <w:r w:rsidR="00031B38" w:rsidRPr="00C666D5">
          <w:rPr>
            <w:rStyle w:val="Hyperlink"/>
          </w:rPr>
          <w:t>http://apps.fcc.gov/ecfs/document/view?id=6519868534</w:t>
        </w:r>
      </w:hyperlink>
      <w:r w:rsidR="00031B38">
        <w:t xml:space="preserve"> </w:t>
      </w:r>
      <w:r>
        <w:t>(Petition)</w:t>
      </w:r>
      <w:r w:rsidRPr="00F43A74">
        <w:t xml:space="preserve">.       </w:t>
      </w:r>
      <w:r w:rsidRPr="00F43A74">
        <w:rPr>
          <w:i/>
        </w:rPr>
        <w:t xml:space="preserve"> </w:t>
      </w:r>
      <w:r w:rsidRPr="00F43A74">
        <w:t xml:space="preserve">   </w:t>
      </w:r>
    </w:p>
  </w:footnote>
  <w:footnote w:id="4">
    <w:p w:rsidR="001F6916" w:rsidRPr="001F6916" w:rsidRDefault="001F6916" w:rsidP="001F6916">
      <w:pPr>
        <w:pStyle w:val="FootnoteText"/>
      </w:pPr>
      <w:r w:rsidRPr="001F6916">
        <w:rPr>
          <w:rStyle w:val="FootnoteReference"/>
          <w:sz w:val="20"/>
        </w:rPr>
        <w:footnoteRef/>
      </w:r>
      <w:r w:rsidRPr="001F6916">
        <w:t xml:space="preserve"> </w:t>
      </w:r>
      <w:r w:rsidRPr="001F6916">
        <w:rPr>
          <w:i/>
        </w:rPr>
        <w:t xml:space="preserve">See </w:t>
      </w:r>
      <w:r w:rsidR="0087038C">
        <w:rPr>
          <w:i/>
        </w:rPr>
        <w:t>2014 Quadrennial Regulatory Review – Review of the Commission’s Broadcast Ownership Rules and Other Rules Adopted Pursuant to Section 202 of the Telecommunications Act of 1996</w:t>
      </w:r>
      <w:r w:rsidR="009032F6">
        <w:rPr>
          <w:i/>
        </w:rPr>
        <w:t xml:space="preserve"> et al.</w:t>
      </w:r>
      <w:r w:rsidR="0087038C">
        <w:t>, Second Report and Order,</w:t>
      </w:r>
      <w:r w:rsidR="006478D7">
        <w:t xml:space="preserve"> FCC 16-107 (Aug. 25</w:t>
      </w:r>
      <w:r w:rsidR="0087038C">
        <w:t>, 2016)</w:t>
      </w:r>
      <w:r w:rsidR="0088187A">
        <w:t xml:space="preserve"> (</w:t>
      </w:r>
      <w:r w:rsidR="00614095">
        <w:t>declining to tighten the</w:t>
      </w:r>
      <w:r w:rsidR="0088187A">
        <w:t xml:space="preserve"> Local Television Ownership Rule and </w:t>
      </w:r>
      <w:r w:rsidR="00614095">
        <w:t xml:space="preserve">the </w:t>
      </w:r>
      <w:r w:rsidR="0088187A">
        <w:t>Local Radio Ownership Rule and adopting a revised NBCO Rule)</w:t>
      </w:r>
      <w:r w:rsidR="0087038C">
        <w:t>;</w:t>
      </w:r>
      <w:r w:rsidR="0087038C">
        <w:rPr>
          <w:i/>
        </w:rPr>
        <w:t xml:space="preserve"> </w:t>
      </w:r>
      <w:r w:rsidRPr="004054FD">
        <w:rPr>
          <w:i/>
        </w:rPr>
        <w:t>Prometheus Radio Project v. FCC</w:t>
      </w:r>
      <w:r w:rsidRPr="004054FD">
        <w:t>, 652</w:t>
      </w:r>
      <w:r>
        <w:t xml:space="preserve"> F.3d 431, </w:t>
      </w:r>
      <w:r w:rsidRPr="001F6916">
        <w:t>445-54, 458-63</w:t>
      </w:r>
      <w:r>
        <w:t xml:space="preserve"> (3d Cir. 2011) (</w:t>
      </w:r>
      <w:r w:rsidRPr="004054FD">
        <w:rPr>
          <w:i/>
        </w:rPr>
        <w:t>Prometheus II</w:t>
      </w:r>
      <w:r w:rsidRPr="004054FD">
        <w:t>)</w:t>
      </w:r>
      <w:r w:rsidRPr="001F6916">
        <w:t xml:space="preserve">.  </w:t>
      </w:r>
    </w:p>
  </w:footnote>
  <w:footnote w:id="5">
    <w:p w:rsidR="005176A0" w:rsidRPr="00F43A74" w:rsidRDefault="005176A0" w:rsidP="001F6916">
      <w:pPr>
        <w:pStyle w:val="FootnoteText"/>
      </w:pPr>
      <w:r w:rsidRPr="00F43A74">
        <w:rPr>
          <w:rStyle w:val="FootnoteReference"/>
        </w:rPr>
        <w:footnoteRef/>
      </w:r>
      <w:r w:rsidRPr="00F43A74">
        <w:t xml:space="preserve"> Petition at 7-11.</w:t>
      </w:r>
      <w:r w:rsidR="001F6916">
        <w:t xml:space="preserve">  </w:t>
      </w:r>
      <w:r w:rsidR="001F6916" w:rsidRPr="001F6916">
        <w:t xml:space="preserve">In seeking judicial review of the </w:t>
      </w:r>
      <w:r w:rsidR="001F6916" w:rsidRPr="001F6916">
        <w:rPr>
          <w:i/>
        </w:rPr>
        <w:t>2006 Quadrennial Review Order</w:t>
      </w:r>
      <w:r w:rsidR="001F6916" w:rsidRPr="001F6916">
        <w:t xml:space="preserve">, certain litigants not party to the Petition (including Free Press, Media Alliance, UCC, and Prometheus Radio Project) also challenged the permanent waivers.  </w:t>
      </w:r>
      <w:r w:rsidR="001F6916" w:rsidRPr="001F6916">
        <w:rPr>
          <w:i/>
        </w:rPr>
        <w:t>See Prometheus II</w:t>
      </w:r>
      <w:r w:rsidR="001F6916" w:rsidRPr="001F6916">
        <w:t>,</w:t>
      </w:r>
      <w:r w:rsidR="001F6916" w:rsidRPr="001F6916">
        <w:rPr>
          <w:i/>
        </w:rPr>
        <w:t xml:space="preserve"> </w:t>
      </w:r>
      <w:r w:rsidR="001F6916" w:rsidRPr="001F6916">
        <w:t>652 F.3d at 454-56.  The court declined to consider that challenge because those litigants had not filed a petition for reconsideration before seeking judicial review (see</w:t>
      </w:r>
      <w:r w:rsidR="001F6916" w:rsidRPr="001F6916">
        <w:rPr>
          <w:i/>
        </w:rPr>
        <w:t xml:space="preserve"> </w:t>
      </w:r>
      <w:r w:rsidR="001F6916" w:rsidRPr="001F6916">
        <w:t>47 U.S.C. § 405(a)), noting the existence of the Petition</w:t>
      </w:r>
      <w:r w:rsidR="008A37A6">
        <w:t xml:space="preserve"> that was under consideration by the Commission</w:t>
      </w:r>
      <w:r w:rsidR="001F6916" w:rsidRPr="001F6916">
        <w:t xml:space="preserve">.  </w:t>
      </w:r>
      <w:r w:rsidR="001F6916" w:rsidRPr="001F6916">
        <w:rPr>
          <w:i/>
        </w:rPr>
        <w:t>See Prometheus II</w:t>
      </w:r>
      <w:r w:rsidR="001F6916" w:rsidRPr="001F6916">
        <w:t>,</w:t>
      </w:r>
      <w:r w:rsidR="001F6916" w:rsidRPr="001F6916">
        <w:rPr>
          <w:i/>
        </w:rPr>
        <w:t xml:space="preserve"> </w:t>
      </w:r>
      <w:r w:rsidR="001F6916" w:rsidRPr="001F6916">
        <w:t>652 F.3d at 455-56.</w:t>
      </w:r>
      <w:r w:rsidRPr="00F43A74">
        <w:t xml:space="preserve">  </w:t>
      </w:r>
    </w:p>
  </w:footnote>
  <w:footnote w:id="6">
    <w:p w:rsidR="005176A0" w:rsidRPr="00F43A74" w:rsidRDefault="005176A0" w:rsidP="001F6916">
      <w:pPr>
        <w:pStyle w:val="FootnoteText"/>
      </w:pPr>
      <w:r w:rsidRPr="00F43A74">
        <w:rPr>
          <w:rStyle w:val="FootnoteReference"/>
        </w:rPr>
        <w:footnoteRef/>
      </w:r>
      <w:r w:rsidRPr="00F43A74">
        <w:t xml:space="preserve"> Under the NBCO rule, as adopted in 1975, a broadcast station licensee that purchases one or more daily newspapers in the same market as its station is required to dispose of the station within one year, or by the time of its next renewal date, whichever is longer.  </w:t>
      </w:r>
      <w:r w:rsidRPr="00F43A74">
        <w:rPr>
          <w:i/>
        </w:rPr>
        <w:t>See</w:t>
      </w:r>
      <w:r w:rsidR="00F86156">
        <w:rPr>
          <w:i/>
        </w:rPr>
        <w:t xml:space="preserve"> </w:t>
      </w:r>
      <w:r w:rsidR="00F86156" w:rsidRPr="00094444">
        <w:rPr>
          <w:i/>
        </w:rPr>
        <w:t xml:space="preserve">Amendment of Sections 73.34, 73.240, and 73.636 of the Commission's Rules Relating to Multiple Ownership of Standard, FM, </w:t>
      </w:r>
      <w:r w:rsidR="00F86156" w:rsidRPr="00F86156">
        <w:rPr>
          <w:i/>
        </w:rPr>
        <w:t>and Television Broadcast Stations</w:t>
      </w:r>
      <w:r w:rsidR="00F86156">
        <w:t>,</w:t>
      </w:r>
      <w:r w:rsidR="00F86156" w:rsidRPr="00F86156">
        <w:t xml:space="preserve"> Second Report and Order, </w:t>
      </w:r>
      <w:r w:rsidR="00F86156" w:rsidRPr="00F86156">
        <w:rPr>
          <w:rStyle w:val="documentbody"/>
        </w:rPr>
        <w:t xml:space="preserve">50 FCC 2d 1046, </w:t>
      </w:r>
      <w:r w:rsidR="00F86156" w:rsidRPr="00F86156">
        <w:t>1076, para. 103 n.25</w:t>
      </w:r>
      <w:r w:rsidR="00F86156">
        <w:rPr>
          <w:rStyle w:val="documentbody"/>
        </w:rPr>
        <w:t xml:space="preserve"> </w:t>
      </w:r>
      <w:r w:rsidR="00F86156" w:rsidRPr="00F86156">
        <w:t>(1975)</w:t>
      </w:r>
      <w:r w:rsidRPr="00F86156">
        <w:t>.  To avoid station divestiture, the licensee</w:t>
      </w:r>
      <w:r w:rsidRPr="00F43A74">
        <w:t xml:space="preserve"> may choose to apply for a waiver of the rule.  In the </w:t>
      </w:r>
      <w:r w:rsidRPr="00F43A74">
        <w:rPr>
          <w:i/>
        </w:rPr>
        <w:t>2006 Quadrennial Review Order</w:t>
      </w:r>
      <w:r w:rsidRPr="00F43A74">
        <w:t>,</w:t>
      </w:r>
      <w:r w:rsidRPr="00F43A74">
        <w:rPr>
          <w:i/>
        </w:rPr>
        <w:t xml:space="preserve"> </w:t>
      </w:r>
      <w:r w:rsidRPr="00F43A74">
        <w:t xml:space="preserve">the Commission found that the public interest warranted waivers for Gannett and Media General in light of the following: </w:t>
      </w:r>
      <w:r w:rsidR="00F86156">
        <w:t xml:space="preserve"> </w:t>
      </w:r>
      <w:r w:rsidRPr="00F43A74">
        <w:t xml:space="preserve">(1) the synergies that had already been achieved by the combinations; (2) the news services provided to local communities by the combinations; (3) the harms associated with required divestitures; (4) the prolonged period of uncertainty surrounding the status of the NBCO ban; and (5) the length of time that the waiver requests had been pending.  </w:t>
      </w:r>
      <w:r w:rsidRPr="00F43A74">
        <w:rPr>
          <w:i/>
        </w:rPr>
        <w:t>See 2006 Quadrennial Review Order</w:t>
      </w:r>
      <w:r w:rsidRPr="00F43A74">
        <w:t>,</w:t>
      </w:r>
      <w:r w:rsidRPr="00F43A74">
        <w:rPr>
          <w:i/>
        </w:rPr>
        <w:t xml:space="preserve"> </w:t>
      </w:r>
      <w:r w:rsidRPr="00F43A74">
        <w:t>23 FCC Rcd</w:t>
      </w:r>
      <w:r w:rsidRPr="00F43A74">
        <w:rPr>
          <w:i/>
        </w:rPr>
        <w:t xml:space="preserve"> </w:t>
      </w:r>
      <w:r w:rsidRPr="00F43A74">
        <w:t>at 2055-56,</w:t>
      </w:r>
      <w:r w:rsidRPr="00F43A74">
        <w:rPr>
          <w:i/>
        </w:rPr>
        <w:t xml:space="preserve"> </w:t>
      </w:r>
      <w:r w:rsidR="00CD1CB7">
        <w:t>para.</w:t>
      </w:r>
      <w:r w:rsidRPr="00F43A74">
        <w:t xml:space="preserve"> 77.</w:t>
      </w:r>
    </w:p>
  </w:footnote>
  <w:footnote w:id="7">
    <w:p w:rsidR="00BF6AC9" w:rsidRPr="00F43A74" w:rsidRDefault="00BF6AC9" w:rsidP="001F6916">
      <w:pPr>
        <w:pStyle w:val="FootnoteText"/>
      </w:pPr>
      <w:r w:rsidRPr="001F6916">
        <w:rPr>
          <w:rStyle w:val="FootnoteReference"/>
          <w:sz w:val="20"/>
        </w:rPr>
        <w:footnoteRef/>
      </w:r>
      <w:r w:rsidRPr="001F6916">
        <w:t xml:space="preserve"> A Consummation Notice was filed for this transaction on July 16, 2008 (File No. BALCT-20080327ACW).  </w:t>
      </w:r>
    </w:p>
  </w:footnote>
  <w:footnote w:id="8">
    <w:p w:rsidR="00020387" w:rsidRPr="00020387" w:rsidRDefault="00020387">
      <w:pPr>
        <w:pStyle w:val="FootnoteText"/>
      </w:pPr>
      <w:r>
        <w:rPr>
          <w:rStyle w:val="FootnoteReference"/>
        </w:rPr>
        <w:footnoteRef/>
      </w:r>
      <w:r>
        <w:t xml:space="preserve"> </w:t>
      </w:r>
      <w:r>
        <w:rPr>
          <w:i/>
        </w:rPr>
        <w:t xml:space="preserve">See </w:t>
      </w:r>
      <w:r>
        <w:t>Media General, News Release,</w:t>
      </w:r>
      <w:r w:rsidR="0098523F">
        <w:t xml:space="preserve"> </w:t>
      </w:r>
      <w:r w:rsidR="0098523F" w:rsidRPr="0098523F">
        <w:rPr>
          <w:i/>
        </w:rPr>
        <w:t>Media General Completes Sale of Newspapers to Berkshire Hathaway</w:t>
      </w:r>
      <w:r w:rsidR="0098523F">
        <w:t>,</w:t>
      </w:r>
      <w:r>
        <w:t xml:space="preserve"> </w:t>
      </w:r>
      <w:hyperlink r:id="rId2" w:history="1">
        <w:r w:rsidRPr="00C666D5">
          <w:rPr>
            <w:rStyle w:val="Hyperlink"/>
          </w:rPr>
          <w:t>http://www.mediageneral.com/press/2012/june25_12.html</w:t>
        </w:r>
      </w:hyperlink>
      <w:r>
        <w:t xml:space="preserve"> </w:t>
      </w:r>
      <w:r w:rsidR="0098523F">
        <w:t xml:space="preserve">(June 25, 2012) </w:t>
      </w:r>
      <w:r>
        <w:t xml:space="preserve">(announcing Media General’s sale of 63 daily and weekly newspapers to World Media Enterprises, Inc., a subsidiary of Berkshire Hathaway, Inc.). </w:t>
      </w:r>
    </w:p>
  </w:footnote>
  <w:footnote w:id="9">
    <w:p w:rsidR="0098523F" w:rsidRDefault="0098523F" w:rsidP="0098523F">
      <w:pPr>
        <w:pStyle w:val="FootnoteText"/>
      </w:pPr>
      <w:r>
        <w:rPr>
          <w:rStyle w:val="FootnoteReference"/>
        </w:rPr>
        <w:footnoteRef/>
      </w:r>
      <w:r>
        <w:t xml:space="preserve"> Gannett, News Release, </w:t>
      </w:r>
      <w:r w:rsidRPr="0098523F">
        <w:rPr>
          <w:i/>
        </w:rPr>
        <w:t>Gannett Completes Company Split to Move Forward as the Nation’s Largest Local-to-National Media Company</w:t>
      </w:r>
      <w:r>
        <w:t xml:space="preserve">, </w:t>
      </w:r>
      <w:hyperlink r:id="rId3" w:history="1">
        <w:r w:rsidRPr="00C666D5">
          <w:rPr>
            <w:rStyle w:val="Hyperlink"/>
          </w:rPr>
          <w:t>http://investors.gannett.com/press-release/gannett-completes-company-split-move-forward-nations-largest-local-national-media</w:t>
        </w:r>
      </w:hyperlink>
      <w:r>
        <w:t xml:space="preserve"> (June 29, 2015).  TEGNA, </w:t>
      </w:r>
      <w:r w:rsidR="00F86156">
        <w:t>following</w:t>
      </w:r>
      <w:r>
        <w:t xml:space="preserve"> the spin-off, no longer has an attributable interest in the publishing assets that were subject to the NBCO waivers challenged in the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F7" w:rsidRDefault="00D73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F7" w:rsidRDefault="00D73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310EC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39756218"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rsidP="005176A0">
    <w:pPr>
      <w:pStyle w:val="Header"/>
      <w:tabs>
        <w:tab w:val="clear" w:pos="432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E69"/>
    <w:multiLevelType w:val="hybridMultilevel"/>
    <w:tmpl w:val="046E7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82925"/>
    <w:multiLevelType w:val="singleLevel"/>
    <w:tmpl w:val="06C4CEF4"/>
    <w:lvl w:ilvl="0">
      <w:start w:val="1"/>
      <w:numFmt w:val="decimal"/>
      <w:pStyle w:val="ParaNum"/>
      <w:lvlText w:val="%1."/>
      <w:lvlJc w:val="left"/>
      <w:pPr>
        <w:tabs>
          <w:tab w:val="num" w:pos="1080"/>
        </w:tabs>
        <w:ind w:left="0" w:firstLine="720"/>
      </w:pPr>
      <w:rPr>
        <w:rFonts w:ascii="Times New Roman" w:hAnsi="Times New Roman" w:cs="Times New Roman" w:hint="default"/>
        <w:b w:val="0"/>
        <w:color w:val="auto"/>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A0"/>
    <w:rsid w:val="0001300F"/>
    <w:rsid w:val="00020387"/>
    <w:rsid w:val="00031B38"/>
    <w:rsid w:val="000365B4"/>
    <w:rsid w:val="000F424D"/>
    <w:rsid w:val="001F6916"/>
    <w:rsid w:val="001F7EEB"/>
    <w:rsid w:val="00204CE3"/>
    <w:rsid w:val="00222CE9"/>
    <w:rsid w:val="0029510D"/>
    <w:rsid w:val="00295749"/>
    <w:rsid w:val="002B209A"/>
    <w:rsid w:val="002B54DB"/>
    <w:rsid w:val="00310CA4"/>
    <w:rsid w:val="00310ECF"/>
    <w:rsid w:val="003750DC"/>
    <w:rsid w:val="003A4387"/>
    <w:rsid w:val="004541E5"/>
    <w:rsid w:val="004B2475"/>
    <w:rsid w:val="004D3B53"/>
    <w:rsid w:val="00511587"/>
    <w:rsid w:val="005176A0"/>
    <w:rsid w:val="00536FF2"/>
    <w:rsid w:val="005448B1"/>
    <w:rsid w:val="005608FE"/>
    <w:rsid w:val="005C404C"/>
    <w:rsid w:val="005C4842"/>
    <w:rsid w:val="005C7516"/>
    <w:rsid w:val="00614095"/>
    <w:rsid w:val="00631E7E"/>
    <w:rsid w:val="006478D7"/>
    <w:rsid w:val="00683785"/>
    <w:rsid w:val="006E4FE1"/>
    <w:rsid w:val="006E7219"/>
    <w:rsid w:val="00737175"/>
    <w:rsid w:val="008020FA"/>
    <w:rsid w:val="0081173A"/>
    <w:rsid w:val="0087038C"/>
    <w:rsid w:val="00874509"/>
    <w:rsid w:val="0088187A"/>
    <w:rsid w:val="008A37A6"/>
    <w:rsid w:val="009032F6"/>
    <w:rsid w:val="0098523F"/>
    <w:rsid w:val="009F51D2"/>
    <w:rsid w:val="00B44B07"/>
    <w:rsid w:val="00BB69B3"/>
    <w:rsid w:val="00BF6AC9"/>
    <w:rsid w:val="00C44B0A"/>
    <w:rsid w:val="00C93326"/>
    <w:rsid w:val="00CA2BD1"/>
    <w:rsid w:val="00CD1CB7"/>
    <w:rsid w:val="00D734F7"/>
    <w:rsid w:val="00DC56C6"/>
    <w:rsid w:val="00E265EB"/>
    <w:rsid w:val="00E4783B"/>
    <w:rsid w:val="00E662E1"/>
    <w:rsid w:val="00E7407D"/>
    <w:rsid w:val="00E77557"/>
    <w:rsid w:val="00F059F6"/>
    <w:rsid w:val="00F448D9"/>
    <w:rsid w:val="00F86156"/>
    <w:rsid w:val="00FA3549"/>
    <w:rsid w:val="00FD06F8"/>
    <w:rsid w:val="00FD58DC"/>
    <w:rsid w:val="00FE6B20"/>
    <w:rsid w:val="00FE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
    <w:name w:val="ParaNum"/>
    <w:basedOn w:val="Normal"/>
    <w:link w:val="ParaNumChar2"/>
    <w:rsid w:val="005176A0"/>
    <w:pPr>
      <w:widowControl w:val="0"/>
      <w:numPr>
        <w:numId w:val="1"/>
      </w:numPr>
      <w:spacing w:after="120"/>
    </w:pPr>
    <w:rPr>
      <w:snapToGrid w:val="0"/>
      <w:kern w:val="28"/>
      <w:sz w:val="22"/>
    </w:rPr>
  </w:style>
  <w:style w:type="character" w:customStyle="1" w:styleId="ParaNumChar2">
    <w:name w:val="ParaNum Char2"/>
    <w:link w:val="ParaNum"/>
    <w:rsid w:val="005176A0"/>
    <w:rPr>
      <w:snapToGrid w:val="0"/>
      <w:kern w:val="28"/>
      <w:sz w:val="22"/>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1"/>
    <w:semiHidden/>
    <w:rsid w:val="005176A0"/>
    <w:pPr>
      <w:spacing w:after="120"/>
    </w:pPr>
  </w:style>
  <w:style w:type="character" w:customStyle="1" w:styleId="FootnoteTextChar">
    <w:name w:val="Footnote Text Char"/>
    <w:basedOn w:val="DefaultParagraphFont"/>
    <w:uiPriority w:val="99"/>
    <w:semiHidden/>
    <w:rsid w:val="005176A0"/>
  </w:style>
  <w:style w:type="character" w:customStyle="1" w:styleId="FootnoteTextChar1">
    <w:name w:val="Footnote Text Char1"/>
    <w:aliases w:val="Footnote Text Char1 Char1 Char Char,Footnote Text Char Char Char Char Char,Footnote Text Char1 Char Char Char Char Char,Footnote Text Char Char Char Char Char Char Char,Footnote Text Char3 Char Char Char Char Char Char Char Char"/>
    <w:link w:val="FootnoteText"/>
    <w:semiHidden/>
    <w:rsid w:val="005176A0"/>
  </w:style>
  <w:style w:type="character" w:styleId="FootnoteReference">
    <w:name w:val="footnote reference"/>
    <w:aliases w:val="Style 12,(NECG) Footnote Reference,Appel note de bas de p,Style 124,o,fr,Style 3,Style 13,Style 17,FR,Footnote Reference/,Style 6"/>
    <w:semiHidden/>
    <w:rsid w:val="005176A0"/>
    <w:rPr>
      <w:rFonts w:ascii="Times New Roman" w:hAnsi="Times New Roman"/>
      <w:dstrike w:val="0"/>
      <w:color w:val="auto"/>
      <w:sz w:val="22"/>
      <w:vertAlign w:val="superscript"/>
    </w:rPr>
  </w:style>
  <w:style w:type="paragraph" w:styleId="ListParagraph">
    <w:name w:val="List Paragraph"/>
    <w:basedOn w:val="Normal"/>
    <w:uiPriority w:val="34"/>
    <w:qFormat/>
    <w:rsid w:val="0002038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0387"/>
    <w:rPr>
      <w:color w:val="0563C1" w:themeColor="hyperlink"/>
      <w:u w:val="single"/>
    </w:rPr>
  </w:style>
  <w:style w:type="character" w:styleId="FollowedHyperlink">
    <w:name w:val="FollowedHyperlink"/>
    <w:basedOn w:val="DefaultParagraphFont"/>
    <w:uiPriority w:val="99"/>
    <w:semiHidden/>
    <w:unhideWhenUsed/>
    <w:rsid w:val="0098523F"/>
    <w:rPr>
      <w:color w:val="954F72" w:themeColor="followedHyperlink"/>
      <w:u w:val="single"/>
    </w:rPr>
  </w:style>
  <w:style w:type="character" w:customStyle="1" w:styleId="documentbody">
    <w:name w:val="documentbody"/>
    <w:rsid w:val="00F86156"/>
    <w:rPr>
      <w:rFonts w:cs="Times New Roman"/>
    </w:rPr>
  </w:style>
  <w:style w:type="paragraph" w:styleId="BalloonText">
    <w:name w:val="Balloon Text"/>
    <w:basedOn w:val="Normal"/>
    <w:link w:val="BalloonTextChar"/>
    <w:uiPriority w:val="99"/>
    <w:semiHidden/>
    <w:unhideWhenUsed/>
    <w:rsid w:val="001F7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
    <w:name w:val="ParaNum"/>
    <w:basedOn w:val="Normal"/>
    <w:link w:val="ParaNumChar2"/>
    <w:rsid w:val="005176A0"/>
    <w:pPr>
      <w:widowControl w:val="0"/>
      <w:numPr>
        <w:numId w:val="1"/>
      </w:numPr>
      <w:spacing w:after="120"/>
    </w:pPr>
    <w:rPr>
      <w:snapToGrid w:val="0"/>
      <w:kern w:val="28"/>
      <w:sz w:val="22"/>
    </w:rPr>
  </w:style>
  <w:style w:type="character" w:customStyle="1" w:styleId="ParaNumChar2">
    <w:name w:val="ParaNum Char2"/>
    <w:link w:val="ParaNum"/>
    <w:rsid w:val="005176A0"/>
    <w:rPr>
      <w:snapToGrid w:val="0"/>
      <w:kern w:val="28"/>
      <w:sz w:val="22"/>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1"/>
    <w:semiHidden/>
    <w:rsid w:val="005176A0"/>
    <w:pPr>
      <w:spacing w:after="120"/>
    </w:pPr>
  </w:style>
  <w:style w:type="character" w:customStyle="1" w:styleId="FootnoteTextChar">
    <w:name w:val="Footnote Text Char"/>
    <w:basedOn w:val="DefaultParagraphFont"/>
    <w:uiPriority w:val="99"/>
    <w:semiHidden/>
    <w:rsid w:val="005176A0"/>
  </w:style>
  <w:style w:type="character" w:customStyle="1" w:styleId="FootnoteTextChar1">
    <w:name w:val="Footnote Text Char1"/>
    <w:aliases w:val="Footnote Text Char1 Char1 Char Char,Footnote Text Char Char Char Char Char,Footnote Text Char1 Char Char Char Char Char,Footnote Text Char Char Char Char Char Char Char,Footnote Text Char3 Char Char Char Char Char Char Char Char"/>
    <w:link w:val="FootnoteText"/>
    <w:semiHidden/>
    <w:rsid w:val="005176A0"/>
  </w:style>
  <w:style w:type="character" w:styleId="FootnoteReference">
    <w:name w:val="footnote reference"/>
    <w:aliases w:val="Style 12,(NECG) Footnote Reference,Appel note de bas de p,Style 124,o,fr,Style 3,Style 13,Style 17,FR,Footnote Reference/,Style 6"/>
    <w:semiHidden/>
    <w:rsid w:val="005176A0"/>
    <w:rPr>
      <w:rFonts w:ascii="Times New Roman" w:hAnsi="Times New Roman"/>
      <w:dstrike w:val="0"/>
      <w:color w:val="auto"/>
      <w:sz w:val="22"/>
      <w:vertAlign w:val="superscript"/>
    </w:rPr>
  </w:style>
  <w:style w:type="paragraph" w:styleId="ListParagraph">
    <w:name w:val="List Paragraph"/>
    <w:basedOn w:val="Normal"/>
    <w:uiPriority w:val="34"/>
    <w:qFormat/>
    <w:rsid w:val="0002038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0387"/>
    <w:rPr>
      <w:color w:val="0563C1" w:themeColor="hyperlink"/>
      <w:u w:val="single"/>
    </w:rPr>
  </w:style>
  <w:style w:type="character" w:styleId="FollowedHyperlink">
    <w:name w:val="FollowedHyperlink"/>
    <w:basedOn w:val="DefaultParagraphFont"/>
    <w:uiPriority w:val="99"/>
    <w:semiHidden/>
    <w:unhideWhenUsed/>
    <w:rsid w:val="0098523F"/>
    <w:rPr>
      <w:color w:val="954F72" w:themeColor="followedHyperlink"/>
      <w:u w:val="single"/>
    </w:rPr>
  </w:style>
  <w:style w:type="character" w:customStyle="1" w:styleId="documentbody">
    <w:name w:val="documentbody"/>
    <w:rsid w:val="00F86156"/>
    <w:rPr>
      <w:rFonts w:cs="Times New Roman"/>
    </w:rPr>
  </w:style>
  <w:style w:type="paragraph" w:styleId="BalloonText">
    <w:name w:val="Balloon Text"/>
    <w:basedOn w:val="Normal"/>
    <w:link w:val="BalloonTextChar"/>
    <w:uiPriority w:val="99"/>
    <w:semiHidden/>
    <w:unhideWhenUsed/>
    <w:rsid w:val="001F7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vestors.gannett.com/press-release/gannett-completes-company-split-move-forward-nations-largest-local-national-media" TargetMode="External"/><Relationship Id="rId2" Type="http://schemas.openxmlformats.org/officeDocument/2006/relationships/hyperlink" Target="http://www.mediageneral.com/press/2012/june25_12.html" TargetMode="External"/><Relationship Id="rId1" Type="http://schemas.openxmlformats.org/officeDocument/2006/relationships/hyperlink" Target="http://apps.fcc.gov/ecfs/document/view?id=6519868534"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534</Words>
  <Characters>3091</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2001-03-11T14:36:00Z</cp:lastPrinted>
  <dcterms:created xsi:type="dcterms:W3CDTF">2016-11-04T13:17:00Z</dcterms:created>
  <dcterms:modified xsi:type="dcterms:W3CDTF">2016-11-04T13:17:00Z</dcterms:modified>
  <cp:category> </cp:category>
  <cp:contentStatus> </cp:contentStatus>
</cp:coreProperties>
</file>