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FD5FC"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06710A28" w14:textId="77777777" w:rsidR="00921803" w:rsidRDefault="00921803" w:rsidP="00921803">
      <w:pPr>
        <w:pStyle w:val="StyleBoldCentered"/>
      </w:pPr>
      <w:r>
        <w:t>F</w:t>
      </w:r>
      <w:r>
        <w:rPr>
          <w:caps w:val="0"/>
        </w:rPr>
        <w:t>ederal Communications Commission</w:t>
      </w:r>
    </w:p>
    <w:p w14:paraId="399F44CC" w14:textId="77777777" w:rsidR="004C2EE3" w:rsidRDefault="00810B6F" w:rsidP="00096D8C">
      <w:pPr>
        <w:pStyle w:val="StyleBoldCentered"/>
      </w:pPr>
      <w:r>
        <w:rPr>
          <w:caps w:val="0"/>
        </w:rPr>
        <w:t>Washington, D.C. 20554</w:t>
      </w:r>
    </w:p>
    <w:p w14:paraId="2E1F1CA7" w14:textId="77777777" w:rsidR="004C2EE3" w:rsidRDefault="004C2EE3" w:rsidP="0070224F"/>
    <w:p w14:paraId="7A9B04A3"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5EE9F548" w14:textId="77777777">
        <w:tc>
          <w:tcPr>
            <w:tcW w:w="4698" w:type="dxa"/>
          </w:tcPr>
          <w:p w14:paraId="280DD67B" w14:textId="77777777" w:rsidR="004C2EE3" w:rsidRDefault="004C2EE3">
            <w:pPr>
              <w:tabs>
                <w:tab w:val="center" w:pos="4680"/>
              </w:tabs>
              <w:suppressAutoHyphens/>
              <w:rPr>
                <w:spacing w:val="-2"/>
              </w:rPr>
            </w:pPr>
            <w:r>
              <w:rPr>
                <w:spacing w:val="-2"/>
              </w:rPr>
              <w:t>In the Matter of</w:t>
            </w:r>
          </w:p>
          <w:p w14:paraId="35E9EA80" w14:textId="77777777" w:rsidR="004C2EE3" w:rsidRDefault="004C2EE3">
            <w:pPr>
              <w:tabs>
                <w:tab w:val="center" w:pos="4680"/>
              </w:tabs>
              <w:suppressAutoHyphens/>
              <w:rPr>
                <w:spacing w:val="-2"/>
              </w:rPr>
            </w:pPr>
          </w:p>
          <w:p w14:paraId="69D604B8" w14:textId="77777777" w:rsidR="004C2EE3" w:rsidRPr="007115F7" w:rsidRDefault="004D2644" w:rsidP="007115F7">
            <w:pPr>
              <w:tabs>
                <w:tab w:val="center" w:pos="4680"/>
              </w:tabs>
              <w:suppressAutoHyphens/>
              <w:rPr>
                <w:spacing w:val="-2"/>
              </w:rPr>
            </w:pPr>
            <w:r w:rsidRPr="004D2644">
              <w:rPr>
                <w:spacing w:val="-2"/>
              </w:rPr>
              <w:t>Access Charge Tariff Filings Introducing Broadband-only Loop Service</w:t>
            </w:r>
          </w:p>
        </w:tc>
        <w:tc>
          <w:tcPr>
            <w:tcW w:w="630" w:type="dxa"/>
          </w:tcPr>
          <w:p w14:paraId="527FE6FA" w14:textId="77777777" w:rsidR="004C2EE3" w:rsidRDefault="004C2EE3">
            <w:pPr>
              <w:tabs>
                <w:tab w:val="center" w:pos="4680"/>
              </w:tabs>
              <w:suppressAutoHyphens/>
              <w:rPr>
                <w:b/>
                <w:spacing w:val="-2"/>
              </w:rPr>
            </w:pPr>
            <w:r>
              <w:rPr>
                <w:b/>
                <w:spacing w:val="-2"/>
              </w:rPr>
              <w:t>)</w:t>
            </w:r>
          </w:p>
          <w:p w14:paraId="0FCCE063" w14:textId="77777777" w:rsidR="004C2EE3" w:rsidRDefault="004C2EE3">
            <w:pPr>
              <w:tabs>
                <w:tab w:val="center" w:pos="4680"/>
              </w:tabs>
              <w:suppressAutoHyphens/>
              <w:rPr>
                <w:b/>
                <w:spacing w:val="-2"/>
              </w:rPr>
            </w:pPr>
            <w:r>
              <w:rPr>
                <w:b/>
                <w:spacing w:val="-2"/>
              </w:rPr>
              <w:t>)</w:t>
            </w:r>
          </w:p>
          <w:p w14:paraId="41C8E818" w14:textId="77777777" w:rsidR="004C2EE3" w:rsidRDefault="004C2EE3">
            <w:pPr>
              <w:tabs>
                <w:tab w:val="center" w:pos="4680"/>
              </w:tabs>
              <w:suppressAutoHyphens/>
              <w:rPr>
                <w:b/>
                <w:spacing w:val="-2"/>
              </w:rPr>
            </w:pPr>
            <w:r>
              <w:rPr>
                <w:b/>
                <w:spacing w:val="-2"/>
              </w:rPr>
              <w:t>)</w:t>
            </w:r>
          </w:p>
          <w:p w14:paraId="537CA80D" w14:textId="77777777" w:rsidR="004C2EE3" w:rsidRDefault="004C2EE3">
            <w:pPr>
              <w:tabs>
                <w:tab w:val="center" w:pos="4680"/>
              </w:tabs>
              <w:suppressAutoHyphens/>
              <w:rPr>
                <w:b/>
                <w:spacing w:val="-2"/>
              </w:rPr>
            </w:pPr>
            <w:r>
              <w:rPr>
                <w:b/>
                <w:spacing w:val="-2"/>
              </w:rPr>
              <w:t>)</w:t>
            </w:r>
          </w:p>
          <w:p w14:paraId="7047D190" w14:textId="77777777" w:rsidR="004C2EE3" w:rsidRDefault="004C2EE3" w:rsidP="004D2644">
            <w:pPr>
              <w:tabs>
                <w:tab w:val="center" w:pos="4680"/>
              </w:tabs>
              <w:suppressAutoHyphens/>
              <w:rPr>
                <w:spacing w:val="-2"/>
              </w:rPr>
            </w:pPr>
            <w:r>
              <w:rPr>
                <w:b/>
                <w:spacing w:val="-2"/>
              </w:rPr>
              <w:t>)</w:t>
            </w:r>
          </w:p>
        </w:tc>
        <w:tc>
          <w:tcPr>
            <w:tcW w:w="4248" w:type="dxa"/>
          </w:tcPr>
          <w:p w14:paraId="0E3F6F29" w14:textId="77777777" w:rsidR="004C2EE3" w:rsidRDefault="004C2EE3">
            <w:pPr>
              <w:tabs>
                <w:tab w:val="center" w:pos="4680"/>
              </w:tabs>
              <w:suppressAutoHyphens/>
              <w:rPr>
                <w:spacing w:val="-2"/>
              </w:rPr>
            </w:pPr>
          </w:p>
          <w:p w14:paraId="32983676" w14:textId="77777777" w:rsidR="004C2EE3" w:rsidRDefault="004C2EE3">
            <w:pPr>
              <w:pStyle w:val="TOAHeading"/>
              <w:tabs>
                <w:tab w:val="clear" w:pos="9360"/>
                <w:tab w:val="center" w:pos="4680"/>
              </w:tabs>
              <w:rPr>
                <w:spacing w:val="-2"/>
              </w:rPr>
            </w:pPr>
          </w:p>
          <w:p w14:paraId="146E1A0C" w14:textId="77777777" w:rsidR="004C2EE3" w:rsidRDefault="004D2644">
            <w:pPr>
              <w:tabs>
                <w:tab w:val="center" w:pos="4680"/>
              </w:tabs>
              <w:suppressAutoHyphens/>
              <w:rPr>
                <w:spacing w:val="-2"/>
              </w:rPr>
            </w:pPr>
            <w:r w:rsidRPr="004D2644">
              <w:rPr>
                <w:spacing w:val="-2"/>
              </w:rPr>
              <w:t>WC Docket No. 16-317</w:t>
            </w:r>
          </w:p>
        </w:tc>
      </w:tr>
    </w:tbl>
    <w:p w14:paraId="5073AA77" w14:textId="77777777" w:rsidR="004C2EE3" w:rsidRDefault="004C2EE3" w:rsidP="0070224F"/>
    <w:p w14:paraId="005F72DF" w14:textId="77777777" w:rsidR="004D2644" w:rsidRDefault="004D2644" w:rsidP="0070224F"/>
    <w:p w14:paraId="68C68E1B" w14:textId="77777777" w:rsidR="00841AB1" w:rsidRDefault="00C46F7E" w:rsidP="00F021FA">
      <w:pPr>
        <w:pStyle w:val="StyleBoldCentered"/>
      </w:pPr>
      <w:r>
        <w:t>ORDER ON RECONSIDERATION</w:t>
      </w:r>
    </w:p>
    <w:p w14:paraId="24468B63" w14:textId="77777777" w:rsidR="004C2EE3" w:rsidRDefault="004C2EE3">
      <w:pPr>
        <w:tabs>
          <w:tab w:val="left" w:pos="-720"/>
        </w:tabs>
        <w:suppressAutoHyphens/>
        <w:spacing w:line="227" w:lineRule="auto"/>
        <w:rPr>
          <w:spacing w:val="-2"/>
        </w:rPr>
      </w:pPr>
    </w:p>
    <w:p w14:paraId="415E1434" w14:textId="079F813B" w:rsidR="004C2EE3" w:rsidRDefault="004C2EE3" w:rsidP="00133F79">
      <w:pPr>
        <w:tabs>
          <w:tab w:val="left" w:pos="720"/>
          <w:tab w:val="right" w:pos="9360"/>
        </w:tabs>
        <w:suppressAutoHyphens/>
        <w:spacing w:line="227" w:lineRule="auto"/>
        <w:rPr>
          <w:spacing w:val="-2"/>
        </w:rPr>
      </w:pPr>
      <w:r>
        <w:rPr>
          <w:b/>
          <w:spacing w:val="-2"/>
        </w:rPr>
        <w:t xml:space="preserve">Adopted:  </w:t>
      </w:r>
      <w:r w:rsidR="00C9651C">
        <w:rPr>
          <w:b/>
          <w:spacing w:val="-2"/>
        </w:rPr>
        <w:t>November 4,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9651C">
        <w:rPr>
          <w:b/>
          <w:spacing w:val="-2"/>
        </w:rPr>
        <w:t>November 4, 2016</w:t>
      </w:r>
    </w:p>
    <w:p w14:paraId="5139F46B" w14:textId="77777777" w:rsidR="00822CE0" w:rsidRDefault="00822CE0"/>
    <w:p w14:paraId="37628B6E" w14:textId="77777777" w:rsidR="006E4FC5" w:rsidRDefault="006E4FC5" w:rsidP="006E4FC5">
      <w:pPr>
        <w:pStyle w:val="Heading1"/>
      </w:pPr>
      <w:r>
        <w:t>Introduction</w:t>
      </w:r>
    </w:p>
    <w:p w14:paraId="5A8BDDA4" w14:textId="2C5431BA" w:rsidR="002D02B0" w:rsidRDefault="00E05A87" w:rsidP="00DB15CA">
      <w:pPr>
        <w:pStyle w:val="ParaNum"/>
      </w:pPr>
      <w:r>
        <w:t>In t</w:t>
      </w:r>
      <w:r w:rsidRPr="001A1877">
        <w:t xml:space="preserve">he </w:t>
      </w:r>
      <w:r w:rsidRPr="001A1877">
        <w:rPr>
          <w:i/>
        </w:rPr>
        <w:t xml:space="preserve">Rate-of-Return Reform Order, </w:t>
      </w:r>
      <w:r w:rsidRPr="001A1877">
        <w:t>the Commission</w:t>
      </w:r>
      <w:r>
        <w:t xml:space="preserve"> required rate-of-return </w:t>
      </w:r>
      <w:r w:rsidR="001E65E6">
        <w:t>local exchange carriers (</w:t>
      </w:r>
      <w:r>
        <w:t>LECs</w:t>
      </w:r>
      <w:r w:rsidR="001E65E6">
        <w:t>)</w:t>
      </w:r>
      <w:r>
        <w:t xml:space="preserve"> to impute an amount equal to the Access Recovery Charge (ARC) they assess on voice-broadband lines to their Consumer Broadband-only lines.</w:t>
      </w:r>
      <w:r>
        <w:rPr>
          <w:rStyle w:val="FootnoteReference"/>
        </w:rPr>
        <w:footnoteReference w:id="2"/>
      </w:r>
      <w:r>
        <w:t xml:space="preserve">  </w:t>
      </w:r>
      <w:r w:rsidR="009112C9">
        <w:t>Pursuant to section 1.1</w:t>
      </w:r>
      <w:r w:rsidR="00251B0C">
        <w:t>13(a)</w:t>
      </w:r>
      <w:r w:rsidR="009112C9">
        <w:t xml:space="preserve"> of the Commission’s rules</w:t>
      </w:r>
      <w:r w:rsidR="004D4F4F">
        <w:t xml:space="preserve">, the Bureau </w:t>
      </w:r>
      <w:r w:rsidR="004D4F4F">
        <w:rPr>
          <w:i/>
        </w:rPr>
        <w:t>su</w:t>
      </w:r>
      <w:r w:rsidR="004D4F4F" w:rsidRPr="004D4F4F">
        <w:rPr>
          <w:i/>
        </w:rPr>
        <w:t>a sponte</w:t>
      </w:r>
      <w:r w:rsidR="004D4F4F">
        <w:t xml:space="preserve"> reconsiders </w:t>
      </w:r>
      <w:r w:rsidR="001615E4">
        <w:t>a</w:t>
      </w:r>
      <w:r w:rsidR="009112C9">
        <w:t xml:space="preserve"> statement made in a related </w:t>
      </w:r>
      <w:r w:rsidR="001615E4">
        <w:t>clarification provided in</w:t>
      </w:r>
      <w:r>
        <w:t xml:space="preserve"> the</w:t>
      </w:r>
      <w:r w:rsidR="001615E4">
        <w:t xml:space="preserve"> </w:t>
      </w:r>
      <w:r>
        <w:rPr>
          <w:i/>
        </w:rPr>
        <w:t>Broadband-only Loop Service TRP Order</w:t>
      </w:r>
      <w:r w:rsidDel="00E05A87">
        <w:t xml:space="preserve"> </w:t>
      </w:r>
      <w:r w:rsidR="001615E4">
        <w:t xml:space="preserve">regarding </w:t>
      </w:r>
      <w:r>
        <w:t>the imputation of these ARC revenues</w:t>
      </w:r>
      <w:r w:rsidR="00232315">
        <w:t>.</w:t>
      </w:r>
      <w:r w:rsidR="002D02B0">
        <w:rPr>
          <w:rStyle w:val="FootnoteReference"/>
        </w:rPr>
        <w:footnoteReference w:id="3"/>
      </w:r>
      <w:r w:rsidR="002D02B0">
        <w:t xml:space="preserve">  </w:t>
      </w:r>
      <w:r w:rsidR="009112C9">
        <w:t>After further consideration</w:t>
      </w:r>
      <w:r>
        <w:t>, we</w:t>
      </w:r>
      <w:r w:rsidR="009112C9">
        <w:t xml:space="preserve"> now</w:t>
      </w:r>
      <w:r>
        <w:t xml:space="preserve"> find that </w:t>
      </w:r>
      <w:r w:rsidR="00232315">
        <w:t xml:space="preserve">an amount equal to the </w:t>
      </w:r>
      <w:r>
        <w:t xml:space="preserve">ARC </w:t>
      </w:r>
      <w:r w:rsidR="00232315">
        <w:t xml:space="preserve">a LEC could </w:t>
      </w:r>
      <w:r>
        <w:t xml:space="preserve">apply to </w:t>
      </w:r>
      <w:r w:rsidR="00DB15CA">
        <w:t>a voice/broadband</w:t>
      </w:r>
      <w:r w:rsidR="00232315">
        <w:t xml:space="preserve"> line should be imputed to </w:t>
      </w:r>
      <w:r>
        <w:t xml:space="preserve">a retail broadband Internet access offering regardless of whether the carrier offers a </w:t>
      </w:r>
      <w:r w:rsidR="00591164">
        <w:t>Broadband-only Loop Service.</w:t>
      </w:r>
      <w:r w:rsidR="009112C9">
        <w:t xml:space="preserve">  Imputing an amount equal to the ARC on retail broadband Internet access offerings </w:t>
      </w:r>
      <w:r w:rsidR="001E65E6">
        <w:t xml:space="preserve">best reflects the </w:t>
      </w:r>
      <w:r w:rsidR="009112C9">
        <w:t xml:space="preserve">policies underlying adoption of the imputation requirement in the </w:t>
      </w:r>
      <w:r w:rsidR="009112C9">
        <w:rPr>
          <w:i/>
        </w:rPr>
        <w:t xml:space="preserve">Rate-of-Return </w:t>
      </w:r>
      <w:r w:rsidR="00F42B9C">
        <w:rPr>
          <w:i/>
        </w:rPr>
        <w:t xml:space="preserve">Reform </w:t>
      </w:r>
      <w:r w:rsidR="009112C9">
        <w:rPr>
          <w:i/>
        </w:rPr>
        <w:t xml:space="preserve">Order </w:t>
      </w:r>
      <w:r w:rsidR="009112C9" w:rsidRPr="0057211A">
        <w:t xml:space="preserve">and avoids creating an incentive </w:t>
      </w:r>
      <w:r w:rsidR="001E65E6" w:rsidRPr="001E65E6">
        <w:t xml:space="preserve">to offer broadband </w:t>
      </w:r>
      <w:r w:rsidR="001E65E6">
        <w:t xml:space="preserve">Internet </w:t>
      </w:r>
      <w:r w:rsidR="001E65E6" w:rsidRPr="001E65E6">
        <w:t>access</w:t>
      </w:r>
      <w:r w:rsidR="009112C9" w:rsidRPr="0057211A">
        <w:t xml:space="preserve"> in a particular manner</w:t>
      </w:r>
      <w:r w:rsidR="00DB15CA">
        <w:t>.</w:t>
      </w:r>
    </w:p>
    <w:p w14:paraId="42C2BEE2" w14:textId="77777777" w:rsidR="00A97514" w:rsidRDefault="00A97514" w:rsidP="00A97514">
      <w:pPr>
        <w:pStyle w:val="Heading1"/>
      </w:pPr>
      <w:r>
        <w:t>background</w:t>
      </w:r>
    </w:p>
    <w:p w14:paraId="4421C9EE" w14:textId="59D5C874" w:rsidR="00591164" w:rsidRDefault="00591164" w:rsidP="0057211A">
      <w:pPr>
        <w:pStyle w:val="ParaNum"/>
        <w:tabs>
          <w:tab w:val="clear" w:pos="1080"/>
          <w:tab w:val="num" w:pos="1440"/>
        </w:tabs>
      </w:pPr>
      <w:r w:rsidRPr="001A1877">
        <w:t xml:space="preserve">In the </w:t>
      </w:r>
      <w:r w:rsidRPr="001A1877">
        <w:rPr>
          <w:i/>
        </w:rPr>
        <w:t xml:space="preserve">Rate-of-Return Reform Order, </w:t>
      </w:r>
      <w:r w:rsidRPr="001A1877">
        <w:t xml:space="preserve">the Commission adopted significant reforms to the rules governing </w:t>
      </w:r>
      <w:r>
        <w:t>the provision of universal service support to rate-of-return LECs.</w:t>
      </w:r>
      <w:r>
        <w:rPr>
          <w:rStyle w:val="FootnoteReference"/>
        </w:rPr>
        <w:footnoteReference w:id="4"/>
      </w:r>
      <w:r w:rsidRPr="001A1877">
        <w:t xml:space="preserve"> </w:t>
      </w:r>
      <w:r>
        <w:t xml:space="preserve"> The Commission adopted a voluntary path under which rate-of-return carriers may elect model-based support for a term of 10 years in exchange for meeting defined build-out obligations.</w:t>
      </w:r>
      <w:r w:rsidRPr="001A1877">
        <w:rPr>
          <w:rStyle w:val="FootnoteReference"/>
        </w:rPr>
        <w:footnoteReference w:id="5"/>
      </w:r>
      <w:r>
        <w:t xml:space="preserve">  For carriers not electing model-based support, the Commission modernized the existing interstate common line support (ICLS) rules to provide support in situations </w:t>
      </w:r>
      <w:r w:rsidR="002426B3">
        <w:t xml:space="preserve">in which </w:t>
      </w:r>
      <w:r>
        <w:t>the customer no longer subscribes to traditional regulated local exchange voice service, i.e. subscribes to stand-alone broadband.</w:t>
      </w:r>
      <w:r w:rsidRPr="001A1877">
        <w:rPr>
          <w:rStyle w:val="FootnoteReference"/>
        </w:rPr>
        <w:footnoteReference w:id="6"/>
      </w:r>
      <w:r>
        <w:t xml:space="preserve">  This revised form of support is known as Connect America Fund Broadband Loop Support (CAF BLS).</w:t>
      </w:r>
      <w:r w:rsidRPr="001812CA">
        <w:rPr>
          <w:rStyle w:val="EndnoteReference"/>
        </w:rPr>
        <w:t xml:space="preserve"> </w:t>
      </w:r>
      <w:r>
        <w:t xml:space="preserve"> To implement these reforms,</w:t>
      </w:r>
      <w:r w:rsidRPr="001A1877">
        <w:t xml:space="preserve"> </w:t>
      </w:r>
      <w:r>
        <w:t xml:space="preserve">the </w:t>
      </w:r>
      <w:r>
        <w:lastRenderedPageBreak/>
        <w:t>Commission, among other things, revised certain cost allocation and tariffing rules for carriers to introduce supported Consumer Broadband-only Loop services.</w:t>
      </w:r>
      <w:r w:rsidRPr="001A1877">
        <w:rPr>
          <w:rStyle w:val="FootnoteReference"/>
        </w:rPr>
        <w:footnoteReference w:id="7"/>
      </w:r>
    </w:p>
    <w:p w14:paraId="5F4C8387" w14:textId="6BF81612" w:rsidR="00813D9B" w:rsidRDefault="005E1F1A" w:rsidP="007308A2">
      <w:pPr>
        <w:pStyle w:val="ParaNum"/>
      </w:pPr>
      <w:r>
        <w:t>As part of these revisions to its tariffing rules</w:t>
      </w:r>
      <w:r w:rsidR="00584EAD">
        <w:t xml:space="preserve">, the Commission sought to maintain the </w:t>
      </w:r>
      <w:r w:rsidR="00547966">
        <w:t>balance</w:t>
      </w:r>
      <w:r w:rsidR="00813D9B">
        <w:t xml:space="preserve"> of the recovery burden</w:t>
      </w:r>
      <w:r w:rsidR="005B7FFB">
        <w:t xml:space="preserve"> as between</w:t>
      </w:r>
      <w:r w:rsidR="000F30B0">
        <w:t xml:space="preserve"> end user ARC charges</w:t>
      </w:r>
      <w:r w:rsidR="005B7FFB">
        <w:t xml:space="preserve"> and Connect America Fund support (CAF ICC)</w:t>
      </w:r>
      <w:r w:rsidR="00547966">
        <w:t xml:space="preserve"> </w:t>
      </w:r>
      <w:r w:rsidR="00584EAD">
        <w:t xml:space="preserve">previously-established </w:t>
      </w:r>
      <w:r w:rsidR="00547966">
        <w:t xml:space="preserve">in the </w:t>
      </w:r>
      <w:r w:rsidR="00813D9B" w:rsidRPr="009076A0">
        <w:rPr>
          <w:i/>
        </w:rPr>
        <w:t>USF/ICC Transformation Order</w:t>
      </w:r>
      <w:r w:rsidR="00813D9B">
        <w:rPr>
          <w:i/>
        </w:rPr>
        <w:t>.</w:t>
      </w:r>
      <w:r w:rsidR="009076A0" w:rsidRPr="009076A0">
        <w:rPr>
          <w:rStyle w:val="FootnoteReference"/>
        </w:rPr>
        <w:footnoteReference w:id="8"/>
      </w:r>
      <w:r w:rsidR="009076A0" w:rsidRPr="009076A0">
        <w:rPr>
          <w:i/>
        </w:rPr>
        <w:t xml:space="preserve"> </w:t>
      </w:r>
      <w:r w:rsidR="009076A0">
        <w:rPr>
          <w:i/>
        </w:rPr>
        <w:t xml:space="preserve"> </w:t>
      </w:r>
      <w:r w:rsidR="009076A0">
        <w:t>I</w:t>
      </w:r>
      <w:r w:rsidR="00F85CA1" w:rsidRPr="0053584A">
        <w:rPr>
          <w:szCs w:val="22"/>
        </w:rPr>
        <w:t xml:space="preserve">n the </w:t>
      </w:r>
      <w:r w:rsidR="00F85CA1" w:rsidRPr="0053584A">
        <w:rPr>
          <w:i/>
          <w:szCs w:val="22"/>
        </w:rPr>
        <w:t>USF/ICC Transformation Order</w:t>
      </w:r>
      <w:r w:rsidR="00F85CA1" w:rsidRPr="0053584A">
        <w:rPr>
          <w:szCs w:val="22"/>
        </w:rPr>
        <w:t>, the Commission adopted bill-and-keep as the default methodology for all intercarrier compensation (ICC) charges, established a transition path requiring scheduled reductions to ICC charges</w:t>
      </w:r>
      <w:r w:rsidR="00F85CA1">
        <w:rPr>
          <w:szCs w:val="22"/>
        </w:rPr>
        <w:t xml:space="preserve"> and </w:t>
      </w:r>
      <w:r w:rsidR="00F85CA1" w:rsidRPr="0053584A">
        <w:rPr>
          <w:szCs w:val="22"/>
        </w:rPr>
        <w:t>adopted a recovery mechanism to partially mitigate revenue reductions that incumbent LECs would experience as a result of these ICC reductions.</w:t>
      </w:r>
      <w:r w:rsidR="00F85CA1" w:rsidRPr="0053584A">
        <w:rPr>
          <w:rStyle w:val="FootnoteReference"/>
          <w:szCs w:val="22"/>
        </w:rPr>
        <w:footnoteReference w:id="9"/>
      </w:r>
      <w:r w:rsidR="00E61BF4">
        <w:rPr>
          <w:szCs w:val="22"/>
        </w:rPr>
        <w:t xml:space="preserve">  Amounts eligible for recovery are first recovered</w:t>
      </w:r>
      <w:r w:rsidR="00E61BF4" w:rsidRPr="0053584A">
        <w:rPr>
          <w:szCs w:val="22"/>
        </w:rPr>
        <w:t xml:space="preserve"> through </w:t>
      </w:r>
      <w:r w:rsidR="00E61BF4">
        <w:rPr>
          <w:szCs w:val="22"/>
        </w:rPr>
        <w:t>the ARC</w:t>
      </w:r>
      <w:r w:rsidR="000F30B0">
        <w:rPr>
          <w:szCs w:val="22"/>
        </w:rPr>
        <w:t>s</w:t>
      </w:r>
      <w:r w:rsidR="00E61BF4">
        <w:rPr>
          <w:rStyle w:val="FootnoteReference"/>
          <w:szCs w:val="22"/>
        </w:rPr>
        <w:footnoteReference w:id="10"/>
      </w:r>
      <w:r w:rsidR="00E61BF4" w:rsidRPr="0053584A">
        <w:rPr>
          <w:szCs w:val="22"/>
        </w:rPr>
        <w:t xml:space="preserve"> assessed on end-users, and, to the extent not reco</w:t>
      </w:r>
      <w:r w:rsidR="00E61BF4">
        <w:rPr>
          <w:szCs w:val="22"/>
        </w:rPr>
        <w:t>verable through ARCs, through CAF ICC</w:t>
      </w:r>
      <w:r w:rsidR="00E61BF4" w:rsidRPr="0053584A">
        <w:rPr>
          <w:szCs w:val="22"/>
        </w:rPr>
        <w:t>.</w:t>
      </w:r>
      <w:r w:rsidR="00E61BF4" w:rsidRPr="0053584A">
        <w:rPr>
          <w:szCs w:val="22"/>
          <w:vertAlign w:val="superscript"/>
        </w:rPr>
        <w:footnoteReference w:id="11"/>
      </w:r>
      <w:r w:rsidR="005B7FFB">
        <w:rPr>
          <w:szCs w:val="22"/>
        </w:rPr>
        <w:t xml:space="preserve"> </w:t>
      </w:r>
      <w:r w:rsidR="00E61BF4">
        <w:rPr>
          <w:szCs w:val="22"/>
        </w:rPr>
        <w:t xml:space="preserve"> </w:t>
      </w:r>
      <w:r w:rsidR="005B7FFB">
        <w:rPr>
          <w:szCs w:val="22"/>
        </w:rPr>
        <w:t>In adopting the recovery mechanism,</w:t>
      </w:r>
      <w:r w:rsidR="00F85CA1">
        <w:rPr>
          <w:szCs w:val="22"/>
        </w:rPr>
        <w:t xml:space="preserve"> </w:t>
      </w:r>
      <w:r w:rsidR="005B7FFB">
        <w:rPr>
          <w:szCs w:val="22"/>
        </w:rPr>
        <w:t>t</w:t>
      </w:r>
      <w:r w:rsidR="00F85CA1" w:rsidRPr="0053584A">
        <w:rPr>
          <w:szCs w:val="22"/>
        </w:rPr>
        <w:t xml:space="preserve">he Commission recognized the need to limit the burdens such recovery might impose on </w:t>
      </w:r>
      <w:r w:rsidR="000F30B0">
        <w:rPr>
          <w:szCs w:val="22"/>
        </w:rPr>
        <w:t xml:space="preserve">both </w:t>
      </w:r>
      <w:r w:rsidR="00F85CA1" w:rsidRPr="0053584A">
        <w:rPr>
          <w:szCs w:val="22"/>
        </w:rPr>
        <w:t>end-user customers and universal service contributors</w:t>
      </w:r>
      <w:r w:rsidR="000F30B0">
        <w:rPr>
          <w:szCs w:val="22"/>
        </w:rPr>
        <w:t>.</w:t>
      </w:r>
      <w:r w:rsidR="000F30B0">
        <w:rPr>
          <w:rStyle w:val="FootnoteReference"/>
          <w:szCs w:val="22"/>
        </w:rPr>
        <w:footnoteReference w:id="12"/>
      </w:r>
      <w:r w:rsidR="00813D9B">
        <w:t xml:space="preserve">    </w:t>
      </w:r>
      <w:r w:rsidR="00584EAD">
        <w:t xml:space="preserve">  </w:t>
      </w:r>
    </w:p>
    <w:p w14:paraId="155ECA9B" w14:textId="04D01ED1" w:rsidR="00584EAD" w:rsidRDefault="00813D9B" w:rsidP="007308A2">
      <w:pPr>
        <w:pStyle w:val="ParaNum"/>
      </w:pPr>
      <w:r>
        <w:t xml:space="preserve">In the </w:t>
      </w:r>
      <w:r w:rsidR="000B35AA" w:rsidRPr="00B05D6F">
        <w:rPr>
          <w:i/>
        </w:rPr>
        <w:t>Rate-of-</w:t>
      </w:r>
      <w:r w:rsidRPr="009076A0">
        <w:rPr>
          <w:i/>
        </w:rPr>
        <w:t>Return Reform Order</w:t>
      </w:r>
      <w:r>
        <w:t>, t</w:t>
      </w:r>
      <w:r w:rsidR="00D0685B">
        <w:t>he Commission r</w:t>
      </w:r>
      <w:r w:rsidR="00584EAD">
        <w:t>ecogniz</w:t>
      </w:r>
      <w:r w:rsidR="00D0685B">
        <w:t>ed</w:t>
      </w:r>
      <w:r w:rsidR="00584EAD">
        <w:t xml:space="preserve"> that supporting Broadband-only Loop Service may lead to a migration away from voice/broadband offerings due to the increased affordability of Broadband-only Loop Service</w:t>
      </w:r>
      <w:r w:rsidR="00D0685B">
        <w:t>.</w:t>
      </w:r>
      <w:r w:rsidR="00591164">
        <w:rPr>
          <w:rStyle w:val="FootnoteReference"/>
        </w:rPr>
        <w:footnoteReference w:id="13"/>
      </w:r>
      <w:r w:rsidR="00D0685B">
        <w:t xml:space="preserve">  </w:t>
      </w:r>
      <w:r w:rsidR="00547966">
        <w:t xml:space="preserve">Rate-of-return LECs providing </w:t>
      </w:r>
      <w:r w:rsidR="00B95135">
        <w:t xml:space="preserve">Broadband-only Loop Service </w:t>
      </w:r>
      <w:r w:rsidR="00547966">
        <w:t xml:space="preserve">on a tariffed or detariffed basis will </w:t>
      </w:r>
      <w:r w:rsidR="00B95135">
        <w:t>recover</w:t>
      </w:r>
      <w:r w:rsidR="00547966">
        <w:t xml:space="preserve"> the costs associated wi</w:t>
      </w:r>
      <w:r w:rsidR="00B95135">
        <w:t>th the provision of that service</w:t>
      </w:r>
      <w:r w:rsidR="00547966">
        <w:t xml:space="preserve"> through </w:t>
      </w:r>
      <w:r w:rsidR="00B95135">
        <w:t>some combination of wholesale or end-user rates and</w:t>
      </w:r>
      <w:r w:rsidR="00FE1B8D">
        <w:t xml:space="preserve"> the new universal service support</w:t>
      </w:r>
      <w:r w:rsidR="00EC40D9">
        <w:t xml:space="preserve">. </w:t>
      </w:r>
      <w:r w:rsidR="002E48AC">
        <w:t xml:space="preserve"> </w:t>
      </w:r>
      <w:r w:rsidR="00B95135">
        <w:t xml:space="preserve">The costs associated with the facilities used to provision services prior to the provision of the Broadband-only Loop Service were recovered through </w:t>
      </w:r>
      <w:r w:rsidR="009076A0">
        <w:t>some</w:t>
      </w:r>
      <w:r w:rsidR="00B95135">
        <w:t xml:space="preserve"> combination of </w:t>
      </w:r>
      <w:r w:rsidR="00EC40D9">
        <w:t xml:space="preserve">access charges, </w:t>
      </w:r>
      <w:r w:rsidR="00035872">
        <w:t>end-us</w:t>
      </w:r>
      <w:r w:rsidR="00B95135">
        <w:t xml:space="preserve">er charges, and CAF ICC. </w:t>
      </w:r>
      <w:r w:rsidR="009076A0">
        <w:t xml:space="preserve"> </w:t>
      </w:r>
      <w:r w:rsidR="00D0685B">
        <w:t xml:space="preserve">Because ARCs are only assessed on offerings that include voice service, such a migration would reduce </w:t>
      </w:r>
      <w:r w:rsidR="00A01FB1">
        <w:t xml:space="preserve">the amount of recovery received from end users through </w:t>
      </w:r>
      <w:r w:rsidR="00D0685B">
        <w:t>ARC revenu</w:t>
      </w:r>
      <w:r w:rsidR="00A01FB1">
        <w:t>es but not the overall recovery amount a carrier was entitled to</w:t>
      </w:r>
      <w:r w:rsidR="001E65E6">
        <w:t xml:space="preserve"> receive</w:t>
      </w:r>
      <w:r w:rsidR="00A01FB1">
        <w:t>.  Thus</w:t>
      </w:r>
      <w:r w:rsidR="001E65E6">
        <w:t>, recovery amounts not available</w:t>
      </w:r>
      <w:r w:rsidR="00FA6AFB">
        <w:t xml:space="preserve"> through ARC charges</w:t>
      </w:r>
      <w:r w:rsidR="00A01FB1">
        <w:t xml:space="preserve"> w</w:t>
      </w:r>
      <w:r w:rsidR="001E65E6">
        <w:t>ould be covered by</w:t>
      </w:r>
      <w:r w:rsidR="00A01FB1">
        <w:t xml:space="preserve"> CAF ICC</w:t>
      </w:r>
      <w:r w:rsidR="00B95135" w:rsidRPr="00B95135">
        <w:t xml:space="preserve"> </w:t>
      </w:r>
      <w:r w:rsidR="00B95135">
        <w:t>regardless of whether the rate-of-return LEC was recovering some or all of its costs through other rates</w:t>
      </w:r>
      <w:r w:rsidR="00C06579">
        <w:t xml:space="preserve"> or means of support</w:t>
      </w:r>
      <w:r w:rsidR="00A01FB1">
        <w:t>.</w:t>
      </w:r>
      <w:r w:rsidR="00D0685B">
        <w:t xml:space="preserve">  </w:t>
      </w:r>
      <w:r w:rsidR="00B95135">
        <w:t>T</w:t>
      </w:r>
      <w:r w:rsidR="00D0685B">
        <w:t xml:space="preserve">o maintain the </w:t>
      </w:r>
      <w:r w:rsidR="001E65E6">
        <w:t xml:space="preserve">careful </w:t>
      </w:r>
      <w:r w:rsidR="00D0685B">
        <w:t>balanc</w:t>
      </w:r>
      <w:r w:rsidR="001E65E6">
        <w:t xml:space="preserve">ing of recovery </w:t>
      </w:r>
      <w:r w:rsidR="00D0685B">
        <w:t>between ARC revenue and CAF</w:t>
      </w:r>
      <w:r w:rsidR="00FA6AFB">
        <w:t xml:space="preserve"> </w:t>
      </w:r>
      <w:r w:rsidR="00DB15CA">
        <w:t>ICC</w:t>
      </w:r>
      <w:r w:rsidR="00D0685B">
        <w:t xml:space="preserve">, </w:t>
      </w:r>
      <w:r w:rsidR="00584EAD">
        <w:t>the Commission require</w:t>
      </w:r>
      <w:r w:rsidR="005E1F1A">
        <w:t>d</w:t>
      </w:r>
      <w:r w:rsidR="00584EAD">
        <w:t xml:space="preserve"> rate-of-return carriers</w:t>
      </w:r>
      <w:r w:rsidR="00584EAD" w:rsidRPr="000C4AF0">
        <w:t xml:space="preserve"> </w:t>
      </w:r>
      <w:r w:rsidR="005E1F1A" w:rsidRPr="0072799E">
        <w:t xml:space="preserve">to </w:t>
      </w:r>
      <w:r w:rsidR="00584EAD" w:rsidRPr="0072799E">
        <w:t>impute an amount equal to the ARC charge</w:t>
      </w:r>
      <w:r w:rsidR="00584EAD" w:rsidRPr="000C4AF0">
        <w:t xml:space="preserve"> th</w:t>
      </w:r>
      <w:r w:rsidR="00584EAD">
        <w:t>ey assess on voice/broadband lines to</w:t>
      </w:r>
      <w:r w:rsidR="00584EAD" w:rsidRPr="000C4AF0">
        <w:t xml:space="preserve"> their sup</w:t>
      </w:r>
      <w:r w:rsidR="00584EAD">
        <w:t>p</w:t>
      </w:r>
      <w:r w:rsidR="00584EAD" w:rsidRPr="000C4AF0">
        <w:t xml:space="preserve">orted </w:t>
      </w:r>
      <w:r w:rsidR="00584EAD">
        <w:t xml:space="preserve">consumer </w:t>
      </w:r>
      <w:r w:rsidR="00584EAD" w:rsidRPr="000C4AF0">
        <w:t>broadband</w:t>
      </w:r>
      <w:r w:rsidR="00584EAD">
        <w:t>-only</w:t>
      </w:r>
      <w:r w:rsidR="00584EAD" w:rsidRPr="000C4AF0">
        <w:t xml:space="preserve"> lines.</w:t>
      </w:r>
      <w:r w:rsidR="005E1F1A">
        <w:rPr>
          <w:rStyle w:val="FootnoteReference"/>
        </w:rPr>
        <w:footnoteReference w:id="14"/>
      </w:r>
    </w:p>
    <w:p w14:paraId="708F59BF" w14:textId="2FFAB2DB" w:rsidR="00815B1C" w:rsidRDefault="005E1F1A" w:rsidP="008E1DBB">
      <w:pPr>
        <w:pStyle w:val="ParaNum"/>
        <w:widowControl/>
      </w:pPr>
      <w:r>
        <w:t xml:space="preserve">In the </w:t>
      </w:r>
      <w:r w:rsidRPr="005E1F1A">
        <w:rPr>
          <w:i/>
          <w:spacing w:val="-2"/>
        </w:rPr>
        <w:t>Broadband-only Loop Service TRP Order</w:t>
      </w:r>
      <w:r>
        <w:rPr>
          <w:spacing w:val="-2"/>
        </w:rPr>
        <w:t>, t</w:t>
      </w:r>
      <w:r w:rsidR="00815B1C" w:rsidRPr="005E1F1A">
        <w:rPr>
          <w:spacing w:val="-2"/>
        </w:rPr>
        <w:t xml:space="preserve">he </w:t>
      </w:r>
      <w:r w:rsidR="00BB3A86">
        <w:rPr>
          <w:spacing w:val="-2"/>
        </w:rPr>
        <w:t>Bureau</w:t>
      </w:r>
      <w:r w:rsidR="00BB3A86" w:rsidRPr="005E1F1A">
        <w:rPr>
          <w:spacing w:val="-2"/>
        </w:rPr>
        <w:t xml:space="preserve"> </w:t>
      </w:r>
      <w:r w:rsidR="00815B1C" w:rsidRPr="00734777">
        <w:t>establishe</w:t>
      </w:r>
      <w:r w:rsidR="00815B1C">
        <w:t>d</w:t>
      </w:r>
      <w:r w:rsidR="00815B1C" w:rsidRPr="00734777">
        <w:t xml:space="preserve"> procedures for the filing of access charge tariffs and Tariff Review Plans (TRPs) for </w:t>
      </w:r>
      <w:r w:rsidR="00815B1C">
        <w:t xml:space="preserve">rate-of-return LECs </w:t>
      </w:r>
      <w:r w:rsidR="00815B1C" w:rsidRPr="00734777">
        <w:t xml:space="preserve">electing to offer </w:t>
      </w:r>
      <w:r w:rsidR="00430C8B">
        <w:t>B</w:t>
      </w:r>
      <w:r w:rsidR="00815B1C" w:rsidRPr="00734777">
        <w:t xml:space="preserve">roadband-only </w:t>
      </w:r>
      <w:r w:rsidR="00430C8B">
        <w:t>L</w:t>
      </w:r>
      <w:r w:rsidR="00815B1C" w:rsidRPr="00734777">
        <w:t xml:space="preserve">oop </w:t>
      </w:r>
      <w:r w:rsidR="00430C8B">
        <w:t>S</w:t>
      </w:r>
      <w:r w:rsidR="00815B1C" w:rsidRPr="00734777">
        <w:t>ervice beginning January 3, 2017, whether on a tariffed or detariffed basis.</w:t>
      </w:r>
      <w:r w:rsidR="00815B1C">
        <w:rPr>
          <w:rStyle w:val="FootnoteReference"/>
        </w:rPr>
        <w:footnoteReference w:id="15"/>
      </w:r>
      <w:r>
        <w:t xml:space="preserve">  </w:t>
      </w:r>
      <w:r w:rsidR="006E4FC5">
        <w:t xml:space="preserve">The </w:t>
      </w:r>
      <w:r w:rsidR="0042150C" w:rsidRPr="005E1F1A">
        <w:rPr>
          <w:i/>
          <w:spacing w:val="-2"/>
        </w:rPr>
        <w:lastRenderedPageBreak/>
        <w:t>Broadband-only Loop Service TRP Order</w:t>
      </w:r>
      <w:r w:rsidR="006E4FC5">
        <w:t xml:space="preserve"> included a clarification that </w:t>
      </w:r>
      <w:r w:rsidR="00430C8B">
        <w:t>“an imputation is not applied to a retail broadband Internet access offering.”</w:t>
      </w:r>
      <w:r w:rsidR="006E4FC5">
        <w:rPr>
          <w:rStyle w:val="FootnoteReference"/>
        </w:rPr>
        <w:footnoteReference w:id="16"/>
      </w:r>
    </w:p>
    <w:p w14:paraId="4672F27E" w14:textId="77777777" w:rsidR="003335E8" w:rsidRDefault="00A97514" w:rsidP="00A97514">
      <w:pPr>
        <w:pStyle w:val="Heading1"/>
      </w:pPr>
      <w:r>
        <w:t>discussion</w:t>
      </w:r>
    </w:p>
    <w:p w14:paraId="42CD9A39" w14:textId="0D48396D" w:rsidR="00A97514" w:rsidRDefault="00A97514" w:rsidP="00A97514">
      <w:pPr>
        <w:pStyle w:val="ParaNum"/>
      </w:pPr>
      <w:r>
        <w:t>Under section 1.1</w:t>
      </w:r>
      <w:r w:rsidR="0022694B">
        <w:t>13(a)</w:t>
      </w:r>
      <w:r>
        <w:t xml:space="preserve"> of </w:t>
      </w:r>
      <w:r w:rsidR="00F42B9C">
        <w:t>the Commission’s</w:t>
      </w:r>
      <w:r>
        <w:t xml:space="preserve"> rules, </w:t>
      </w:r>
      <w:r w:rsidR="002426B3">
        <w:t xml:space="preserve">the </w:t>
      </w:r>
      <w:r w:rsidR="00E54A98">
        <w:t>Bureau</w:t>
      </w:r>
      <w:r w:rsidR="002426B3">
        <w:t xml:space="preserve"> </w:t>
      </w:r>
      <w:r>
        <w:t>may, on its own motion, reconsider any action made or taken within 30 days from the date of public notice of such action.</w:t>
      </w:r>
      <w:r>
        <w:rPr>
          <w:rStyle w:val="FootnoteReference"/>
        </w:rPr>
        <w:footnoteReference w:id="17"/>
      </w:r>
      <w:r>
        <w:t xml:space="preserve">  In doing so, the </w:t>
      </w:r>
      <w:r w:rsidR="007374D6">
        <w:t xml:space="preserve">Bureau </w:t>
      </w:r>
      <w:r>
        <w:t>may take any action it could take in acting on a petition for reconsideration, including reversing or modifying the original order.</w:t>
      </w:r>
      <w:r>
        <w:rPr>
          <w:rStyle w:val="FootnoteReference"/>
        </w:rPr>
        <w:footnoteReference w:id="18"/>
      </w:r>
    </w:p>
    <w:p w14:paraId="64A25D5D" w14:textId="77777777" w:rsidR="001E65E6" w:rsidRDefault="001E65E6" w:rsidP="001E65E6">
      <w:pPr>
        <w:pStyle w:val="ParaNum"/>
      </w:pPr>
      <w:r>
        <w:t>We now reconsider our clarification regarding whether an amount equal t</w:t>
      </w:r>
      <w:r w:rsidR="00DB15CA">
        <w:t>o the ARC assessed on voice/broadband</w:t>
      </w:r>
      <w:r>
        <w:t xml:space="preserve"> offerings need be imputed on rate-of-return LEC retail broadband Internet access offerings.  On further reflection, the Bureau concludes that an amount equal to the ARC assessed on voice/broadband lines must be imputed on rate-of-return LEC retail broadband Internet access </w:t>
      </w:r>
      <w:r w:rsidRPr="008921D3">
        <w:t>offerings</w:t>
      </w:r>
      <w:r w:rsidR="00DB15CA">
        <w:t xml:space="preserve">, </w:t>
      </w:r>
      <w:r>
        <w:t xml:space="preserve"> </w:t>
      </w:r>
      <w:r w:rsidRPr="008921D3">
        <w:t xml:space="preserve">when the rate-of-return LEC is </w:t>
      </w:r>
      <w:r>
        <w:t>providing tariffed or detariff</w:t>
      </w:r>
      <w:r w:rsidR="00430C8B">
        <w:t>ed Consumer Broadband-only Loop</w:t>
      </w:r>
      <w:r>
        <w:t xml:space="preserve">s to affiliated entities, or to third parties.  </w:t>
      </w:r>
    </w:p>
    <w:p w14:paraId="43E49EC3" w14:textId="7AEE5268" w:rsidR="0072799E" w:rsidRDefault="001E65E6" w:rsidP="0072799E">
      <w:pPr>
        <w:pStyle w:val="ParaNum"/>
      </w:pPr>
      <w:r w:rsidRPr="008921D3">
        <w:t>As</w:t>
      </w:r>
      <w:r>
        <w:t xml:space="preserve"> discussed above, the Commission established the obligation to impute ARCs so as to account for forgone ARC revenue when customers migrate away from service offerings to which ARCs apply to the newly-supported Broadband-only Loop Service.  Imputing an amount equal t</w:t>
      </w:r>
      <w:r w:rsidR="00430C8B">
        <w:t>o the ARC</w:t>
      </w:r>
      <w:r>
        <w:t xml:space="preserve"> assessed on voice/broadband lines </w:t>
      </w:r>
      <w:r w:rsidR="00B95135">
        <w:t xml:space="preserve">regardless of how the service is sold </w:t>
      </w:r>
      <w:r>
        <w:t>will more closely maintain the balance between ARC</w:t>
      </w:r>
      <w:r w:rsidR="00430C8B">
        <w:t xml:space="preserve"> recovery</w:t>
      </w:r>
      <w:r>
        <w:t xml:space="preserve"> and </w:t>
      </w:r>
      <w:r w:rsidR="00430C8B">
        <w:t>CAF ICC recovery</w:t>
      </w:r>
      <w:r>
        <w:t>.</w:t>
      </w:r>
      <w:r w:rsidR="00430C8B">
        <w:t xml:space="preserve">  This </w:t>
      </w:r>
      <w:r w:rsidR="00BB3A86">
        <w:t xml:space="preserve">approach </w:t>
      </w:r>
      <w:r w:rsidR="00430C8B">
        <w:t xml:space="preserve">also </w:t>
      </w:r>
      <w:r w:rsidR="00BB3A86">
        <w:t xml:space="preserve">prevents ARC imputations from skewing decisions a </w:t>
      </w:r>
      <w:r>
        <w:t>rate-of-return LEC</w:t>
      </w:r>
      <w:r w:rsidR="00BB3A86">
        <w:t xml:space="preserve"> may make as</w:t>
      </w:r>
      <w:r>
        <w:t xml:space="preserve"> to </w:t>
      </w:r>
      <w:r w:rsidR="00BB3A86">
        <w:t xml:space="preserve">whether to </w:t>
      </w:r>
      <w:r>
        <w:t>offer</w:t>
      </w:r>
      <w:r w:rsidR="00430C8B">
        <w:t xml:space="preserve"> retail broadband Internet access service</w:t>
      </w:r>
      <w:r>
        <w:t xml:space="preserve"> through</w:t>
      </w:r>
      <w:r w:rsidR="00430C8B">
        <w:t xml:space="preserve"> an affilia</w:t>
      </w:r>
      <w:r>
        <w:t xml:space="preserve">te or through its own operations.    </w:t>
      </w:r>
    </w:p>
    <w:p w14:paraId="34AB80D9" w14:textId="77777777" w:rsidR="00DB15CA" w:rsidRDefault="00D84986" w:rsidP="00DB15CA">
      <w:pPr>
        <w:pStyle w:val="Heading1"/>
      </w:pPr>
      <w:r>
        <w:t>ordering clauses</w:t>
      </w:r>
    </w:p>
    <w:p w14:paraId="327ACECA" w14:textId="7AA1FF1D" w:rsidR="008921D3" w:rsidRPr="008921D3" w:rsidRDefault="008921D3" w:rsidP="00903633">
      <w:pPr>
        <w:pStyle w:val="ParaNum"/>
      </w:pPr>
      <w:r>
        <w:t xml:space="preserve">Accordingly, IT IS ORDERED that, pursuant to sections 1, 4(i) and (j), 5, and 201-209 of the Communications </w:t>
      </w:r>
      <w:r w:rsidRPr="008921D3">
        <w:t>Act of 1934, as amended, 47 U.S.C. §§ 151, 154(i)-(j), 155, 201-209, and sections 0.91 0.291</w:t>
      </w:r>
      <w:r w:rsidR="00903633">
        <w:t>, and 1.1</w:t>
      </w:r>
      <w:r w:rsidR="0022694B">
        <w:t>13(a)</w:t>
      </w:r>
      <w:r w:rsidRPr="008921D3">
        <w:t xml:space="preserve"> </w:t>
      </w:r>
      <w:r w:rsidR="00903633">
        <w:t xml:space="preserve"> </w:t>
      </w:r>
      <w:r w:rsidRPr="008921D3">
        <w:t xml:space="preserve">of the Commission’s rules, 47 CFR §§ 0.91, 0.291, </w:t>
      </w:r>
      <w:r w:rsidR="00903633">
        <w:t>1.1</w:t>
      </w:r>
      <w:r w:rsidR="0022694B">
        <w:t>13(a)</w:t>
      </w:r>
      <w:r w:rsidR="00903633">
        <w:t xml:space="preserve">, </w:t>
      </w:r>
      <w:r w:rsidRPr="008921D3">
        <w:t>this Order IS ADOPTED.</w:t>
      </w:r>
    </w:p>
    <w:p w14:paraId="2C5BD993" w14:textId="77777777" w:rsidR="008921D3" w:rsidRDefault="008921D3" w:rsidP="008921D3">
      <w:pPr>
        <w:pStyle w:val="ParaNum"/>
      </w:pPr>
      <w:r w:rsidRPr="008921D3">
        <w:t>IT IS FURTHER ORDERED</w:t>
      </w:r>
      <w:r w:rsidRPr="00180CE7">
        <w:t xml:space="preserve"> that, pursuant to section 1.102(b)(1) of the Commission’s rules, 47 </w:t>
      </w:r>
      <w:r>
        <w:t>CFR</w:t>
      </w:r>
      <w:r w:rsidRPr="00180CE7">
        <w:t xml:space="preserve"> § 1.102(b)(1), this Order SHALL BE EFFECTIVE upon release.</w:t>
      </w:r>
      <w:r>
        <w:br/>
      </w:r>
    </w:p>
    <w:p w14:paraId="5AB6AD19" w14:textId="77777777" w:rsidR="004D2644" w:rsidRPr="008921D3" w:rsidRDefault="004D2644" w:rsidP="008921D3">
      <w:pPr>
        <w:ind w:left="3600"/>
      </w:pPr>
      <w:r w:rsidRPr="008921D3">
        <w:t>FEDERAL COMMUNICATIONS COMMISSION</w:t>
      </w:r>
    </w:p>
    <w:p w14:paraId="2D1B89F9" w14:textId="77777777" w:rsidR="004D2644" w:rsidRDefault="004D2644" w:rsidP="004D2644">
      <w:pPr>
        <w:keepNext/>
        <w:keepLines/>
        <w:ind w:firstLine="720"/>
        <w:rPr>
          <w:szCs w:val="24"/>
        </w:rPr>
      </w:pPr>
    </w:p>
    <w:p w14:paraId="1488F2E5" w14:textId="77777777" w:rsidR="004D2644" w:rsidRDefault="004D2644" w:rsidP="004D2644">
      <w:pPr>
        <w:keepNext/>
        <w:keepLines/>
        <w:ind w:firstLine="720"/>
        <w:rPr>
          <w:szCs w:val="24"/>
        </w:rPr>
      </w:pPr>
    </w:p>
    <w:p w14:paraId="64DB0212" w14:textId="77777777" w:rsidR="004D2644" w:rsidRDefault="004D2644" w:rsidP="004D2644">
      <w:pPr>
        <w:keepNext/>
        <w:keepLines/>
        <w:ind w:firstLine="720"/>
        <w:rPr>
          <w:szCs w:val="24"/>
        </w:rPr>
      </w:pPr>
    </w:p>
    <w:p w14:paraId="40EB664C" w14:textId="77777777" w:rsidR="004D2644" w:rsidRDefault="004D2644" w:rsidP="004D2644">
      <w:pPr>
        <w:keepNext/>
        <w:keepLines/>
        <w:ind w:firstLine="720"/>
        <w:rPr>
          <w:szCs w:val="24"/>
        </w:rPr>
      </w:pPr>
    </w:p>
    <w:p w14:paraId="21C051D2" w14:textId="77777777" w:rsidR="004D2644" w:rsidRDefault="004D2644" w:rsidP="004D2644">
      <w:pPr>
        <w:pStyle w:val="BodyTextIndent2"/>
        <w:keepNext/>
        <w:keepLines/>
        <w:spacing w:after="0" w:line="240" w:lineRule="auto"/>
        <w:ind w:left="3600"/>
        <w:rPr>
          <w:szCs w:val="24"/>
        </w:rPr>
      </w:pPr>
      <w:r>
        <w:rPr>
          <w:szCs w:val="24"/>
        </w:rPr>
        <w:t>Matthew S. DelNero</w:t>
      </w:r>
    </w:p>
    <w:p w14:paraId="6A0FA174" w14:textId="77777777" w:rsidR="004D2644" w:rsidRDefault="004D2644" w:rsidP="004D2644">
      <w:pPr>
        <w:pStyle w:val="BodyTextIndent2"/>
        <w:keepNext/>
        <w:keepLines/>
        <w:spacing w:after="0" w:line="240" w:lineRule="auto"/>
        <w:ind w:left="3600"/>
        <w:rPr>
          <w:szCs w:val="24"/>
        </w:rPr>
      </w:pPr>
      <w:r>
        <w:rPr>
          <w:szCs w:val="24"/>
        </w:rPr>
        <w:t>Chief</w:t>
      </w:r>
    </w:p>
    <w:p w14:paraId="74B1D9DF" w14:textId="77777777" w:rsidR="004D2644" w:rsidRDefault="004D2644" w:rsidP="004D2644">
      <w:pPr>
        <w:spacing w:after="240"/>
        <w:ind w:left="2880" w:firstLine="720"/>
        <w:rPr>
          <w:szCs w:val="24"/>
        </w:rPr>
      </w:pPr>
      <w:r>
        <w:t>Wireline Competition Bureau</w:t>
      </w:r>
    </w:p>
    <w:p w14:paraId="66002E14" w14:textId="77777777" w:rsidR="004D2644" w:rsidRDefault="004D2644" w:rsidP="004D2644"/>
    <w:p w14:paraId="2FF4AF07" w14:textId="77777777" w:rsidR="004D2644" w:rsidRPr="004D2644" w:rsidRDefault="004D2644" w:rsidP="004D2644">
      <w:pPr>
        <w:pStyle w:val="ParaNum"/>
        <w:numPr>
          <w:ilvl w:val="0"/>
          <w:numId w:val="0"/>
        </w:numPr>
      </w:pPr>
    </w:p>
    <w:sectPr w:rsidR="004D2644" w:rsidRPr="004D2644"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0F8B8" w14:textId="77777777" w:rsidR="00E82BE0" w:rsidRDefault="00E82BE0">
      <w:pPr>
        <w:spacing w:line="20" w:lineRule="exact"/>
      </w:pPr>
    </w:p>
  </w:endnote>
  <w:endnote w:type="continuationSeparator" w:id="0">
    <w:p w14:paraId="2EC282D0" w14:textId="77777777" w:rsidR="00E82BE0" w:rsidRDefault="00E82BE0">
      <w:r>
        <w:t xml:space="preserve"> </w:t>
      </w:r>
    </w:p>
  </w:endnote>
  <w:endnote w:type="continuationNotice" w:id="1">
    <w:p w14:paraId="4ED56342" w14:textId="77777777" w:rsidR="00E82BE0" w:rsidRDefault="00E82B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938E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3385F23"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8349B"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4D4AE3">
      <w:rPr>
        <w:noProof/>
      </w:rPr>
      <w:t>2</w:t>
    </w:r>
    <w:r>
      <w:fldChar w:fldCharType="end"/>
    </w:r>
  </w:p>
  <w:p w14:paraId="7076D980"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A83B1"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E05B3" w14:textId="77777777" w:rsidR="00E82BE0" w:rsidRDefault="00E82BE0">
      <w:r>
        <w:separator/>
      </w:r>
    </w:p>
  </w:footnote>
  <w:footnote w:type="continuationSeparator" w:id="0">
    <w:p w14:paraId="37EB69CD" w14:textId="77777777" w:rsidR="00E82BE0" w:rsidRDefault="00E82BE0" w:rsidP="00C721AC">
      <w:pPr>
        <w:spacing w:before="120"/>
        <w:rPr>
          <w:sz w:val="20"/>
        </w:rPr>
      </w:pPr>
      <w:r>
        <w:rPr>
          <w:sz w:val="20"/>
        </w:rPr>
        <w:t xml:space="preserve">(Continued from previous page)  </w:t>
      </w:r>
      <w:r>
        <w:rPr>
          <w:sz w:val="20"/>
        </w:rPr>
        <w:separator/>
      </w:r>
    </w:p>
  </w:footnote>
  <w:footnote w:type="continuationNotice" w:id="1">
    <w:p w14:paraId="7BA5D8BC" w14:textId="77777777" w:rsidR="00E82BE0" w:rsidRDefault="00E82BE0" w:rsidP="00C721AC">
      <w:pPr>
        <w:jc w:val="right"/>
        <w:rPr>
          <w:sz w:val="20"/>
        </w:rPr>
      </w:pPr>
      <w:r>
        <w:rPr>
          <w:sz w:val="20"/>
        </w:rPr>
        <w:t>(continued….)</w:t>
      </w:r>
    </w:p>
  </w:footnote>
  <w:footnote w:id="2">
    <w:p w14:paraId="127E9387" w14:textId="77777777" w:rsidR="00E05A87" w:rsidRDefault="00E05A87" w:rsidP="00E05A87">
      <w:pPr>
        <w:pStyle w:val="FootnoteText"/>
      </w:pPr>
      <w:r>
        <w:rPr>
          <w:rStyle w:val="FootnoteReference"/>
        </w:rPr>
        <w:footnoteRef/>
      </w:r>
      <w:r>
        <w:t xml:space="preserve"> </w:t>
      </w:r>
      <w:r w:rsidR="009112C9">
        <w:rPr>
          <w:i/>
        </w:rPr>
        <w:t xml:space="preserve">Connect America Fund </w:t>
      </w:r>
      <w:r w:rsidR="009112C9" w:rsidRPr="00B71994">
        <w:rPr>
          <w:i/>
        </w:rPr>
        <w:t>et al.</w:t>
      </w:r>
      <w:r w:rsidR="009112C9" w:rsidRPr="00B71994">
        <w:t>, Report</w:t>
      </w:r>
      <w:r w:rsidR="009112C9">
        <w:t xml:space="preserve"> and Order, Order and Order on Reconsideration and Further Notice of Proposed Rulemaking,</w:t>
      </w:r>
      <w:r w:rsidR="009112C9" w:rsidRPr="00B71994">
        <w:t xml:space="preserve"> WC Docket No. 10-90 et al.</w:t>
      </w:r>
      <w:r w:rsidR="009112C9">
        <w:t>, 31 FCC Rcd 3087, 3161-62, para. 203 (2016) (</w:t>
      </w:r>
      <w:r w:rsidR="009112C9">
        <w:rPr>
          <w:i/>
        </w:rPr>
        <w:t>Rate-of-Return Reform Order</w:t>
      </w:r>
      <w:r w:rsidR="009112C9">
        <w:t>).</w:t>
      </w:r>
      <w:r w:rsidRPr="001A1877">
        <w:t xml:space="preserve"> </w:t>
      </w:r>
      <w:r w:rsidR="00E61BF4">
        <w:t xml:space="preserve"> </w:t>
      </w:r>
      <w:r w:rsidR="00E61BF4" w:rsidRPr="003E521F">
        <w:t xml:space="preserve">The ARC is the end-user charge component of the ICC recovery mechanism adopted in the </w:t>
      </w:r>
      <w:r w:rsidR="00E61BF4" w:rsidRPr="003E521F">
        <w:rPr>
          <w:i/>
        </w:rPr>
        <w:t>USF/ICC Transformation Order</w:t>
      </w:r>
      <w:r w:rsidR="00E61BF4">
        <w:rPr>
          <w:i/>
        </w:rPr>
        <w:t xml:space="preserve">. </w:t>
      </w:r>
      <w:r w:rsidR="00FB3372">
        <w:rPr>
          <w:i/>
        </w:rPr>
        <w:t xml:space="preserve"> </w:t>
      </w:r>
      <w:r w:rsidR="00E61BF4" w:rsidRPr="003E521F">
        <w:rPr>
          <w:i/>
        </w:rPr>
        <w:t xml:space="preserve">See Connect America Fund et al., </w:t>
      </w:r>
      <w:r w:rsidR="00E61BF4" w:rsidRPr="003E521F">
        <w:t xml:space="preserve">WC Docket No. 10-90 et al., Report and Order and Further Notice of Proposed Rulemaking, 26 FCC Rcd </w:t>
      </w:r>
      <w:r w:rsidR="00E61BF4">
        <w:t xml:space="preserve">17663, </w:t>
      </w:r>
      <w:r w:rsidR="00FB3372">
        <w:t>17987- 94</w:t>
      </w:r>
      <w:r w:rsidR="00E61BF4">
        <w:t>, paras. 905-</w:t>
      </w:r>
      <w:r w:rsidR="00FB3372">
        <w:t>16</w:t>
      </w:r>
      <w:r w:rsidR="00E61BF4" w:rsidRPr="003E521F">
        <w:t xml:space="preserve"> (2011) (</w:t>
      </w:r>
      <w:r w:rsidR="00E61BF4" w:rsidRPr="003E521F">
        <w:rPr>
          <w:i/>
        </w:rPr>
        <w:t>USF/ICC Transformation Order</w:t>
      </w:r>
      <w:r w:rsidR="00E61BF4" w:rsidRPr="003E521F">
        <w:t xml:space="preserve">), </w:t>
      </w:r>
      <w:r w:rsidR="00E61BF4" w:rsidRPr="003E521F">
        <w:rPr>
          <w:i/>
        </w:rPr>
        <w:t>pets</w:t>
      </w:r>
      <w:r w:rsidR="00E61BF4" w:rsidRPr="003E521F">
        <w:t xml:space="preserve">. </w:t>
      </w:r>
      <w:r w:rsidR="00E61BF4" w:rsidRPr="003E521F">
        <w:rPr>
          <w:i/>
        </w:rPr>
        <w:t>for review</w:t>
      </w:r>
      <w:r w:rsidR="00E61BF4" w:rsidRPr="003E521F">
        <w:t xml:space="preserve"> </w:t>
      </w:r>
      <w:r w:rsidR="00E61BF4" w:rsidRPr="003E521F">
        <w:rPr>
          <w:i/>
        </w:rPr>
        <w:t>denied sub nom. In re:</w:t>
      </w:r>
      <w:r w:rsidR="00E61BF4" w:rsidRPr="003E521F">
        <w:t xml:space="preserve"> </w:t>
      </w:r>
      <w:r w:rsidR="00E61BF4" w:rsidRPr="003E521F">
        <w:rPr>
          <w:i/>
        </w:rPr>
        <w:t>FCC 11-161,</w:t>
      </w:r>
      <w:r w:rsidR="00E61BF4">
        <w:t xml:space="preserve"> 753 F.3d 1015 (10th Cir. 2014).</w:t>
      </w:r>
      <w:r w:rsidR="00E61BF4">
        <w:rPr>
          <w:i/>
        </w:rPr>
        <w:t xml:space="preserve"> </w:t>
      </w:r>
    </w:p>
  </w:footnote>
  <w:footnote w:id="3">
    <w:p w14:paraId="1CEE5EBD" w14:textId="080FEE0E" w:rsidR="002D02B0" w:rsidRDefault="002D02B0">
      <w:pPr>
        <w:pStyle w:val="FootnoteText"/>
      </w:pPr>
      <w:r>
        <w:rPr>
          <w:rStyle w:val="FootnoteReference"/>
        </w:rPr>
        <w:footnoteRef/>
      </w:r>
      <w:r>
        <w:t xml:space="preserve"> </w:t>
      </w:r>
      <w:r w:rsidR="009112C9">
        <w:t>47 CFR § 1.1</w:t>
      </w:r>
      <w:r w:rsidR="00251B0C">
        <w:t>13(a)</w:t>
      </w:r>
      <w:r w:rsidR="009112C9">
        <w:t xml:space="preserve">; </w:t>
      </w:r>
      <w:r w:rsidR="00A77267" w:rsidRPr="00A77267">
        <w:rPr>
          <w:i/>
        </w:rPr>
        <w:t>Access Charge Tariff Filings Introducing Broadband-only Loop Service</w:t>
      </w:r>
      <w:r w:rsidR="00A77267" w:rsidRPr="00A77267">
        <w:t>, Order, Docket No. 16-317 (WCB Oct. 6, 2016)</w:t>
      </w:r>
      <w:r w:rsidR="00A77267">
        <w:t xml:space="preserve"> (</w:t>
      </w:r>
      <w:r w:rsidR="00A77267">
        <w:rPr>
          <w:i/>
        </w:rPr>
        <w:t>Broadband-only Loop Service TRP Order</w:t>
      </w:r>
      <w:r w:rsidR="00A77267">
        <w:t>)</w:t>
      </w:r>
      <w:r w:rsidR="00A77267" w:rsidRPr="00A77267">
        <w:t>.</w:t>
      </w:r>
    </w:p>
  </w:footnote>
  <w:footnote w:id="4">
    <w:p w14:paraId="7FB53114" w14:textId="77777777" w:rsidR="00591164" w:rsidRDefault="00591164" w:rsidP="00591164">
      <w:pPr>
        <w:pStyle w:val="FootnoteText"/>
      </w:pPr>
      <w:r>
        <w:rPr>
          <w:rStyle w:val="FootnoteReference"/>
        </w:rPr>
        <w:footnoteRef/>
      </w:r>
      <w:r>
        <w:t xml:space="preserve"> </w:t>
      </w:r>
      <w:r w:rsidR="00DB15CA">
        <w:rPr>
          <w:i/>
        </w:rPr>
        <w:t>Rate-of-Return Reform Order</w:t>
      </w:r>
      <w:r w:rsidR="00DB15CA">
        <w:t>, 31 FCC Rcd</w:t>
      </w:r>
      <w:r w:rsidRPr="001A1877">
        <w:t xml:space="preserve"> </w:t>
      </w:r>
      <w:r>
        <w:t>at 3089, para.1.</w:t>
      </w:r>
    </w:p>
  </w:footnote>
  <w:footnote w:id="5">
    <w:p w14:paraId="6528C3D9" w14:textId="77777777" w:rsidR="00591164" w:rsidRPr="001A1877" w:rsidRDefault="00591164" w:rsidP="00591164">
      <w:pPr>
        <w:pStyle w:val="FootnoteText"/>
      </w:pPr>
      <w:r w:rsidRPr="001A1877">
        <w:rPr>
          <w:rStyle w:val="FootnoteReference"/>
        </w:rPr>
        <w:footnoteRef/>
      </w:r>
      <w:r>
        <w:t xml:space="preserve"> </w:t>
      </w:r>
      <w:r w:rsidRPr="00652F46">
        <w:rPr>
          <w:i/>
        </w:rPr>
        <w:t>Id</w:t>
      </w:r>
      <w:r>
        <w:t>.</w:t>
      </w:r>
      <w:r w:rsidRPr="001A1877">
        <w:t xml:space="preserve"> </w:t>
      </w:r>
      <w:r>
        <w:t>at 3094-117, paras. 17-79</w:t>
      </w:r>
      <w:r w:rsidRPr="001A1877">
        <w:t xml:space="preserve">. </w:t>
      </w:r>
    </w:p>
  </w:footnote>
  <w:footnote w:id="6">
    <w:p w14:paraId="67EE5823" w14:textId="77777777" w:rsidR="00591164" w:rsidRPr="001A1877" w:rsidRDefault="00591164" w:rsidP="00591164">
      <w:pPr>
        <w:pStyle w:val="FootnoteText"/>
      </w:pPr>
      <w:r w:rsidRPr="001A1877">
        <w:rPr>
          <w:rStyle w:val="FootnoteReference"/>
        </w:rPr>
        <w:footnoteRef/>
      </w:r>
      <w:r w:rsidRPr="001A1877">
        <w:t xml:space="preserve"> </w:t>
      </w:r>
      <w:r>
        <w:rPr>
          <w:i/>
        </w:rPr>
        <w:t xml:space="preserve">Id. </w:t>
      </w:r>
      <w:r>
        <w:t>at 3117-57, paras. 80-187.</w:t>
      </w:r>
      <w:r w:rsidRPr="001A1877">
        <w:t xml:space="preserve"> </w:t>
      </w:r>
    </w:p>
  </w:footnote>
  <w:footnote w:id="7">
    <w:p w14:paraId="3DB81DAB" w14:textId="77777777" w:rsidR="00591164" w:rsidRPr="001A1877" w:rsidRDefault="00591164" w:rsidP="00591164">
      <w:pPr>
        <w:pStyle w:val="FootnoteText"/>
      </w:pPr>
      <w:r w:rsidRPr="001A1877">
        <w:rPr>
          <w:rStyle w:val="FootnoteReference"/>
        </w:rPr>
        <w:footnoteRef/>
      </w:r>
      <w:r w:rsidRPr="001A1877">
        <w:t xml:space="preserve"> </w:t>
      </w:r>
      <w:r w:rsidRPr="00343BD1">
        <w:rPr>
          <w:i/>
        </w:rPr>
        <w:t>Id</w:t>
      </w:r>
      <w:r>
        <w:t>. at 3157-62, paras. 188-204.</w:t>
      </w:r>
      <w:r w:rsidRPr="001A1877">
        <w:t xml:space="preserve"> </w:t>
      </w:r>
    </w:p>
  </w:footnote>
  <w:footnote w:id="8">
    <w:p w14:paraId="2773A7C0" w14:textId="108B67BE" w:rsidR="009076A0" w:rsidRDefault="009076A0">
      <w:pPr>
        <w:pStyle w:val="FootnoteText"/>
      </w:pPr>
      <w:r>
        <w:rPr>
          <w:rStyle w:val="FootnoteReference"/>
        </w:rPr>
        <w:footnoteRef/>
      </w:r>
      <w:r>
        <w:t xml:space="preserve"> </w:t>
      </w:r>
      <w:r w:rsidRPr="003E521F">
        <w:rPr>
          <w:i/>
        </w:rPr>
        <w:t>See</w:t>
      </w:r>
      <w:r>
        <w:t xml:space="preserve"> </w:t>
      </w:r>
      <w:r w:rsidRPr="003E521F">
        <w:rPr>
          <w:i/>
        </w:rPr>
        <w:t>USF/ICC Transformation Order</w:t>
      </w:r>
      <w:r>
        <w:t>, 26 FCC Rcd at 17987- 96, paras. 905-20.</w:t>
      </w:r>
    </w:p>
  </w:footnote>
  <w:footnote w:id="9">
    <w:p w14:paraId="31A6C53C" w14:textId="77777777" w:rsidR="00F85CA1" w:rsidRPr="003E521F" w:rsidRDefault="00F85CA1" w:rsidP="00F85CA1">
      <w:pPr>
        <w:pStyle w:val="FootnoteText"/>
      </w:pPr>
      <w:r w:rsidRPr="003E521F">
        <w:rPr>
          <w:rStyle w:val="FootnoteReference"/>
        </w:rPr>
        <w:footnoteRef/>
      </w:r>
      <w:r w:rsidRPr="003E521F">
        <w:t xml:space="preserve"> </w:t>
      </w:r>
      <w:r w:rsidR="002C46F9">
        <w:rPr>
          <w:i/>
        </w:rPr>
        <w:t>See id.</w:t>
      </w:r>
      <w:r w:rsidRPr="003E521F" w:rsidDel="007B58D2">
        <w:rPr>
          <w:i/>
        </w:rPr>
        <w:t xml:space="preserve"> </w:t>
      </w:r>
      <w:r w:rsidRPr="003E521F">
        <w:t xml:space="preserve">at </w:t>
      </w:r>
      <w:r w:rsidR="002C46F9">
        <w:t xml:space="preserve">17904, para. 740, 17932, para. 798, 17934, para. 801, </w:t>
      </w:r>
      <w:r w:rsidR="002C46F9" w:rsidRPr="003E521F">
        <w:t>7117956-87, paras. 847-904</w:t>
      </w:r>
      <w:r w:rsidR="002C46F9">
        <w:t xml:space="preserve">, </w:t>
      </w:r>
      <w:r w:rsidR="002C46F9" w:rsidRPr="003E521F">
        <w:t>18026-28, paras. 970-</w:t>
      </w:r>
      <w:r w:rsidR="002C46F9">
        <w:t>71.</w:t>
      </w:r>
    </w:p>
  </w:footnote>
  <w:footnote w:id="10">
    <w:p w14:paraId="65E951DB" w14:textId="77777777" w:rsidR="00E61BF4" w:rsidRDefault="00E61BF4" w:rsidP="00E61BF4">
      <w:pPr>
        <w:pStyle w:val="FootnoteText"/>
      </w:pPr>
      <w:r>
        <w:rPr>
          <w:rStyle w:val="FootnoteReference"/>
        </w:rPr>
        <w:footnoteRef/>
      </w:r>
      <w:r>
        <w:rPr>
          <w:i/>
        </w:rPr>
        <w:t xml:space="preserve"> </w:t>
      </w:r>
      <w:r w:rsidRPr="003E521F">
        <w:t>Incumbent LECs are authorized to charge ARCs, subject to annual caps</w:t>
      </w:r>
      <w:r>
        <w:t xml:space="preserve"> and to an overall rate ceiling</w:t>
      </w:r>
      <w:r w:rsidRPr="003E521F">
        <w:t xml:space="preserve">.  </w:t>
      </w:r>
      <w:r w:rsidRPr="003E521F">
        <w:rPr>
          <w:i/>
        </w:rPr>
        <w:t>See USF/ICC Transformation Order</w:t>
      </w:r>
      <w:r w:rsidRPr="003E521F">
        <w:t>,</w:t>
      </w:r>
      <w:r w:rsidRPr="003E521F">
        <w:rPr>
          <w:i/>
        </w:rPr>
        <w:t xml:space="preserve"> </w:t>
      </w:r>
      <w:r w:rsidR="000F30B0">
        <w:t>26 FCC Rcd at 17988-89, paras. 908-09, 17991-92, paras. 913-15</w:t>
      </w:r>
      <w:r w:rsidRPr="003E521F">
        <w:t xml:space="preserve">; </w:t>
      </w:r>
      <w:r w:rsidRPr="003E521F">
        <w:rPr>
          <w:i/>
        </w:rPr>
        <w:t>see also</w:t>
      </w:r>
      <w:r w:rsidRPr="003E521F">
        <w:t xml:space="preserve"> 47 </w:t>
      </w:r>
      <w:r>
        <w:t>CFR</w:t>
      </w:r>
      <w:r w:rsidRPr="003E521F">
        <w:t xml:space="preserve"> §§ 51.915(e), 51.917(e).</w:t>
      </w:r>
    </w:p>
  </w:footnote>
  <w:footnote w:id="11">
    <w:p w14:paraId="42F62E34" w14:textId="77777777" w:rsidR="00E61BF4" w:rsidRPr="003E521F" w:rsidRDefault="00E61BF4" w:rsidP="00E61BF4">
      <w:pPr>
        <w:pStyle w:val="FootnoteText"/>
      </w:pPr>
      <w:r w:rsidRPr="003E521F">
        <w:rPr>
          <w:rStyle w:val="FootnoteReference"/>
        </w:rPr>
        <w:footnoteRef/>
      </w:r>
      <w:r w:rsidRPr="003E521F">
        <w:t xml:space="preserve"> </w:t>
      </w:r>
      <w:r w:rsidRPr="003E521F">
        <w:rPr>
          <w:i/>
        </w:rPr>
        <w:t>See USF/ICC Transformation Order</w:t>
      </w:r>
      <w:r w:rsidRPr="003E521F">
        <w:t>, 26 FCC Rcd at 17981, para. 896.</w:t>
      </w:r>
    </w:p>
  </w:footnote>
  <w:footnote w:id="12">
    <w:p w14:paraId="79574D17" w14:textId="77777777" w:rsidR="000F30B0" w:rsidRDefault="000F30B0">
      <w:pPr>
        <w:pStyle w:val="FootnoteText"/>
      </w:pPr>
      <w:r>
        <w:rPr>
          <w:rStyle w:val="FootnoteReference"/>
        </w:rPr>
        <w:footnoteRef/>
      </w:r>
      <w:r>
        <w:t xml:space="preserve"> </w:t>
      </w:r>
      <w:r w:rsidRPr="003E521F">
        <w:rPr>
          <w:i/>
        </w:rPr>
        <w:t>See id.</w:t>
      </w:r>
      <w:r w:rsidRPr="003E521F">
        <w:t xml:space="preserve"> at 17985-86</w:t>
      </w:r>
      <w:r>
        <w:t>8</w:t>
      </w:r>
      <w:r w:rsidRPr="003E521F">
        <w:t>,</w:t>
      </w:r>
      <w:r>
        <w:t xml:space="preserve"> </w:t>
      </w:r>
      <w:r w:rsidRPr="003E521F">
        <w:t>para</w:t>
      </w:r>
      <w:r>
        <w:t>s</w:t>
      </w:r>
      <w:r w:rsidRPr="003E521F">
        <w:t>. 903</w:t>
      </w:r>
      <w:r>
        <w:t>-06.</w:t>
      </w:r>
    </w:p>
  </w:footnote>
  <w:footnote w:id="13">
    <w:p w14:paraId="25356125" w14:textId="571BDB2C" w:rsidR="00591164" w:rsidRDefault="00591164">
      <w:pPr>
        <w:pStyle w:val="FootnoteText"/>
      </w:pPr>
      <w:r>
        <w:rPr>
          <w:rStyle w:val="FootnoteReference"/>
        </w:rPr>
        <w:footnoteRef/>
      </w:r>
      <w:r w:rsidR="00DB15CA">
        <w:t xml:space="preserve"> </w:t>
      </w:r>
      <w:r w:rsidR="00DB15CA" w:rsidRPr="00DB15CA">
        <w:rPr>
          <w:i/>
        </w:rPr>
        <w:t xml:space="preserve">See </w:t>
      </w:r>
      <w:r w:rsidR="00DB15CA">
        <w:rPr>
          <w:i/>
        </w:rPr>
        <w:t>Rate of Return Order</w:t>
      </w:r>
      <w:r w:rsidR="00DB15CA">
        <w:t>, 31 FCC Rc</w:t>
      </w:r>
      <w:r w:rsidR="009076A0">
        <w:t xml:space="preserve">d at 3161-62, para. 203. </w:t>
      </w:r>
    </w:p>
  </w:footnote>
  <w:footnote w:id="14">
    <w:p w14:paraId="0BDC909A" w14:textId="77777777" w:rsidR="005E1F1A" w:rsidRDefault="005E1F1A">
      <w:pPr>
        <w:pStyle w:val="FootnoteText"/>
      </w:pPr>
      <w:r>
        <w:rPr>
          <w:rStyle w:val="FootnoteReference"/>
        </w:rPr>
        <w:footnoteRef/>
      </w:r>
      <w:r w:rsidR="00DB15CA">
        <w:t xml:space="preserve"> </w:t>
      </w:r>
      <w:r w:rsidR="00DB15CA" w:rsidRPr="00DB15CA">
        <w:rPr>
          <w:i/>
        </w:rPr>
        <w:t>Id</w:t>
      </w:r>
      <w:r w:rsidR="00DB15CA">
        <w:t>.</w:t>
      </w:r>
    </w:p>
  </w:footnote>
  <w:footnote w:id="15">
    <w:p w14:paraId="6611F36E" w14:textId="6F2E6BD5" w:rsidR="00231F07" w:rsidRDefault="00815B1C" w:rsidP="00231F07">
      <w:pPr>
        <w:pStyle w:val="FootnoteText"/>
      </w:pPr>
      <w:r>
        <w:rPr>
          <w:rStyle w:val="FootnoteReference"/>
        </w:rPr>
        <w:footnoteRef/>
      </w:r>
      <w:r>
        <w:t xml:space="preserve"> </w:t>
      </w:r>
      <w:r w:rsidR="008079B0">
        <w:rPr>
          <w:i/>
        </w:rPr>
        <w:t>Broadband-only Loop Service TRP Order</w:t>
      </w:r>
      <w:r w:rsidR="00231F07">
        <w:t>.</w:t>
      </w:r>
    </w:p>
    <w:p w14:paraId="27A4145A" w14:textId="0E82142B" w:rsidR="00815B1C" w:rsidRDefault="00815B1C" w:rsidP="00815B1C">
      <w:pPr>
        <w:pStyle w:val="FootnoteText"/>
      </w:pPr>
      <w:r>
        <w:t xml:space="preserve">  </w:t>
      </w:r>
    </w:p>
  </w:footnote>
  <w:footnote w:id="16">
    <w:p w14:paraId="5CAD8135" w14:textId="77777777" w:rsidR="006E4FC5" w:rsidRPr="0042150C" w:rsidRDefault="006E4FC5">
      <w:pPr>
        <w:pStyle w:val="FootnoteText"/>
      </w:pPr>
      <w:r>
        <w:rPr>
          <w:rStyle w:val="FootnoteReference"/>
        </w:rPr>
        <w:footnoteRef/>
      </w:r>
      <w:r>
        <w:t xml:space="preserve"> </w:t>
      </w:r>
      <w:r w:rsidR="0042150C">
        <w:rPr>
          <w:i/>
        </w:rPr>
        <w:t>Broadband-only Loop Service TRP Order</w:t>
      </w:r>
      <w:r w:rsidR="0042150C">
        <w:t xml:space="preserve"> at para. 11.</w:t>
      </w:r>
    </w:p>
  </w:footnote>
  <w:footnote w:id="17">
    <w:p w14:paraId="0742B728" w14:textId="08C22201" w:rsidR="00A97514" w:rsidRDefault="00A97514" w:rsidP="00A97514">
      <w:pPr>
        <w:pStyle w:val="FootnoteText"/>
      </w:pPr>
      <w:r>
        <w:rPr>
          <w:rStyle w:val="FootnoteReference"/>
        </w:rPr>
        <w:footnoteRef/>
      </w:r>
      <w:r>
        <w:t xml:space="preserve"> 47 </w:t>
      </w:r>
      <w:r w:rsidR="00A77267">
        <w:t>CFR</w:t>
      </w:r>
      <w:r>
        <w:t xml:space="preserve"> § 1.1</w:t>
      </w:r>
      <w:r w:rsidR="0022694B">
        <w:t>13(a)</w:t>
      </w:r>
      <w:r>
        <w:t>.</w:t>
      </w:r>
    </w:p>
  </w:footnote>
  <w:footnote w:id="18">
    <w:p w14:paraId="25793866" w14:textId="6946C8C2" w:rsidR="00A97514" w:rsidRDefault="00A97514" w:rsidP="00A97514">
      <w:pPr>
        <w:pStyle w:val="FootnoteText"/>
      </w:pPr>
      <w:r>
        <w:rPr>
          <w:rStyle w:val="FootnoteReference"/>
        </w:rPr>
        <w:footnoteRef/>
      </w:r>
      <w:r>
        <w:t xml:space="preserve"> 47 </w:t>
      </w:r>
      <w:r w:rsidR="00A77267">
        <w:t>CFR</w:t>
      </w:r>
      <w:r>
        <w:t xml:space="preserve"> §§ 1.106(k)(1), 1.1</w:t>
      </w:r>
      <w:r w:rsidR="0022694B">
        <w:t>13(a)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99EE2" w14:textId="77777777" w:rsidR="00ED526C" w:rsidRDefault="00ED5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BBDF3" w14:textId="468E54AE" w:rsidR="00D25FB5" w:rsidRDefault="00D25FB5" w:rsidP="00810B6F">
    <w:pPr>
      <w:pStyle w:val="Header"/>
      <w:rPr>
        <w:b w:val="0"/>
      </w:rPr>
    </w:pPr>
    <w:r>
      <w:tab/>
      <w:t>Federal Communications Commission</w:t>
    </w:r>
    <w:r>
      <w:tab/>
    </w:r>
    <w:r w:rsidR="00B129AC">
      <w:t>DA 16-</w:t>
    </w:r>
    <w:r w:rsidR="004949E7">
      <w:t>1258</w:t>
    </w:r>
  </w:p>
  <w:p w14:paraId="19D2DFB5" w14:textId="77777777" w:rsidR="00D25FB5" w:rsidRDefault="00A01FB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FA13FE1" wp14:editId="781C8CA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27709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9DCE0B8"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4381" w14:textId="2163E694" w:rsidR="00D25FB5" w:rsidRDefault="00A01FB1" w:rsidP="00810B6F">
    <w:pPr>
      <w:pStyle w:val="Header"/>
      <w:rPr>
        <w:b w:val="0"/>
      </w:rPr>
    </w:pPr>
    <w:r>
      <w:rPr>
        <w:noProof/>
      </w:rPr>
      <mc:AlternateContent>
        <mc:Choice Requires="wps">
          <w:drawing>
            <wp:anchor distT="0" distB="0" distL="114300" distR="114300" simplePos="0" relativeHeight="251658240" behindDoc="1" locked="0" layoutInCell="0" allowOverlap="1" wp14:anchorId="7A4BD9EC" wp14:editId="4AF4200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BCEF1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84986">
      <w:rPr>
        <w:spacing w:val="-2"/>
      </w:rPr>
      <w:t>DA 16-</w:t>
    </w:r>
    <w:r w:rsidR="004949E7">
      <w:rPr>
        <w:spacing w:val="-2"/>
      </w:rPr>
      <w:t>1258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 w:numId="9">
    <w:abstractNumId w:val="6"/>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44"/>
    <w:rsid w:val="00035872"/>
    <w:rsid w:val="00036039"/>
    <w:rsid w:val="00037F90"/>
    <w:rsid w:val="00043708"/>
    <w:rsid w:val="000875BF"/>
    <w:rsid w:val="000951CB"/>
    <w:rsid w:val="00096D8C"/>
    <w:rsid w:val="000B35AA"/>
    <w:rsid w:val="000C0B65"/>
    <w:rsid w:val="000E05FE"/>
    <w:rsid w:val="000E3D42"/>
    <w:rsid w:val="000E7412"/>
    <w:rsid w:val="000F30B0"/>
    <w:rsid w:val="00122BD5"/>
    <w:rsid w:val="00133F79"/>
    <w:rsid w:val="001615E4"/>
    <w:rsid w:val="00181CC4"/>
    <w:rsid w:val="00194A66"/>
    <w:rsid w:val="001D6BCF"/>
    <w:rsid w:val="001E01CA"/>
    <w:rsid w:val="001E4A93"/>
    <w:rsid w:val="001E65E6"/>
    <w:rsid w:val="00201270"/>
    <w:rsid w:val="0022694B"/>
    <w:rsid w:val="00231F07"/>
    <w:rsid w:val="00232315"/>
    <w:rsid w:val="002426B3"/>
    <w:rsid w:val="00251B0C"/>
    <w:rsid w:val="00275CF5"/>
    <w:rsid w:val="0028301F"/>
    <w:rsid w:val="00285017"/>
    <w:rsid w:val="002A2D2E"/>
    <w:rsid w:val="002C00E8"/>
    <w:rsid w:val="002C46F9"/>
    <w:rsid w:val="002C7D0B"/>
    <w:rsid w:val="002D02B0"/>
    <w:rsid w:val="002E48AC"/>
    <w:rsid w:val="003335E8"/>
    <w:rsid w:val="00343749"/>
    <w:rsid w:val="003660ED"/>
    <w:rsid w:val="003B0550"/>
    <w:rsid w:val="003B694F"/>
    <w:rsid w:val="003F171C"/>
    <w:rsid w:val="0040726C"/>
    <w:rsid w:val="00412FC5"/>
    <w:rsid w:val="0042150C"/>
    <w:rsid w:val="00422276"/>
    <w:rsid w:val="004242F1"/>
    <w:rsid w:val="00430C8B"/>
    <w:rsid w:val="00445A00"/>
    <w:rsid w:val="00451B0F"/>
    <w:rsid w:val="004836AB"/>
    <w:rsid w:val="004949E7"/>
    <w:rsid w:val="004C2EE3"/>
    <w:rsid w:val="004C4621"/>
    <w:rsid w:val="004D2644"/>
    <w:rsid w:val="004D3BB9"/>
    <w:rsid w:val="004D4AE3"/>
    <w:rsid w:val="004D4F4F"/>
    <w:rsid w:val="004E4A22"/>
    <w:rsid w:val="00511968"/>
    <w:rsid w:val="00547966"/>
    <w:rsid w:val="0055614C"/>
    <w:rsid w:val="0057211A"/>
    <w:rsid w:val="0058237C"/>
    <w:rsid w:val="00584EAD"/>
    <w:rsid w:val="00591164"/>
    <w:rsid w:val="00592AF3"/>
    <w:rsid w:val="005B7FFB"/>
    <w:rsid w:val="005E14C2"/>
    <w:rsid w:val="005E1F1A"/>
    <w:rsid w:val="00607BA5"/>
    <w:rsid w:val="0061180A"/>
    <w:rsid w:val="00626EB6"/>
    <w:rsid w:val="00655D03"/>
    <w:rsid w:val="00675297"/>
    <w:rsid w:val="00683388"/>
    <w:rsid w:val="00683F84"/>
    <w:rsid w:val="006A029B"/>
    <w:rsid w:val="006A6A81"/>
    <w:rsid w:val="006E4FC5"/>
    <w:rsid w:val="006E792E"/>
    <w:rsid w:val="006F7393"/>
    <w:rsid w:val="0070224F"/>
    <w:rsid w:val="007115F7"/>
    <w:rsid w:val="0072799E"/>
    <w:rsid w:val="007374D6"/>
    <w:rsid w:val="00747D2C"/>
    <w:rsid w:val="00785689"/>
    <w:rsid w:val="00787271"/>
    <w:rsid w:val="0079754B"/>
    <w:rsid w:val="007A1E6D"/>
    <w:rsid w:val="007B0EB2"/>
    <w:rsid w:val="007C472F"/>
    <w:rsid w:val="007C547D"/>
    <w:rsid w:val="008050ED"/>
    <w:rsid w:val="008079B0"/>
    <w:rsid w:val="00810B6F"/>
    <w:rsid w:val="00813D9B"/>
    <w:rsid w:val="00815B1C"/>
    <w:rsid w:val="00822CE0"/>
    <w:rsid w:val="00841AB1"/>
    <w:rsid w:val="008921D3"/>
    <w:rsid w:val="008C68F1"/>
    <w:rsid w:val="008E1DBB"/>
    <w:rsid w:val="00903633"/>
    <w:rsid w:val="009076A0"/>
    <w:rsid w:val="009112C9"/>
    <w:rsid w:val="00921803"/>
    <w:rsid w:val="00926503"/>
    <w:rsid w:val="009349D6"/>
    <w:rsid w:val="00945D55"/>
    <w:rsid w:val="009506F7"/>
    <w:rsid w:val="00962C7D"/>
    <w:rsid w:val="009726D8"/>
    <w:rsid w:val="00974D66"/>
    <w:rsid w:val="009869BD"/>
    <w:rsid w:val="009F76DB"/>
    <w:rsid w:val="00A01FB1"/>
    <w:rsid w:val="00A32C3B"/>
    <w:rsid w:val="00A45F4F"/>
    <w:rsid w:val="00A600A9"/>
    <w:rsid w:val="00A75D1E"/>
    <w:rsid w:val="00A77267"/>
    <w:rsid w:val="00A97514"/>
    <w:rsid w:val="00AA55B7"/>
    <w:rsid w:val="00AA5B9E"/>
    <w:rsid w:val="00AB2407"/>
    <w:rsid w:val="00AB53DF"/>
    <w:rsid w:val="00B05D6F"/>
    <w:rsid w:val="00B07E5C"/>
    <w:rsid w:val="00B129AC"/>
    <w:rsid w:val="00B811F7"/>
    <w:rsid w:val="00B95135"/>
    <w:rsid w:val="00BA5DC6"/>
    <w:rsid w:val="00BA6196"/>
    <w:rsid w:val="00BB3A86"/>
    <w:rsid w:val="00BC6D8C"/>
    <w:rsid w:val="00C04CCE"/>
    <w:rsid w:val="00C06579"/>
    <w:rsid w:val="00C34006"/>
    <w:rsid w:val="00C426B1"/>
    <w:rsid w:val="00C46F7E"/>
    <w:rsid w:val="00C66160"/>
    <w:rsid w:val="00C721AC"/>
    <w:rsid w:val="00C90D6A"/>
    <w:rsid w:val="00C9651C"/>
    <w:rsid w:val="00C97191"/>
    <w:rsid w:val="00CA247E"/>
    <w:rsid w:val="00CC72B6"/>
    <w:rsid w:val="00CD239C"/>
    <w:rsid w:val="00D0218D"/>
    <w:rsid w:val="00D0685B"/>
    <w:rsid w:val="00D25FB5"/>
    <w:rsid w:val="00D44223"/>
    <w:rsid w:val="00D4475F"/>
    <w:rsid w:val="00D612EB"/>
    <w:rsid w:val="00D84986"/>
    <w:rsid w:val="00DA2529"/>
    <w:rsid w:val="00DB130A"/>
    <w:rsid w:val="00DB15CA"/>
    <w:rsid w:val="00DB2EBB"/>
    <w:rsid w:val="00DB75E3"/>
    <w:rsid w:val="00DC10A1"/>
    <w:rsid w:val="00DC655F"/>
    <w:rsid w:val="00DD0B59"/>
    <w:rsid w:val="00DD7EBD"/>
    <w:rsid w:val="00DF62B6"/>
    <w:rsid w:val="00E05A87"/>
    <w:rsid w:val="00E07225"/>
    <w:rsid w:val="00E5409F"/>
    <w:rsid w:val="00E54A98"/>
    <w:rsid w:val="00E61BF4"/>
    <w:rsid w:val="00E64D01"/>
    <w:rsid w:val="00E82BE0"/>
    <w:rsid w:val="00E90313"/>
    <w:rsid w:val="00EC40D9"/>
    <w:rsid w:val="00ED526C"/>
    <w:rsid w:val="00EE6488"/>
    <w:rsid w:val="00F021FA"/>
    <w:rsid w:val="00F42B9C"/>
    <w:rsid w:val="00F62E97"/>
    <w:rsid w:val="00F64209"/>
    <w:rsid w:val="00F70180"/>
    <w:rsid w:val="00F77B77"/>
    <w:rsid w:val="00F85CA1"/>
    <w:rsid w:val="00F93BF5"/>
    <w:rsid w:val="00F9541F"/>
    <w:rsid w:val="00FA6AFB"/>
    <w:rsid w:val="00FB3372"/>
    <w:rsid w:val="00FE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AA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Indent2">
    <w:name w:val="Body Text Indent 2"/>
    <w:basedOn w:val="Normal"/>
    <w:link w:val="BodyTextIndent2Char"/>
    <w:rsid w:val="004D2644"/>
    <w:pPr>
      <w:widowControl/>
      <w:spacing w:after="120" w:line="480" w:lineRule="auto"/>
      <w:ind w:left="360"/>
    </w:pPr>
    <w:rPr>
      <w:snapToGrid/>
      <w:kern w:val="0"/>
    </w:rPr>
  </w:style>
  <w:style w:type="character" w:customStyle="1" w:styleId="BodyTextIndent2Char">
    <w:name w:val="Body Text Indent 2 Char"/>
    <w:basedOn w:val="DefaultParagraphFont"/>
    <w:link w:val="BodyTextIndent2"/>
    <w:rsid w:val="004D2644"/>
    <w:rPr>
      <w:sz w:val="22"/>
    </w:rPr>
  </w:style>
  <w:style w:type="character" w:customStyle="1" w:styleId="ParaNumCharChar1">
    <w:name w:val="ParaNum Char Char1"/>
    <w:link w:val="ParaNum"/>
    <w:locked/>
    <w:rsid w:val="004D2644"/>
    <w:rPr>
      <w:snapToGrid w:val="0"/>
      <w:kern w:val="28"/>
      <w:sz w:val="22"/>
    </w:rPr>
  </w:style>
  <w:style w:type="character" w:customStyle="1" w:styleId="FooterChar">
    <w:name w:val="Footer Char"/>
    <w:link w:val="Footer"/>
    <w:uiPriority w:val="99"/>
    <w:rsid w:val="004D2644"/>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58237C"/>
  </w:style>
  <w:style w:type="character" w:customStyle="1" w:styleId="Heading1Char">
    <w:name w:val="Heading 1 Char"/>
    <w:link w:val="Heading1"/>
    <w:rsid w:val="00A97514"/>
    <w:rPr>
      <w:rFonts w:ascii="Times New Roman Bold" w:hAnsi="Times New Roman Bold"/>
      <w:b/>
      <w:caps/>
      <w:snapToGrid w:val="0"/>
      <w:kern w:val="28"/>
      <w:sz w:val="22"/>
    </w:rPr>
  </w:style>
  <w:style w:type="paragraph" w:styleId="BalloonText">
    <w:name w:val="Balloon Text"/>
    <w:basedOn w:val="Normal"/>
    <w:link w:val="BalloonTextChar"/>
    <w:rsid w:val="00591164"/>
    <w:rPr>
      <w:rFonts w:ascii="Segoe UI" w:hAnsi="Segoe UI" w:cs="Segoe UI"/>
      <w:sz w:val="18"/>
      <w:szCs w:val="18"/>
    </w:rPr>
  </w:style>
  <w:style w:type="character" w:customStyle="1" w:styleId="BalloonTextChar">
    <w:name w:val="Balloon Text Char"/>
    <w:basedOn w:val="DefaultParagraphFont"/>
    <w:link w:val="BalloonText"/>
    <w:rsid w:val="00591164"/>
    <w:rPr>
      <w:rFonts w:ascii="Segoe UI" w:hAnsi="Segoe UI" w:cs="Segoe UI"/>
      <w:snapToGrid w:val="0"/>
      <w:kern w:val="28"/>
      <w:sz w:val="18"/>
      <w:szCs w:val="18"/>
    </w:rPr>
  </w:style>
  <w:style w:type="character" w:styleId="CommentReference">
    <w:name w:val="annotation reference"/>
    <w:basedOn w:val="DefaultParagraphFont"/>
    <w:rsid w:val="00547966"/>
    <w:rPr>
      <w:sz w:val="16"/>
      <w:szCs w:val="16"/>
    </w:rPr>
  </w:style>
  <w:style w:type="paragraph" w:styleId="CommentText">
    <w:name w:val="annotation text"/>
    <w:basedOn w:val="Normal"/>
    <w:link w:val="CommentTextChar"/>
    <w:rsid w:val="00547966"/>
    <w:rPr>
      <w:sz w:val="20"/>
    </w:rPr>
  </w:style>
  <w:style w:type="character" w:customStyle="1" w:styleId="CommentTextChar">
    <w:name w:val="Comment Text Char"/>
    <w:basedOn w:val="DefaultParagraphFont"/>
    <w:link w:val="CommentText"/>
    <w:rsid w:val="00547966"/>
    <w:rPr>
      <w:snapToGrid w:val="0"/>
      <w:kern w:val="28"/>
    </w:rPr>
  </w:style>
  <w:style w:type="paragraph" w:styleId="CommentSubject">
    <w:name w:val="annotation subject"/>
    <w:basedOn w:val="CommentText"/>
    <w:next w:val="CommentText"/>
    <w:link w:val="CommentSubjectChar"/>
    <w:rsid w:val="00547966"/>
    <w:rPr>
      <w:b/>
      <w:bCs/>
    </w:rPr>
  </w:style>
  <w:style w:type="character" w:customStyle="1" w:styleId="CommentSubjectChar">
    <w:name w:val="Comment Subject Char"/>
    <w:basedOn w:val="CommentTextChar"/>
    <w:link w:val="CommentSubject"/>
    <w:rsid w:val="00547966"/>
    <w:rPr>
      <w:b/>
      <w:bCs/>
      <w:snapToGrid w:val="0"/>
      <w:kern w:val="28"/>
    </w:rPr>
  </w:style>
  <w:style w:type="character" w:customStyle="1" w:styleId="FootnoteTextChar2Char">
    <w:name w:val="Footnote Text Char2 Char"/>
    <w:aliases w:val="Footnote Text Char5 Char Char,Footnote Text Char3 Char1 Char2 Char,Footnote Text Char2 Char1 Char1 Char Char,Footnote Text Char3 Char1 Char2 Char Char Char,Footnote Text Char2 Char1 Char1 Char Char Char Char"/>
    <w:basedOn w:val="DefaultParagraphFont"/>
    <w:rsid w:val="00F85CA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Indent2">
    <w:name w:val="Body Text Indent 2"/>
    <w:basedOn w:val="Normal"/>
    <w:link w:val="BodyTextIndent2Char"/>
    <w:rsid w:val="004D2644"/>
    <w:pPr>
      <w:widowControl/>
      <w:spacing w:after="120" w:line="480" w:lineRule="auto"/>
      <w:ind w:left="360"/>
    </w:pPr>
    <w:rPr>
      <w:snapToGrid/>
      <w:kern w:val="0"/>
    </w:rPr>
  </w:style>
  <w:style w:type="character" w:customStyle="1" w:styleId="BodyTextIndent2Char">
    <w:name w:val="Body Text Indent 2 Char"/>
    <w:basedOn w:val="DefaultParagraphFont"/>
    <w:link w:val="BodyTextIndent2"/>
    <w:rsid w:val="004D2644"/>
    <w:rPr>
      <w:sz w:val="22"/>
    </w:rPr>
  </w:style>
  <w:style w:type="character" w:customStyle="1" w:styleId="ParaNumCharChar1">
    <w:name w:val="ParaNum Char Char1"/>
    <w:link w:val="ParaNum"/>
    <w:locked/>
    <w:rsid w:val="004D2644"/>
    <w:rPr>
      <w:snapToGrid w:val="0"/>
      <w:kern w:val="28"/>
      <w:sz w:val="22"/>
    </w:rPr>
  </w:style>
  <w:style w:type="character" w:customStyle="1" w:styleId="FooterChar">
    <w:name w:val="Footer Char"/>
    <w:link w:val="Footer"/>
    <w:uiPriority w:val="99"/>
    <w:rsid w:val="004D2644"/>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58237C"/>
  </w:style>
  <w:style w:type="character" w:customStyle="1" w:styleId="Heading1Char">
    <w:name w:val="Heading 1 Char"/>
    <w:link w:val="Heading1"/>
    <w:rsid w:val="00A97514"/>
    <w:rPr>
      <w:rFonts w:ascii="Times New Roman Bold" w:hAnsi="Times New Roman Bold"/>
      <w:b/>
      <w:caps/>
      <w:snapToGrid w:val="0"/>
      <w:kern w:val="28"/>
      <w:sz w:val="22"/>
    </w:rPr>
  </w:style>
  <w:style w:type="paragraph" w:styleId="BalloonText">
    <w:name w:val="Balloon Text"/>
    <w:basedOn w:val="Normal"/>
    <w:link w:val="BalloonTextChar"/>
    <w:rsid w:val="00591164"/>
    <w:rPr>
      <w:rFonts w:ascii="Segoe UI" w:hAnsi="Segoe UI" w:cs="Segoe UI"/>
      <w:sz w:val="18"/>
      <w:szCs w:val="18"/>
    </w:rPr>
  </w:style>
  <w:style w:type="character" w:customStyle="1" w:styleId="BalloonTextChar">
    <w:name w:val="Balloon Text Char"/>
    <w:basedOn w:val="DefaultParagraphFont"/>
    <w:link w:val="BalloonText"/>
    <w:rsid w:val="00591164"/>
    <w:rPr>
      <w:rFonts w:ascii="Segoe UI" w:hAnsi="Segoe UI" w:cs="Segoe UI"/>
      <w:snapToGrid w:val="0"/>
      <w:kern w:val="28"/>
      <w:sz w:val="18"/>
      <w:szCs w:val="18"/>
    </w:rPr>
  </w:style>
  <w:style w:type="character" w:styleId="CommentReference">
    <w:name w:val="annotation reference"/>
    <w:basedOn w:val="DefaultParagraphFont"/>
    <w:rsid w:val="00547966"/>
    <w:rPr>
      <w:sz w:val="16"/>
      <w:szCs w:val="16"/>
    </w:rPr>
  </w:style>
  <w:style w:type="paragraph" w:styleId="CommentText">
    <w:name w:val="annotation text"/>
    <w:basedOn w:val="Normal"/>
    <w:link w:val="CommentTextChar"/>
    <w:rsid w:val="00547966"/>
    <w:rPr>
      <w:sz w:val="20"/>
    </w:rPr>
  </w:style>
  <w:style w:type="character" w:customStyle="1" w:styleId="CommentTextChar">
    <w:name w:val="Comment Text Char"/>
    <w:basedOn w:val="DefaultParagraphFont"/>
    <w:link w:val="CommentText"/>
    <w:rsid w:val="00547966"/>
    <w:rPr>
      <w:snapToGrid w:val="0"/>
      <w:kern w:val="28"/>
    </w:rPr>
  </w:style>
  <w:style w:type="paragraph" w:styleId="CommentSubject">
    <w:name w:val="annotation subject"/>
    <w:basedOn w:val="CommentText"/>
    <w:next w:val="CommentText"/>
    <w:link w:val="CommentSubjectChar"/>
    <w:rsid w:val="00547966"/>
    <w:rPr>
      <w:b/>
      <w:bCs/>
    </w:rPr>
  </w:style>
  <w:style w:type="character" w:customStyle="1" w:styleId="CommentSubjectChar">
    <w:name w:val="Comment Subject Char"/>
    <w:basedOn w:val="CommentTextChar"/>
    <w:link w:val="CommentSubject"/>
    <w:rsid w:val="00547966"/>
    <w:rPr>
      <w:b/>
      <w:bCs/>
      <w:snapToGrid w:val="0"/>
      <w:kern w:val="28"/>
    </w:rPr>
  </w:style>
  <w:style w:type="character" w:customStyle="1" w:styleId="FootnoteTextChar2Char">
    <w:name w:val="Footnote Text Char2 Char"/>
    <w:aliases w:val="Footnote Text Char5 Char Char,Footnote Text Char3 Char1 Char2 Char,Footnote Text Char2 Char1 Char1 Char Char,Footnote Text Char3 Char1 Char2 Char Char Char,Footnote Text Char2 Char1 Char1 Char Char Char Char"/>
    <w:basedOn w:val="DefaultParagraphFont"/>
    <w:rsid w:val="00F85CA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1076</Words>
  <Characters>6144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2016-11-07T15:03:00Z</dcterms:created>
  <dcterms:modified xsi:type="dcterms:W3CDTF">2016-11-07T15:03:00Z</dcterms:modified>
  <cp:category> </cp:category>
  <cp:contentStatus> </cp:contentStatus>
</cp:coreProperties>
</file>