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C7C38" w14:textId="77777777" w:rsidR="00334EDE" w:rsidRPr="00BF46D1" w:rsidRDefault="00334EDE" w:rsidP="00582B5E">
      <w:pPr>
        <w:spacing w:after="0" w:line="240" w:lineRule="auto"/>
        <w:jc w:val="center"/>
        <w:rPr>
          <w:rFonts w:ascii="Times New Roman" w:hAnsi="Times New Roman" w:cs="Times New Roman"/>
          <w:b/>
        </w:rPr>
      </w:pPr>
      <w:bookmarkStart w:id="0" w:name="_GoBack"/>
      <w:bookmarkEnd w:id="0"/>
      <w:r w:rsidRPr="00BF46D1">
        <w:rPr>
          <w:rFonts w:ascii="Times New Roman" w:hAnsi="Times New Roman" w:cs="Times New Roman"/>
          <w:b/>
        </w:rPr>
        <w:t>Before the</w:t>
      </w:r>
    </w:p>
    <w:p w14:paraId="20C64BC2" w14:textId="77777777" w:rsidR="00334EDE" w:rsidRPr="00BF46D1" w:rsidRDefault="00334EDE" w:rsidP="00582B5E">
      <w:pPr>
        <w:spacing w:after="0" w:line="240" w:lineRule="auto"/>
        <w:jc w:val="center"/>
        <w:rPr>
          <w:rFonts w:ascii="Times New Roman" w:hAnsi="Times New Roman" w:cs="Times New Roman"/>
          <w:b/>
        </w:rPr>
      </w:pPr>
      <w:r w:rsidRPr="00BF46D1">
        <w:rPr>
          <w:rFonts w:ascii="Times New Roman" w:hAnsi="Times New Roman" w:cs="Times New Roman"/>
          <w:b/>
        </w:rPr>
        <w:t>Federal Communications Commission</w:t>
      </w:r>
    </w:p>
    <w:p w14:paraId="46212E7B" w14:textId="24EEFB1E" w:rsidR="00334EDE" w:rsidRPr="00BF46D1" w:rsidRDefault="00334EDE" w:rsidP="00582B5E">
      <w:pPr>
        <w:spacing w:after="0" w:line="240" w:lineRule="auto"/>
        <w:jc w:val="center"/>
        <w:rPr>
          <w:rFonts w:ascii="Times New Roman" w:hAnsi="Times New Roman" w:cs="Times New Roman"/>
          <w:b/>
        </w:rPr>
      </w:pPr>
      <w:r w:rsidRPr="00BF46D1">
        <w:rPr>
          <w:rFonts w:ascii="Times New Roman" w:hAnsi="Times New Roman" w:cs="Times New Roman"/>
          <w:b/>
        </w:rPr>
        <w:t>Washington, D.C. 20554</w:t>
      </w:r>
    </w:p>
    <w:p w14:paraId="0200FAEE" w14:textId="77777777" w:rsidR="00334EDE" w:rsidRPr="00BF46D1" w:rsidRDefault="00334EDE" w:rsidP="00582B5E">
      <w:pPr>
        <w:spacing w:after="0" w:line="240" w:lineRule="auto"/>
        <w:rPr>
          <w:rFonts w:ascii="Times New Roman" w:hAnsi="Times New Roman" w:cs="Times New Roman"/>
        </w:rPr>
      </w:pPr>
    </w:p>
    <w:tbl>
      <w:tblPr>
        <w:tblW w:w="0" w:type="auto"/>
        <w:tblLayout w:type="fixed"/>
        <w:tblLook w:val="0000" w:firstRow="0" w:lastRow="0" w:firstColumn="0" w:lastColumn="0" w:noHBand="0" w:noVBand="0"/>
      </w:tblPr>
      <w:tblGrid>
        <w:gridCol w:w="4698"/>
        <w:gridCol w:w="720"/>
        <w:gridCol w:w="4230"/>
      </w:tblGrid>
      <w:tr w:rsidR="00334EDE" w:rsidRPr="00BF46D1" w14:paraId="115E3055" w14:textId="77777777" w:rsidTr="001B790E">
        <w:tc>
          <w:tcPr>
            <w:tcW w:w="4698" w:type="dxa"/>
          </w:tcPr>
          <w:p w14:paraId="7AA7328E" w14:textId="095D545C" w:rsidR="00334EDE" w:rsidRPr="00BF46D1" w:rsidRDefault="00995F02" w:rsidP="00582B5E">
            <w:pPr>
              <w:spacing w:after="0" w:line="240" w:lineRule="auto"/>
              <w:ind w:right="-18"/>
              <w:rPr>
                <w:rFonts w:ascii="Times New Roman" w:hAnsi="Times New Roman" w:cs="Times New Roman"/>
              </w:rPr>
            </w:pPr>
            <w:r w:rsidRPr="00BF46D1">
              <w:rPr>
                <w:rFonts w:ascii="Times New Roman" w:hAnsi="Times New Roman" w:cs="Times New Roman"/>
              </w:rPr>
              <w:t>In the M</w:t>
            </w:r>
            <w:r w:rsidR="00334EDE" w:rsidRPr="00BF46D1">
              <w:rPr>
                <w:rFonts w:ascii="Times New Roman" w:hAnsi="Times New Roman" w:cs="Times New Roman"/>
              </w:rPr>
              <w:t>atter of</w:t>
            </w:r>
          </w:p>
          <w:p w14:paraId="7B4B7755" w14:textId="77777777" w:rsidR="00995F02" w:rsidRPr="00BF46D1" w:rsidRDefault="00995F02" w:rsidP="00582B5E">
            <w:pPr>
              <w:spacing w:after="0" w:line="240" w:lineRule="auto"/>
              <w:ind w:right="-18"/>
              <w:rPr>
                <w:rFonts w:ascii="Times New Roman" w:hAnsi="Times New Roman" w:cs="Times New Roman"/>
              </w:rPr>
            </w:pPr>
          </w:p>
          <w:p w14:paraId="192DF17D" w14:textId="77777777" w:rsidR="00995F02" w:rsidRPr="00BF46D1" w:rsidRDefault="00995F02" w:rsidP="00582B5E">
            <w:pPr>
              <w:spacing w:after="0" w:line="240" w:lineRule="auto"/>
              <w:ind w:right="-18"/>
              <w:rPr>
                <w:rFonts w:ascii="Times New Roman" w:hAnsi="Times New Roman" w:cs="Times New Roman"/>
              </w:rPr>
            </w:pPr>
            <w:r w:rsidRPr="00BF46D1">
              <w:rPr>
                <w:rFonts w:ascii="Times New Roman" w:hAnsi="Times New Roman" w:cs="Times New Roman"/>
              </w:rPr>
              <w:t>Rules and Regulations Implementing the Telephone Consumer Protection Act of 1991</w:t>
            </w:r>
          </w:p>
          <w:p w14:paraId="12961AC2" w14:textId="77777777" w:rsidR="00995F02" w:rsidRPr="00BF46D1" w:rsidRDefault="00995F02" w:rsidP="00582B5E">
            <w:pPr>
              <w:spacing w:after="0" w:line="240" w:lineRule="auto"/>
              <w:ind w:right="-18"/>
              <w:rPr>
                <w:rFonts w:ascii="Times New Roman" w:hAnsi="Times New Roman" w:cs="Times New Roman"/>
              </w:rPr>
            </w:pPr>
          </w:p>
          <w:p w14:paraId="13178BDD" w14:textId="5D34A8B3" w:rsidR="00B25AB0" w:rsidRPr="00BF46D1" w:rsidRDefault="005C4FB5" w:rsidP="00582B5E">
            <w:pPr>
              <w:spacing w:after="0" w:line="240" w:lineRule="auto"/>
              <w:ind w:right="-18"/>
              <w:rPr>
                <w:rFonts w:ascii="Times New Roman" w:hAnsi="Times New Roman" w:cs="Times New Roman"/>
              </w:rPr>
            </w:pPr>
            <w:r w:rsidRPr="00BF46D1">
              <w:rPr>
                <w:rFonts w:ascii="Times New Roman" w:hAnsi="Times New Roman" w:cs="Times New Roman"/>
              </w:rPr>
              <w:t>Mortgage Bankers Association</w:t>
            </w:r>
            <w:r w:rsidR="00995F02" w:rsidRPr="00BF46D1">
              <w:rPr>
                <w:rFonts w:ascii="Times New Roman" w:hAnsi="Times New Roman" w:cs="Times New Roman"/>
              </w:rPr>
              <w:t xml:space="preserve"> </w:t>
            </w:r>
            <w:r w:rsidR="00EE3F37" w:rsidRPr="00BF46D1">
              <w:rPr>
                <w:rFonts w:ascii="Times New Roman" w:hAnsi="Times New Roman" w:cs="Times New Roman"/>
              </w:rPr>
              <w:br/>
              <w:t xml:space="preserve">Petition </w:t>
            </w:r>
            <w:r w:rsidR="00995F02" w:rsidRPr="00BF46D1">
              <w:rPr>
                <w:rFonts w:ascii="Times New Roman" w:hAnsi="Times New Roman" w:cs="Times New Roman"/>
              </w:rPr>
              <w:t xml:space="preserve">for </w:t>
            </w:r>
            <w:r w:rsidRPr="00BF46D1">
              <w:rPr>
                <w:rFonts w:ascii="Times New Roman" w:hAnsi="Times New Roman" w:cs="Times New Roman"/>
              </w:rPr>
              <w:t xml:space="preserve">Exemption </w:t>
            </w:r>
          </w:p>
          <w:p w14:paraId="6ECE9292" w14:textId="77777777" w:rsidR="00334EDE" w:rsidRPr="00BF46D1" w:rsidRDefault="00334EDE" w:rsidP="00582B5E">
            <w:pPr>
              <w:spacing w:after="0" w:line="240" w:lineRule="auto"/>
              <w:ind w:right="-18"/>
              <w:rPr>
                <w:rFonts w:ascii="Times New Roman" w:hAnsi="Times New Roman" w:cs="Times New Roman"/>
              </w:rPr>
            </w:pPr>
          </w:p>
        </w:tc>
        <w:tc>
          <w:tcPr>
            <w:tcW w:w="720" w:type="dxa"/>
          </w:tcPr>
          <w:p w14:paraId="05D9E40D" w14:textId="77777777" w:rsidR="00334EDE" w:rsidRPr="00BF46D1" w:rsidRDefault="00334EDE" w:rsidP="00582B5E">
            <w:pPr>
              <w:spacing w:after="0" w:line="240" w:lineRule="auto"/>
              <w:rPr>
                <w:rFonts w:ascii="Times New Roman" w:hAnsi="Times New Roman" w:cs="Times New Roman"/>
                <w:b/>
              </w:rPr>
            </w:pPr>
            <w:r w:rsidRPr="00BF46D1">
              <w:rPr>
                <w:rFonts w:ascii="Times New Roman" w:hAnsi="Times New Roman" w:cs="Times New Roman"/>
                <w:b/>
              </w:rPr>
              <w:t>)</w:t>
            </w:r>
          </w:p>
          <w:p w14:paraId="130E87B0" w14:textId="77777777" w:rsidR="00334EDE" w:rsidRPr="00BF46D1" w:rsidRDefault="00334EDE" w:rsidP="00582B5E">
            <w:pPr>
              <w:spacing w:after="0" w:line="240" w:lineRule="auto"/>
              <w:rPr>
                <w:rFonts w:ascii="Times New Roman" w:hAnsi="Times New Roman" w:cs="Times New Roman"/>
                <w:b/>
              </w:rPr>
            </w:pPr>
            <w:r w:rsidRPr="00BF46D1">
              <w:rPr>
                <w:rFonts w:ascii="Times New Roman" w:hAnsi="Times New Roman" w:cs="Times New Roman"/>
                <w:b/>
              </w:rPr>
              <w:t>)</w:t>
            </w:r>
          </w:p>
          <w:p w14:paraId="2F7830EC" w14:textId="77777777" w:rsidR="00334EDE" w:rsidRPr="00BF46D1" w:rsidRDefault="00334EDE" w:rsidP="00582B5E">
            <w:pPr>
              <w:spacing w:after="0" w:line="240" w:lineRule="auto"/>
              <w:rPr>
                <w:rFonts w:ascii="Times New Roman" w:hAnsi="Times New Roman" w:cs="Times New Roman"/>
                <w:b/>
              </w:rPr>
            </w:pPr>
            <w:r w:rsidRPr="00BF46D1">
              <w:rPr>
                <w:rFonts w:ascii="Times New Roman" w:hAnsi="Times New Roman" w:cs="Times New Roman"/>
                <w:b/>
              </w:rPr>
              <w:t>)</w:t>
            </w:r>
          </w:p>
          <w:p w14:paraId="30F99A3D" w14:textId="77777777" w:rsidR="00334EDE" w:rsidRPr="00BF46D1" w:rsidRDefault="00334EDE" w:rsidP="00582B5E">
            <w:pPr>
              <w:spacing w:after="0" w:line="240" w:lineRule="auto"/>
              <w:rPr>
                <w:rFonts w:ascii="Times New Roman" w:hAnsi="Times New Roman" w:cs="Times New Roman"/>
                <w:b/>
              </w:rPr>
            </w:pPr>
            <w:r w:rsidRPr="00BF46D1">
              <w:rPr>
                <w:rFonts w:ascii="Times New Roman" w:hAnsi="Times New Roman" w:cs="Times New Roman"/>
                <w:b/>
              </w:rPr>
              <w:t>)</w:t>
            </w:r>
          </w:p>
          <w:p w14:paraId="729EDB17" w14:textId="77777777" w:rsidR="00334EDE" w:rsidRPr="00BF46D1" w:rsidRDefault="00334EDE" w:rsidP="00582B5E">
            <w:pPr>
              <w:spacing w:after="0" w:line="240" w:lineRule="auto"/>
              <w:rPr>
                <w:rFonts w:ascii="Times New Roman" w:hAnsi="Times New Roman" w:cs="Times New Roman"/>
                <w:b/>
              </w:rPr>
            </w:pPr>
            <w:r w:rsidRPr="00BF46D1">
              <w:rPr>
                <w:rFonts w:ascii="Times New Roman" w:hAnsi="Times New Roman" w:cs="Times New Roman"/>
                <w:b/>
              </w:rPr>
              <w:t>)</w:t>
            </w:r>
          </w:p>
          <w:p w14:paraId="534805C1" w14:textId="77777777" w:rsidR="00334EDE" w:rsidRPr="00BF46D1" w:rsidRDefault="00334EDE" w:rsidP="00582B5E">
            <w:pPr>
              <w:spacing w:after="0" w:line="240" w:lineRule="auto"/>
              <w:rPr>
                <w:rFonts w:ascii="Times New Roman" w:hAnsi="Times New Roman" w:cs="Times New Roman"/>
                <w:b/>
              </w:rPr>
            </w:pPr>
            <w:r w:rsidRPr="00BF46D1">
              <w:rPr>
                <w:rFonts w:ascii="Times New Roman" w:hAnsi="Times New Roman" w:cs="Times New Roman"/>
                <w:b/>
              </w:rPr>
              <w:t>)</w:t>
            </w:r>
          </w:p>
          <w:p w14:paraId="5BA1F0A3" w14:textId="7F2461BF" w:rsidR="00334EDE" w:rsidRPr="00BF46D1" w:rsidRDefault="00B25AB0" w:rsidP="00582B5E">
            <w:pPr>
              <w:spacing w:after="0" w:line="240" w:lineRule="auto"/>
              <w:rPr>
                <w:rFonts w:ascii="Times New Roman" w:hAnsi="Times New Roman" w:cs="Times New Roman"/>
                <w:b/>
              </w:rPr>
            </w:pPr>
            <w:r w:rsidRPr="00BF46D1">
              <w:rPr>
                <w:rFonts w:ascii="Times New Roman" w:hAnsi="Times New Roman" w:cs="Times New Roman"/>
                <w:b/>
              </w:rPr>
              <w:t>)</w:t>
            </w:r>
          </w:p>
          <w:p w14:paraId="6E998A62" w14:textId="77777777" w:rsidR="00334EDE" w:rsidRPr="00BF46D1" w:rsidRDefault="00334EDE" w:rsidP="00582B5E">
            <w:pPr>
              <w:spacing w:after="0" w:line="240" w:lineRule="auto"/>
              <w:rPr>
                <w:rFonts w:ascii="Times New Roman" w:hAnsi="Times New Roman" w:cs="Times New Roman"/>
                <w:b/>
              </w:rPr>
            </w:pPr>
          </w:p>
        </w:tc>
        <w:tc>
          <w:tcPr>
            <w:tcW w:w="4230" w:type="dxa"/>
          </w:tcPr>
          <w:p w14:paraId="135EC465" w14:textId="77777777" w:rsidR="00334EDE" w:rsidRPr="00BF46D1" w:rsidRDefault="00334EDE" w:rsidP="00582B5E">
            <w:pPr>
              <w:spacing w:after="0" w:line="240" w:lineRule="auto"/>
              <w:rPr>
                <w:rFonts w:ascii="Times New Roman" w:hAnsi="Times New Roman" w:cs="Times New Roman"/>
              </w:rPr>
            </w:pPr>
          </w:p>
          <w:p w14:paraId="35A114A8" w14:textId="77777777" w:rsidR="00334EDE" w:rsidRPr="00BF46D1" w:rsidRDefault="00334EDE" w:rsidP="00582B5E">
            <w:pPr>
              <w:spacing w:after="0" w:line="240" w:lineRule="auto"/>
              <w:rPr>
                <w:rFonts w:ascii="Times New Roman" w:hAnsi="Times New Roman" w:cs="Times New Roman"/>
              </w:rPr>
            </w:pPr>
          </w:p>
          <w:p w14:paraId="7FA2532F" w14:textId="77777777" w:rsidR="00334EDE" w:rsidRPr="00BF46D1" w:rsidRDefault="00995F02" w:rsidP="00582B5E">
            <w:pPr>
              <w:spacing w:after="0" w:line="240" w:lineRule="auto"/>
              <w:rPr>
                <w:rFonts w:ascii="Times New Roman" w:hAnsi="Times New Roman" w:cs="Times New Roman"/>
              </w:rPr>
            </w:pPr>
            <w:r w:rsidRPr="00BF46D1">
              <w:rPr>
                <w:rFonts w:ascii="Times New Roman" w:hAnsi="Times New Roman" w:cs="Times New Roman"/>
                <w:spacing w:val="-2"/>
              </w:rPr>
              <w:t>CG Docket No. 02-278</w:t>
            </w:r>
          </w:p>
        </w:tc>
      </w:tr>
    </w:tbl>
    <w:p w14:paraId="36BD9056" w14:textId="77777777" w:rsidR="00334EDE" w:rsidRPr="00BF46D1" w:rsidRDefault="008537A6" w:rsidP="00582B5E">
      <w:pPr>
        <w:spacing w:before="120" w:after="0"/>
        <w:jc w:val="center"/>
        <w:rPr>
          <w:rFonts w:ascii="Times New Roman" w:hAnsi="Times New Roman" w:cs="Times New Roman"/>
          <w:b/>
        </w:rPr>
      </w:pPr>
      <w:r w:rsidRPr="00BF46D1">
        <w:rPr>
          <w:rFonts w:ascii="Times New Roman" w:hAnsi="Times New Roman" w:cs="Times New Roman"/>
          <w:b/>
          <w:spacing w:val="-2"/>
        </w:rPr>
        <w:t>ORDER</w:t>
      </w:r>
    </w:p>
    <w:p w14:paraId="234FFB78" w14:textId="77777777" w:rsidR="00D4453B" w:rsidRPr="00BF46D1" w:rsidRDefault="00D4453B" w:rsidP="00582B5E">
      <w:pPr>
        <w:tabs>
          <w:tab w:val="left" w:pos="5760"/>
        </w:tabs>
        <w:spacing w:after="0"/>
        <w:rPr>
          <w:rFonts w:ascii="Times New Roman" w:hAnsi="Times New Roman" w:cs="Times New Roman"/>
        </w:rPr>
      </w:pPr>
    </w:p>
    <w:p w14:paraId="1FCC5C46" w14:textId="23EF401F" w:rsidR="00334EDE" w:rsidRPr="00BF46D1" w:rsidRDefault="00334EDE" w:rsidP="00582B5E">
      <w:pPr>
        <w:tabs>
          <w:tab w:val="left" w:pos="5760"/>
        </w:tabs>
        <w:spacing w:after="0"/>
        <w:rPr>
          <w:rFonts w:ascii="Times New Roman" w:hAnsi="Times New Roman" w:cs="Times New Roman"/>
          <w:b/>
        </w:rPr>
      </w:pPr>
      <w:r w:rsidRPr="00BF46D1">
        <w:rPr>
          <w:rFonts w:ascii="Times New Roman" w:hAnsi="Times New Roman" w:cs="Times New Roman"/>
          <w:b/>
        </w:rPr>
        <w:t xml:space="preserve">Adopted:  </w:t>
      </w:r>
      <w:r w:rsidR="005C4FB5" w:rsidRPr="00BF46D1">
        <w:rPr>
          <w:rFonts w:ascii="Times New Roman" w:hAnsi="Times New Roman" w:cs="Times New Roman"/>
          <w:b/>
          <w:spacing w:val="-2"/>
        </w:rPr>
        <w:t xml:space="preserve">  </w:t>
      </w:r>
      <w:r w:rsidR="00CD0EB3">
        <w:rPr>
          <w:rFonts w:ascii="Times New Roman" w:hAnsi="Times New Roman" w:cs="Times New Roman"/>
          <w:b/>
          <w:spacing w:val="-2"/>
        </w:rPr>
        <w:t>November 15</w:t>
      </w:r>
      <w:r w:rsidR="005C4FB5" w:rsidRPr="00BF46D1">
        <w:rPr>
          <w:rFonts w:ascii="Times New Roman" w:hAnsi="Times New Roman" w:cs="Times New Roman"/>
          <w:b/>
          <w:spacing w:val="-2"/>
        </w:rPr>
        <w:t xml:space="preserve">, </w:t>
      </w:r>
      <w:r w:rsidR="00995F02" w:rsidRPr="00BF46D1">
        <w:rPr>
          <w:rFonts w:ascii="Times New Roman" w:hAnsi="Times New Roman" w:cs="Times New Roman"/>
          <w:b/>
          <w:spacing w:val="-2"/>
        </w:rPr>
        <w:t>201</w:t>
      </w:r>
      <w:r w:rsidR="0013521A" w:rsidRPr="00BF46D1">
        <w:rPr>
          <w:rFonts w:ascii="Times New Roman" w:hAnsi="Times New Roman" w:cs="Times New Roman"/>
          <w:b/>
          <w:spacing w:val="-2"/>
        </w:rPr>
        <w:t>6</w:t>
      </w:r>
      <w:r w:rsidRPr="00BF46D1">
        <w:rPr>
          <w:rFonts w:ascii="Times New Roman" w:hAnsi="Times New Roman" w:cs="Times New Roman"/>
          <w:b/>
        </w:rPr>
        <w:tab/>
      </w:r>
      <w:r w:rsidR="002B4E99" w:rsidRPr="00BF46D1">
        <w:rPr>
          <w:rFonts w:ascii="Times New Roman" w:hAnsi="Times New Roman" w:cs="Times New Roman"/>
          <w:b/>
        </w:rPr>
        <w:tab/>
      </w:r>
      <w:r w:rsidRPr="00BF46D1">
        <w:rPr>
          <w:rFonts w:ascii="Times New Roman" w:hAnsi="Times New Roman" w:cs="Times New Roman"/>
          <w:b/>
        </w:rPr>
        <w:t xml:space="preserve">Released:  </w:t>
      </w:r>
      <w:r w:rsidR="00CD0EB3">
        <w:rPr>
          <w:rFonts w:ascii="Times New Roman" w:hAnsi="Times New Roman" w:cs="Times New Roman"/>
          <w:b/>
          <w:spacing w:val="-2"/>
        </w:rPr>
        <w:t>November 15</w:t>
      </w:r>
      <w:r w:rsidR="005C4FB5" w:rsidRPr="00BF46D1">
        <w:rPr>
          <w:rFonts w:ascii="Times New Roman" w:hAnsi="Times New Roman" w:cs="Times New Roman"/>
          <w:b/>
          <w:spacing w:val="-2"/>
        </w:rPr>
        <w:t>,</w:t>
      </w:r>
      <w:r w:rsidR="00995F02" w:rsidRPr="00BF46D1">
        <w:rPr>
          <w:rFonts w:ascii="Times New Roman" w:hAnsi="Times New Roman" w:cs="Times New Roman"/>
          <w:b/>
          <w:spacing w:val="-2"/>
        </w:rPr>
        <w:t xml:space="preserve"> 201</w:t>
      </w:r>
      <w:r w:rsidR="0013521A" w:rsidRPr="00BF46D1">
        <w:rPr>
          <w:rFonts w:ascii="Times New Roman" w:hAnsi="Times New Roman" w:cs="Times New Roman"/>
          <w:b/>
          <w:spacing w:val="-2"/>
        </w:rPr>
        <w:t>6</w:t>
      </w:r>
    </w:p>
    <w:p w14:paraId="7DFCB088" w14:textId="77777777" w:rsidR="00334EDE" w:rsidRPr="00BF46D1" w:rsidRDefault="00334EDE" w:rsidP="00582B5E">
      <w:pPr>
        <w:tabs>
          <w:tab w:val="left" w:pos="5760"/>
        </w:tabs>
        <w:spacing w:after="0"/>
        <w:rPr>
          <w:rFonts w:ascii="Times New Roman" w:hAnsi="Times New Roman" w:cs="Times New Roman"/>
          <w:b/>
        </w:rPr>
      </w:pPr>
    </w:p>
    <w:p w14:paraId="620D6011" w14:textId="6A9C572D" w:rsidR="00334EDE" w:rsidRPr="00BF46D1" w:rsidRDefault="00334EDE" w:rsidP="00582B5E">
      <w:pPr>
        <w:tabs>
          <w:tab w:val="left" w:pos="5760"/>
        </w:tabs>
        <w:spacing w:after="0"/>
        <w:rPr>
          <w:rFonts w:ascii="Times New Roman" w:hAnsi="Times New Roman" w:cs="Times New Roman"/>
        </w:rPr>
      </w:pPr>
      <w:r w:rsidRPr="00BF46D1">
        <w:rPr>
          <w:rFonts w:ascii="Times New Roman" w:hAnsi="Times New Roman" w:cs="Times New Roman"/>
        </w:rPr>
        <w:t>By the</w:t>
      </w:r>
      <w:r w:rsidR="00603691" w:rsidRPr="00BF46D1">
        <w:rPr>
          <w:rFonts w:ascii="Times New Roman" w:hAnsi="Times New Roman" w:cs="Times New Roman"/>
        </w:rPr>
        <w:t xml:space="preserve"> Chief, Consumer and Governmental Affairs Bureau</w:t>
      </w:r>
      <w:r w:rsidRPr="00BF46D1">
        <w:rPr>
          <w:rFonts w:ascii="Times New Roman" w:hAnsi="Times New Roman" w:cs="Times New Roman"/>
          <w:spacing w:val="-2"/>
        </w:rPr>
        <w:t>:</w:t>
      </w:r>
    </w:p>
    <w:p w14:paraId="362B6662" w14:textId="77777777" w:rsidR="00334EDE" w:rsidRPr="00BF46D1" w:rsidRDefault="00334EDE" w:rsidP="00582B5E">
      <w:pPr>
        <w:spacing w:after="0"/>
        <w:rPr>
          <w:rFonts w:ascii="Times New Roman" w:hAnsi="Times New Roman" w:cs="Times New Roman"/>
        </w:rPr>
      </w:pPr>
    </w:p>
    <w:p w14:paraId="3A03A142" w14:textId="77777777" w:rsidR="00995F02" w:rsidRPr="00BF46D1" w:rsidRDefault="00334EDE" w:rsidP="001F2E30">
      <w:pPr>
        <w:pStyle w:val="Heading1"/>
        <w:rPr>
          <w:rFonts w:ascii="Times New Roman" w:hAnsi="Times New Roman" w:cs="Times New Roman"/>
        </w:rPr>
      </w:pPr>
      <w:r w:rsidRPr="00BF46D1">
        <w:rPr>
          <w:rFonts w:ascii="Times New Roman" w:hAnsi="Times New Roman" w:cs="Times New Roman"/>
        </w:rPr>
        <w:t>Introduction</w:t>
      </w:r>
    </w:p>
    <w:p w14:paraId="7F5DAC72" w14:textId="636E3727" w:rsidR="00F94223" w:rsidRPr="00BF46D1" w:rsidRDefault="000223FB" w:rsidP="001F2E30">
      <w:pPr>
        <w:pStyle w:val="ParaNum"/>
        <w:tabs>
          <w:tab w:val="clear" w:pos="1080"/>
          <w:tab w:val="num" w:pos="1440"/>
        </w:tabs>
        <w:jc w:val="left"/>
        <w:rPr>
          <w:rFonts w:ascii="Times New Roman" w:hAnsi="Times New Roman" w:cs="Times New Roman"/>
        </w:rPr>
      </w:pPr>
      <w:r w:rsidRPr="00BF46D1">
        <w:rPr>
          <w:rFonts w:ascii="Times New Roman" w:hAnsi="Times New Roman" w:cs="Times New Roman"/>
        </w:rPr>
        <w:t xml:space="preserve">With this </w:t>
      </w:r>
      <w:r w:rsidR="005C4FB5" w:rsidRPr="00BF46D1">
        <w:rPr>
          <w:rFonts w:ascii="Times New Roman" w:hAnsi="Times New Roman" w:cs="Times New Roman"/>
        </w:rPr>
        <w:t>Order</w:t>
      </w:r>
      <w:r w:rsidRPr="00BF46D1">
        <w:rPr>
          <w:rFonts w:ascii="Times New Roman" w:hAnsi="Times New Roman" w:cs="Times New Roman"/>
        </w:rPr>
        <w:t xml:space="preserve">, we </w:t>
      </w:r>
      <w:r w:rsidR="00B25AB0" w:rsidRPr="00BF46D1">
        <w:rPr>
          <w:rFonts w:ascii="Times New Roman" w:hAnsi="Times New Roman" w:cs="Times New Roman"/>
        </w:rPr>
        <w:t>deny</w:t>
      </w:r>
      <w:r w:rsidRPr="00BF46D1">
        <w:rPr>
          <w:rFonts w:ascii="Times New Roman" w:hAnsi="Times New Roman" w:cs="Times New Roman"/>
        </w:rPr>
        <w:t xml:space="preserve"> a petition filed by </w:t>
      </w:r>
      <w:r w:rsidR="005C4FB5" w:rsidRPr="00BF46D1">
        <w:rPr>
          <w:rFonts w:ascii="Times New Roman" w:hAnsi="Times New Roman" w:cs="Times New Roman"/>
        </w:rPr>
        <w:t>Mortgage Bankers Association (MBA)</w:t>
      </w:r>
      <w:r w:rsidR="005C4FB5" w:rsidRPr="00BF46D1">
        <w:rPr>
          <w:rFonts w:ascii="Times New Roman" w:hAnsi="Times New Roman" w:cs="Times New Roman"/>
          <w:vertAlign w:val="superscript"/>
        </w:rPr>
        <w:footnoteReference w:id="2"/>
      </w:r>
      <w:r w:rsidR="005C4FB5" w:rsidRPr="00BF46D1">
        <w:rPr>
          <w:rFonts w:ascii="Times New Roman" w:hAnsi="Times New Roman" w:cs="Times New Roman"/>
        </w:rPr>
        <w:t xml:space="preserve"> seeking an exemption from the </w:t>
      </w:r>
      <w:r w:rsidR="003302F5" w:rsidRPr="00BF46D1">
        <w:rPr>
          <w:rFonts w:ascii="Times New Roman" w:hAnsi="Times New Roman" w:cs="Times New Roman"/>
        </w:rPr>
        <w:t>prior-express-</w:t>
      </w:r>
      <w:r w:rsidR="005C4FB5" w:rsidRPr="00BF46D1">
        <w:rPr>
          <w:rFonts w:ascii="Times New Roman" w:hAnsi="Times New Roman" w:cs="Times New Roman"/>
        </w:rPr>
        <w:t xml:space="preserve">consent requirement </w:t>
      </w:r>
      <w:r w:rsidR="00487F4A" w:rsidRPr="00BF46D1">
        <w:rPr>
          <w:rFonts w:ascii="Times New Roman" w:hAnsi="Times New Roman" w:cs="Times New Roman"/>
        </w:rPr>
        <w:t xml:space="preserve">of </w:t>
      </w:r>
      <w:r w:rsidR="005C4FB5" w:rsidRPr="00BF46D1">
        <w:rPr>
          <w:rFonts w:ascii="Times New Roman" w:hAnsi="Times New Roman" w:cs="Times New Roman"/>
        </w:rPr>
        <w:t>the Telephone Consumer Protection Act (TCPA)</w:t>
      </w:r>
      <w:r w:rsidR="00DF106D" w:rsidRPr="00BF46D1">
        <w:rPr>
          <w:rFonts w:ascii="Times New Roman" w:hAnsi="Times New Roman" w:cs="Times New Roman"/>
        </w:rPr>
        <w:t>.</w:t>
      </w:r>
      <w:r w:rsidR="00535F86" w:rsidRPr="00BF46D1">
        <w:rPr>
          <w:rFonts w:ascii="Times New Roman" w:hAnsi="Times New Roman" w:cs="Times New Roman"/>
          <w:vertAlign w:val="superscript"/>
        </w:rPr>
        <w:footnoteReference w:id="3"/>
      </w:r>
      <w:r w:rsidR="00642DF7" w:rsidRPr="00BF46D1">
        <w:rPr>
          <w:rFonts w:ascii="Times New Roman" w:hAnsi="Times New Roman" w:cs="Times New Roman"/>
        </w:rPr>
        <w:t xml:space="preserve"> </w:t>
      </w:r>
      <w:r w:rsidR="00540EB2" w:rsidRPr="00BF46D1">
        <w:rPr>
          <w:rFonts w:ascii="Times New Roman" w:hAnsi="Times New Roman" w:cs="Times New Roman"/>
        </w:rPr>
        <w:t xml:space="preserve"> </w:t>
      </w:r>
      <w:r w:rsidR="00642DF7" w:rsidRPr="00BF46D1">
        <w:rPr>
          <w:rFonts w:ascii="Times New Roman" w:hAnsi="Times New Roman" w:cs="Times New Roman"/>
        </w:rPr>
        <w:t xml:space="preserve">Specifically, </w:t>
      </w:r>
      <w:r w:rsidR="006A47C5">
        <w:rPr>
          <w:rFonts w:ascii="Times New Roman" w:hAnsi="Times New Roman" w:cs="Times New Roman"/>
        </w:rPr>
        <w:t xml:space="preserve">applying Commission precedent and in light of the record, </w:t>
      </w:r>
      <w:r w:rsidR="002F7CBF" w:rsidRPr="00BF46D1">
        <w:rPr>
          <w:rFonts w:ascii="Times New Roman" w:hAnsi="Times New Roman" w:cs="Times New Roman"/>
        </w:rPr>
        <w:t xml:space="preserve">we find </w:t>
      </w:r>
      <w:r w:rsidR="006A47C5">
        <w:rPr>
          <w:rFonts w:ascii="Times New Roman" w:hAnsi="Times New Roman" w:cs="Times New Roman"/>
        </w:rPr>
        <w:t>that MBA has not shown</w:t>
      </w:r>
      <w:r w:rsidR="00623643">
        <w:rPr>
          <w:rFonts w:ascii="Times New Roman" w:hAnsi="Times New Roman" w:cs="Times New Roman"/>
        </w:rPr>
        <w:t>, as a threshold matter,</w:t>
      </w:r>
      <w:r w:rsidR="006A47C5">
        <w:rPr>
          <w:rFonts w:ascii="Times New Roman" w:hAnsi="Times New Roman" w:cs="Times New Roman"/>
        </w:rPr>
        <w:t xml:space="preserve"> </w:t>
      </w:r>
      <w:r w:rsidR="00623643">
        <w:rPr>
          <w:rFonts w:ascii="Times New Roman" w:hAnsi="Times New Roman" w:cs="Times New Roman"/>
        </w:rPr>
        <w:t>th</w:t>
      </w:r>
      <w:r w:rsidR="00355716">
        <w:rPr>
          <w:rFonts w:ascii="Times New Roman" w:hAnsi="Times New Roman" w:cs="Times New Roman"/>
        </w:rPr>
        <w:t>e</w:t>
      </w:r>
      <w:r w:rsidR="00623643">
        <w:rPr>
          <w:rFonts w:ascii="Times New Roman" w:hAnsi="Times New Roman" w:cs="Times New Roman"/>
        </w:rPr>
        <w:t xml:space="preserve"> exempted calls would be free of charge to called parties.</w:t>
      </w:r>
      <w:r w:rsidR="008D364E">
        <w:rPr>
          <w:rFonts w:ascii="Times New Roman" w:hAnsi="Times New Roman" w:cs="Times New Roman"/>
        </w:rPr>
        <w:t xml:space="preserve"> </w:t>
      </w:r>
      <w:r w:rsidR="00204261">
        <w:rPr>
          <w:rFonts w:ascii="Times New Roman" w:hAnsi="Times New Roman" w:cs="Times New Roman"/>
        </w:rPr>
        <w:t xml:space="preserve"> Separately, </w:t>
      </w:r>
      <w:r w:rsidR="00424AEC">
        <w:rPr>
          <w:rFonts w:ascii="Times New Roman" w:hAnsi="Times New Roman" w:cs="Times New Roman"/>
        </w:rPr>
        <w:t xml:space="preserve">we find that MBA has </w:t>
      </w:r>
      <w:r w:rsidR="00DD7569">
        <w:rPr>
          <w:rFonts w:ascii="Times New Roman" w:hAnsi="Times New Roman" w:cs="Times New Roman"/>
        </w:rPr>
        <w:t xml:space="preserve">not shown </w:t>
      </w:r>
      <w:r w:rsidR="006A47C5">
        <w:rPr>
          <w:rFonts w:ascii="Times New Roman" w:hAnsi="Times New Roman" w:cs="Times New Roman"/>
        </w:rPr>
        <w:t>that it should be able to make or send non-time</w:t>
      </w:r>
      <w:r w:rsidR="00E82CF6">
        <w:rPr>
          <w:rFonts w:ascii="Times New Roman" w:hAnsi="Times New Roman" w:cs="Times New Roman"/>
        </w:rPr>
        <w:t>-</w:t>
      </w:r>
      <w:r w:rsidR="006A47C5">
        <w:rPr>
          <w:rFonts w:ascii="Times New Roman" w:hAnsi="Times New Roman" w:cs="Times New Roman"/>
        </w:rPr>
        <w:t>sensitive robocalls</w:t>
      </w:r>
      <w:r w:rsidR="000307E5">
        <w:rPr>
          <w:rFonts w:ascii="Times New Roman" w:hAnsi="Times New Roman" w:cs="Times New Roman"/>
        </w:rPr>
        <w:t>,</w:t>
      </w:r>
      <w:r w:rsidR="006A47C5">
        <w:rPr>
          <w:rFonts w:ascii="Times New Roman" w:hAnsi="Times New Roman" w:cs="Times New Roman"/>
        </w:rPr>
        <w:t xml:space="preserve"> </w:t>
      </w:r>
      <w:r w:rsidR="000307E5">
        <w:rPr>
          <w:rFonts w:ascii="Times New Roman" w:hAnsi="Times New Roman" w:cs="Times New Roman"/>
        </w:rPr>
        <w:t xml:space="preserve">including </w:t>
      </w:r>
      <w:r w:rsidR="006A47C5">
        <w:rPr>
          <w:rFonts w:ascii="Times New Roman" w:hAnsi="Times New Roman" w:cs="Times New Roman"/>
        </w:rPr>
        <w:t>robotexts</w:t>
      </w:r>
      <w:r w:rsidR="000307E5">
        <w:rPr>
          <w:rFonts w:ascii="Times New Roman" w:hAnsi="Times New Roman" w:cs="Times New Roman"/>
        </w:rPr>
        <w:t>,</w:t>
      </w:r>
      <w:r w:rsidR="006A47C5">
        <w:rPr>
          <w:rFonts w:ascii="Times New Roman" w:hAnsi="Times New Roman" w:cs="Times New Roman"/>
        </w:rPr>
        <w:t xml:space="preserve"> to consumers without first obtaining consumer consent.</w:t>
      </w:r>
      <w:r w:rsidR="006A47C5" w:rsidRPr="00BF46D1">
        <w:rPr>
          <w:rStyle w:val="FootnoteReference"/>
          <w:rFonts w:ascii="Times New Roman" w:hAnsi="Times New Roman" w:cs="Times New Roman"/>
        </w:rPr>
        <w:footnoteReference w:id="4"/>
      </w:r>
      <w:r w:rsidR="006A47C5">
        <w:rPr>
          <w:rFonts w:ascii="Times New Roman" w:hAnsi="Times New Roman" w:cs="Times New Roman"/>
        </w:rPr>
        <w:t xml:space="preserve">  We thus deny </w:t>
      </w:r>
      <w:r w:rsidR="00317CA3">
        <w:rPr>
          <w:rFonts w:ascii="Times New Roman" w:hAnsi="Times New Roman" w:cs="Times New Roman"/>
        </w:rPr>
        <w:t xml:space="preserve">MBA’s </w:t>
      </w:r>
      <w:r w:rsidR="006A47C5">
        <w:rPr>
          <w:rFonts w:ascii="Times New Roman" w:hAnsi="Times New Roman" w:cs="Times New Roman"/>
        </w:rPr>
        <w:t>request.</w:t>
      </w:r>
      <w:r w:rsidR="00642DF7" w:rsidRPr="00BF46D1">
        <w:rPr>
          <w:rFonts w:ascii="Times New Roman" w:hAnsi="Times New Roman" w:cs="Times New Roman"/>
        </w:rPr>
        <w:t xml:space="preserve"> </w:t>
      </w:r>
    </w:p>
    <w:p w14:paraId="14BF835F" w14:textId="77777777" w:rsidR="003472FB" w:rsidRPr="00BF46D1" w:rsidRDefault="003472FB" w:rsidP="00311926">
      <w:pPr>
        <w:pStyle w:val="Heading1"/>
        <w:jc w:val="left"/>
        <w:rPr>
          <w:rFonts w:ascii="Times New Roman" w:hAnsi="Times New Roman" w:cs="Times New Roman"/>
        </w:rPr>
      </w:pPr>
      <w:r w:rsidRPr="00BF46D1">
        <w:rPr>
          <w:rFonts w:ascii="Times New Roman" w:hAnsi="Times New Roman" w:cs="Times New Roman"/>
        </w:rPr>
        <w:lastRenderedPageBreak/>
        <w:t>Background</w:t>
      </w:r>
    </w:p>
    <w:p w14:paraId="121F9E4B" w14:textId="47B77C2F" w:rsidR="003240E6" w:rsidRPr="00BF46D1" w:rsidRDefault="00FA3EAD" w:rsidP="00311926">
      <w:pPr>
        <w:pStyle w:val="Heading2"/>
        <w:jc w:val="left"/>
        <w:rPr>
          <w:rFonts w:ascii="Times New Roman" w:hAnsi="Times New Roman" w:cs="Times New Roman"/>
        </w:rPr>
      </w:pPr>
      <w:r w:rsidRPr="00BF46D1">
        <w:rPr>
          <w:rFonts w:ascii="Times New Roman" w:hAnsi="Times New Roman" w:cs="Times New Roman"/>
        </w:rPr>
        <w:t xml:space="preserve">The </w:t>
      </w:r>
      <w:r w:rsidR="0049379D" w:rsidRPr="00BF46D1">
        <w:rPr>
          <w:rFonts w:ascii="Times New Roman" w:hAnsi="Times New Roman" w:cs="Times New Roman"/>
        </w:rPr>
        <w:t>TCPA</w:t>
      </w:r>
      <w:r w:rsidR="008E7F60" w:rsidRPr="00BF46D1">
        <w:rPr>
          <w:rFonts w:ascii="Times New Roman" w:hAnsi="Times New Roman" w:cs="Times New Roman"/>
        </w:rPr>
        <w:t xml:space="preserve"> </w:t>
      </w:r>
      <w:r w:rsidR="001030A4" w:rsidRPr="00BF46D1">
        <w:rPr>
          <w:rFonts w:ascii="Times New Roman" w:hAnsi="Times New Roman" w:cs="Times New Roman"/>
        </w:rPr>
        <w:t xml:space="preserve">and </w:t>
      </w:r>
      <w:r w:rsidR="00F2128F" w:rsidRPr="00BF46D1">
        <w:rPr>
          <w:rFonts w:ascii="Times New Roman" w:hAnsi="Times New Roman" w:cs="Times New Roman"/>
        </w:rPr>
        <w:t xml:space="preserve">the Commission’s </w:t>
      </w:r>
      <w:r w:rsidR="00530159" w:rsidRPr="00BF46D1">
        <w:rPr>
          <w:rFonts w:ascii="Times New Roman" w:hAnsi="Times New Roman" w:cs="Times New Roman"/>
        </w:rPr>
        <w:t xml:space="preserve">Implementing </w:t>
      </w:r>
      <w:r w:rsidR="001030A4" w:rsidRPr="00BF46D1">
        <w:rPr>
          <w:rFonts w:ascii="Times New Roman" w:hAnsi="Times New Roman" w:cs="Times New Roman"/>
        </w:rPr>
        <w:t>Rules</w:t>
      </w:r>
    </w:p>
    <w:p w14:paraId="607600C2" w14:textId="439B16F2" w:rsidR="00965C20" w:rsidRPr="00BF46D1" w:rsidRDefault="00965C20" w:rsidP="00311926">
      <w:pPr>
        <w:pStyle w:val="ParaNum"/>
        <w:tabs>
          <w:tab w:val="clear" w:pos="1080"/>
        </w:tabs>
        <w:jc w:val="left"/>
        <w:rPr>
          <w:rFonts w:ascii="Times New Roman" w:hAnsi="Times New Roman" w:cs="Times New Roman"/>
        </w:rPr>
      </w:pPr>
      <w:r w:rsidRPr="00BF46D1">
        <w:rPr>
          <w:rFonts w:ascii="Times New Roman" w:hAnsi="Times New Roman" w:cs="Times New Roman"/>
        </w:rPr>
        <w:t xml:space="preserve">As the Commission </w:t>
      </w:r>
      <w:r w:rsidR="00531CFC" w:rsidRPr="00BF46D1">
        <w:rPr>
          <w:rFonts w:ascii="Times New Roman" w:hAnsi="Times New Roman" w:cs="Times New Roman"/>
        </w:rPr>
        <w:t>noted</w:t>
      </w:r>
      <w:r w:rsidRPr="00BF46D1">
        <w:rPr>
          <w:rFonts w:ascii="Times New Roman" w:hAnsi="Times New Roman" w:cs="Times New Roman"/>
        </w:rPr>
        <w:t xml:space="preserve"> in its </w:t>
      </w:r>
      <w:r w:rsidRPr="00BF46D1">
        <w:rPr>
          <w:rFonts w:ascii="Times New Roman" w:hAnsi="Times New Roman" w:cs="Times New Roman"/>
          <w:i/>
        </w:rPr>
        <w:t xml:space="preserve">2015 </w:t>
      </w:r>
      <w:r w:rsidR="00531CFC" w:rsidRPr="00BF46D1">
        <w:rPr>
          <w:rFonts w:ascii="Times New Roman" w:hAnsi="Times New Roman" w:cs="Times New Roman"/>
          <w:i/>
        </w:rPr>
        <w:t xml:space="preserve">TCPA </w:t>
      </w:r>
      <w:r w:rsidRPr="00BF46D1">
        <w:rPr>
          <w:rFonts w:ascii="Times New Roman" w:hAnsi="Times New Roman" w:cs="Times New Roman"/>
          <w:i/>
        </w:rPr>
        <w:t>Declaratory Ruling</w:t>
      </w:r>
      <w:r w:rsidRPr="00BF46D1">
        <w:rPr>
          <w:rFonts w:ascii="Times New Roman" w:hAnsi="Times New Roman" w:cs="Times New Roman"/>
        </w:rPr>
        <w:t xml:space="preserve">, </w:t>
      </w:r>
      <w:r w:rsidR="00347C61" w:rsidRPr="00BF46D1">
        <w:rPr>
          <w:rFonts w:ascii="Times New Roman" w:hAnsi="Times New Roman" w:cs="Times New Roman"/>
        </w:rPr>
        <w:t xml:space="preserve">“Congress enacted the TCPA in 1991 to address certain </w:t>
      </w:r>
      <w:r w:rsidR="008B0205" w:rsidRPr="00BF46D1">
        <w:rPr>
          <w:rFonts w:ascii="Times New Roman" w:hAnsi="Times New Roman" w:cs="Times New Roman"/>
        </w:rPr>
        <w:t xml:space="preserve">[calling] </w:t>
      </w:r>
      <w:r w:rsidR="00347C61" w:rsidRPr="00BF46D1">
        <w:rPr>
          <w:rFonts w:ascii="Times New Roman" w:hAnsi="Times New Roman" w:cs="Times New Roman"/>
        </w:rPr>
        <w:t>practices thought to be an invasion of consumer privacy and a risk to public safety.”</w:t>
      </w:r>
      <w:r w:rsidRPr="00BF46D1">
        <w:rPr>
          <w:rStyle w:val="FootnoteReference"/>
          <w:rFonts w:ascii="Times New Roman" w:hAnsi="Times New Roman" w:cs="Times New Roman"/>
        </w:rPr>
        <w:footnoteReference w:id="5"/>
      </w:r>
      <w:r w:rsidR="005359AE">
        <w:rPr>
          <w:rFonts w:ascii="Times New Roman" w:hAnsi="Times New Roman" w:cs="Times New Roman"/>
        </w:rPr>
        <w:t xml:space="preserve">  </w:t>
      </w:r>
      <w:r w:rsidRPr="00BF46D1">
        <w:rPr>
          <w:rFonts w:ascii="Times New Roman" w:hAnsi="Times New Roman" w:cs="Times New Roman"/>
        </w:rPr>
        <w:t>T</w:t>
      </w:r>
      <w:r w:rsidR="00FB6ED9" w:rsidRPr="00BF46D1">
        <w:rPr>
          <w:rFonts w:ascii="Times New Roman" w:hAnsi="Times New Roman" w:cs="Times New Roman"/>
        </w:rPr>
        <w:t>he TCPA</w:t>
      </w:r>
      <w:r w:rsidRPr="00BF46D1">
        <w:rPr>
          <w:rFonts w:ascii="Times New Roman" w:hAnsi="Times New Roman" w:cs="Times New Roman"/>
        </w:rPr>
        <w:t>, therefore,</w:t>
      </w:r>
      <w:r w:rsidR="00FB6ED9" w:rsidRPr="00BF46D1">
        <w:rPr>
          <w:rFonts w:ascii="Times New Roman" w:hAnsi="Times New Roman" w:cs="Times New Roman"/>
        </w:rPr>
        <w:t xml:space="preserve"> reflects Congress’ recognition of the potential costs and privacy risks imposed on wireless consumers from the use of autodial</w:t>
      </w:r>
      <w:r w:rsidR="00531CFC" w:rsidRPr="00BF46D1">
        <w:rPr>
          <w:rFonts w:ascii="Times New Roman" w:hAnsi="Times New Roman" w:cs="Times New Roman"/>
        </w:rPr>
        <w:t>er</w:t>
      </w:r>
      <w:r w:rsidR="00FB6ED9" w:rsidRPr="00BF46D1">
        <w:rPr>
          <w:rFonts w:ascii="Times New Roman" w:hAnsi="Times New Roman" w:cs="Times New Roman"/>
        </w:rPr>
        <w:t xml:space="preserve"> equipment, which can generate large numbers of unwanted calls.</w:t>
      </w:r>
      <w:r w:rsidR="00FB6ED9" w:rsidRPr="00BF46D1">
        <w:rPr>
          <w:rFonts w:ascii="Times New Roman" w:hAnsi="Times New Roman" w:cs="Times New Roman"/>
          <w:vertAlign w:val="superscript"/>
        </w:rPr>
        <w:footnoteReference w:id="6"/>
      </w:r>
      <w:r w:rsidR="00FB6ED9" w:rsidRPr="00BF46D1">
        <w:rPr>
          <w:rFonts w:ascii="Times New Roman" w:hAnsi="Times New Roman" w:cs="Times New Roman"/>
        </w:rPr>
        <w:t xml:space="preserve">  </w:t>
      </w:r>
      <w:r w:rsidRPr="00BF46D1">
        <w:rPr>
          <w:rFonts w:ascii="Times New Roman" w:hAnsi="Times New Roman" w:cs="Times New Roman"/>
        </w:rPr>
        <w:t xml:space="preserve">The Commission has traditionally sought to reasonably accommodate individuals’ rights to privacy and the legitimate </w:t>
      </w:r>
      <w:r w:rsidR="00AC5200">
        <w:rPr>
          <w:rFonts w:ascii="Times New Roman" w:hAnsi="Times New Roman" w:cs="Times New Roman"/>
        </w:rPr>
        <w:t xml:space="preserve">business </w:t>
      </w:r>
      <w:r w:rsidRPr="00BF46D1">
        <w:rPr>
          <w:rFonts w:ascii="Times New Roman" w:hAnsi="Times New Roman" w:cs="Times New Roman"/>
        </w:rPr>
        <w:t>interests of callers.</w:t>
      </w:r>
      <w:r w:rsidRPr="00BF46D1">
        <w:rPr>
          <w:rStyle w:val="FootnoteReference"/>
          <w:rFonts w:ascii="Times New Roman" w:hAnsi="Times New Roman" w:cs="Times New Roman"/>
        </w:rPr>
        <w:footnoteReference w:id="7"/>
      </w:r>
    </w:p>
    <w:p w14:paraId="07C0E54F" w14:textId="1E033CF9" w:rsidR="00E93FB6" w:rsidRPr="00BF46D1" w:rsidRDefault="00487F4A" w:rsidP="001F2E30">
      <w:pPr>
        <w:pStyle w:val="ParaNum"/>
        <w:tabs>
          <w:tab w:val="clear" w:pos="1080"/>
        </w:tabs>
        <w:jc w:val="left"/>
        <w:rPr>
          <w:rFonts w:ascii="Times New Roman" w:hAnsi="Times New Roman" w:cs="Times New Roman"/>
        </w:rPr>
      </w:pPr>
      <w:r w:rsidRPr="00BF46D1">
        <w:rPr>
          <w:rFonts w:ascii="Times New Roman" w:hAnsi="Times New Roman" w:cs="Times New Roman"/>
        </w:rPr>
        <w:t>The TCPA and the Commission’s rules prohibit robocalls</w:t>
      </w:r>
      <w:r w:rsidR="00E93FB6" w:rsidRPr="00BF46D1">
        <w:rPr>
          <w:rStyle w:val="FootnoteReference"/>
          <w:rFonts w:ascii="Times New Roman" w:hAnsi="Times New Roman" w:cs="Times New Roman"/>
        </w:rPr>
        <w:footnoteReference w:id="8"/>
      </w:r>
      <w:r w:rsidR="00E93FB6" w:rsidRPr="00BF46D1">
        <w:rPr>
          <w:rFonts w:ascii="Times New Roman" w:hAnsi="Times New Roman" w:cs="Times New Roman"/>
        </w:rPr>
        <w:t xml:space="preserve"> to wireless telephone numbers </w:t>
      </w:r>
      <w:r w:rsidR="0094503A">
        <w:rPr>
          <w:rFonts w:ascii="Times New Roman" w:hAnsi="Times New Roman" w:cs="Times New Roman"/>
        </w:rPr>
        <w:t>and other specified recipients</w:t>
      </w:r>
      <w:r w:rsidR="003C60DC">
        <w:rPr>
          <w:rFonts w:ascii="Times New Roman" w:hAnsi="Times New Roman" w:cs="Times New Roman"/>
        </w:rPr>
        <w:t xml:space="preserve"> </w:t>
      </w:r>
      <w:r w:rsidR="00E93FB6" w:rsidRPr="00BF46D1">
        <w:rPr>
          <w:rFonts w:ascii="Times New Roman" w:hAnsi="Times New Roman" w:cs="Times New Roman"/>
        </w:rPr>
        <w:t>except</w:t>
      </w:r>
      <w:r w:rsidR="006A47C5">
        <w:rPr>
          <w:rFonts w:ascii="Times New Roman" w:hAnsi="Times New Roman" w:cs="Times New Roman"/>
        </w:rPr>
        <w:t xml:space="preserve"> when made:  (1)</w:t>
      </w:r>
      <w:r w:rsidR="00E93FB6" w:rsidRPr="00BF46D1">
        <w:rPr>
          <w:rFonts w:ascii="Times New Roman" w:hAnsi="Times New Roman" w:cs="Times New Roman"/>
        </w:rPr>
        <w:t xml:space="preserve"> for an emergency purpose</w:t>
      </w:r>
      <w:r w:rsidR="006A47C5">
        <w:rPr>
          <w:rFonts w:ascii="Times New Roman" w:hAnsi="Times New Roman" w:cs="Times New Roman"/>
        </w:rPr>
        <w:t xml:space="preserve">; (2) </w:t>
      </w:r>
      <w:r w:rsidR="006A47C5" w:rsidRPr="00BF46D1">
        <w:rPr>
          <w:rFonts w:ascii="Times New Roman" w:hAnsi="Times New Roman" w:cs="Times New Roman"/>
        </w:rPr>
        <w:t xml:space="preserve">solely to collect a </w:t>
      </w:r>
      <w:r w:rsidR="00171489">
        <w:rPr>
          <w:rFonts w:ascii="Times New Roman" w:hAnsi="Times New Roman" w:cs="Times New Roman"/>
        </w:rPr>
        <w:t>“</w:t>
      </w:r>
      <w:r w:rsidR="006A47C5" w:rsidRPr="00BF46D1">
        <w:rPr>
          <w:rFonts w:ascii="Times New Roman" w:hAnsi="Times New Roman" w:cs="Times New Roman"/>
        </w:rPr>
        <w:t>debt owed to or guaranteed by the United States</w:t>
      </w:r>
      <w:r w:rsidR="00000C29">
        <w:rPr>
          <w:rFonts w:ascii="Times New Roman" w:hAnsi="Times New Roman" w:cs="Times New Roman"/>
        </w:rPr>
        <w:t>”</w:t>
      </w:r>
      <w:r w:rsidR="006A47C5">
        <w:rPr>
          <w:rFonts w:ascii="Times New Roman" w:hAnsi="Times New Roman" w:cs="Times New Roman"/>
        </w:rPr>
        <w:t xml:space="preserve">; (3) </w:t>
      </w:r>
      <w:r w:rsidR="00E93FB6" w:rsidRPr="00BF46D1">
        <w:rPr>
          <w:rFonts w:ascii="Times New Roman" w:hAnsi="Times New Roman" w:cs="Times New Roman"/>
        </w:rPr>
        <w:t>with the prior express consent of the called party</w:t>
      </w:r>
      <w:r w:rsidR="006A47C5">
        <w:rPr>
          <w:rFonts w:ascii="Times New Roman" w:hAnsi="Times New Roman" w:cs="Times New Roman"/>
        </w:rPr>
        <w:t xml:space="preserve">; </w:t>
      </w:r>
      <w:r w:rsidR="00E93FB6" w:rsidRPr="00BF46D1">
        <w:rPr>
          <w:rFonts w:ascii="Times New Roman" w:hAnsi="Times New Roman" w:cs="Times New Roman"/>
        </w:rPr>
        <w:t xml:space="preserve">or </w:t>
      </w:r>
      <w:r w:rsidR="006A47C5">
        <w:rPr>
          <w:rFonts w:ascii="Times New Roman" w:hAnsi="Times New Roman" w:cs="Times New Roman"/>
        </w:rPr>
        <w:t xml:space="preserve">(4) </w:t>
      </w:r>
      <w:r w:rsidR="00E93FB6" w:rsidRPr="00BF46D1">
        <w:rPr>
          <w:rFonts w:ascii="Times New Roman" w:hAnsi="Times New Roman" w:cs="Times New Roman"/>
        </w:rPr>
        <w:t>pursuant to a Commission-granted exemption.</w:t>
      </w:r>
      <w:r w:rsidR="00E93FB6" w:rsidRPr="00BF46D1">
        <w:rPr>
          <w:rStyle w:val="FootnoteReference"/>
          <w:rFonts w:ascii="Times New Roman" w:hAnsi="Times New Roman" w:cs="Times New Roman"/>
        </w:rPr>
        <w:footnoteReference w:id="9"/>
      </w:r>
      <w:r w:rsidR="00E93FB6" w:rsidRPr="00BF46D1">
        <w:rPr>
          <w:rFonts w:ascii="Times New Roman" w:hAnsi="Times New Roman" w:cs="Times New Roman"/>
        </w:rPr>
        <w:t xml:space="preserve">  </w:t>
      </w:r>
      <w:r w:rsidR="00FB6ED9" w:rsidRPr="00BF46D1">
        <w:rPr>
          <w:rFonts w:ascii="Times New Roman" w:hAnsi="Times New Roman" w:cs="Times New Roman"/>
        </w:rPr>
        <w:t>The Commission has concluded that this protection encompasses both voice and text calls, including short message service (SMS) calls and text calls made using Internet-to-phone technology</w:t>
      </w:r>
      <w:r w:rsidR="00AC5200">
        <w:rPr>
          <w:rFonts w:ascii="Times New Roman" w:hAnsi="Times New Roman" w:cs="Times New Roman"/>
        </w:rPr>
        <w:t>, including</w:t>
      </w:r>
      <w:r w:rsidR="00FB6ED9" w:rsidRPr="00BF46D1">
        <w:rPr>
          <w:rFonts w:ascii="Times New Roman" w:hAnsi="Times New Roman" w:cs="Times New Roman"/>
        </w:rPr>
        <w:t xml:space="preserve"> an interconnected text provider.</w:t>
      </w:r>
      <w:r w:rsidR="00FB6ED9" w:rsidRPr="00BF46D1">
        <w:rPr>
          <w:rFonts w:ascii="Times New Roman" w:hAnsi="Times New Roman" w:cs="Times New Roman"/>
          <w:vertAlign w:val="superscript"/>
        </w:rPr>
        <w:footnoteReference w:id="10"/>
      </w:r>
      <w:r w:rsidR="003302F5" w:rsidRPr="00BF46D1">
        <w:rPr>
          <w:rFonts w:ascii="Times New Roman" w:hAnsi="Times New Roman" w:cs="Times New Roman"/>
        </w:rPr>
        <w:t xml:space="preserve">  </w:t>
      </w:r>
    </w:p>
    <w:p w14:paraId="2CFB80D3" w14:textId="0A2344A4" w:rsidR="00EF34BC" w:rsidRPr="00BF46D1" w:rsidRDefault="000D1CCB" w:rsidP="00582B5E">
      <w:pPr>
        <w:pStyle w:val="ParaNum"/>
        <w:keepNext/>
        <w:widowControl/>
        <w:tabs>
          <w:tab w:val="clear" w:pos="1080"/>
        </w:tabs>
        <w:jc w:val="left"/>
        <w:rPr>
          <w:rFonts w:ascii="Times New Roman" w:hAnsi="Times New Roman" w:cs="Times New Roman"/>
        </w:rPr>
      </w:pPr>
      <w:r w:rsidRPr="00BF46D1">
        <w:rPr>
          <w:rFonts w:ascii="Times New Roman" w:hAnsi="Times New Roman" w:cs="Times New Roman"/>
        </w:rPr>
        <w:t xml:space="preserve">Section 227(b)(2)(C) of the </w:t>
      </w:r>
      <w:r w:rsidR="00261C56">
        <w:rPr>
          <w:rFonts w:ascii="Times New Roman" w:hAnsi="Times New Roman" w:cs="Times New Roman"/>
        </w:rPr>
        <w:t xml:space="preserve">Act supplies the </w:t>
      </w:r>
      <w:r w:rsidRPr="00BF46D1">
        <w:rPr>
          <w:rFonts w:ascii="Times New Roman" w:hAnsi="Times New Roman" w:cs="Times New Roman"/>
        </w:rPr>
        <w:t>Commission</w:t>
      </w:r>
      <w:r w:rsidR="00261C56">
        <w:rPr>
          <w:rFonts w:ascii="Times New Roman" w:hAnsi="Times New Roman" w:cs="Times New Roman"/>
        </w:rPr>
        <w:t>’s authority</w:t>
      </w:r>
      <w:r w:rsidRPr="00BF46D1">
        <w:rPr>
          <w:rFonts w:ascii="Times New Roman" w:hAnsi="Times New Roman" w:cs="Times New Roman"/>
        </w:rPr>
        <w:t xml:space="preserve"> to exempt from </w:t>
      </w:r>
      <w:r w:rsidR="00261C56">
        <w:rPr>
          <w:rFonts w:ascii="Times New Roman" w:hAnsi="Times New Roman" w:cs="Times New Roman"/>
        </w:rPr>
        <w:t xml:space="preserve">the </w:t>
      </w:r>
      <w:r w:rsidRPr="00BF46D1">
        <w:rPr>
          <w:rFonts w:ascii="Times New Roman" w:hAnsi="Times New Roman" w:cs="Times New Roman"/>
        </w:rPr>
        <w:t xml:space="preserve">consent requirement </w:t>
      </w:r>
      <w:r w:rsidR="00261C56">
        <w:rPr>
          <w:rFonts w:ascii="Times New Roman" w:hAnsi="Times New Roman" w:cs="Times New Roman"/>
        </w:rPr>
        <w:t>robo</w:t>
      </w:r>
      <w:r w:rsidRPr="00BF46D1">
        <w:rPr>
          <w:rFonts w:ascii="Times New Roman" w:hAnsi="Times New Roman" w:cs="Times New Roman"/>
        </w:rPr>
        <w:t>calls to a number assigned to a cellular telephone service that are not charged to the consumer, subject to conditions the Commission may prescribe “as necessary in the interest of</w:t>
      </w:r>
      <w:r w:rsidR="00FC3BA1" w:rsidRPr="00BF46D1">
        <w:rPr>
          <w:rFonts w:ascii="Times New Roman" w:hAnsi="Times New Roman" w:cs="Times New Roman"/>
        </w:rPr>
        <w:t xml:space="preserve"> the</w:t>
      </w:r>
      <w:r w:rsidRPr="00BF46D1">
        <w:rPr>
          <w:rFonts w:ascii="Times New Roman" w:hAnsi="Times New Roman" w:cs="Times New Roman"/>
        </w:rPr>
        <w:t xml:space="preserve"> privacy rights</w:t>
      </w:r>
      <w:r w:rsidR="00FC3BA1" w:rsidRPr="00BF46D1">
        <w:rPr>
          <w:rFonts w:ascii="Times New Roman" w:hAnsi="Times New Roman" w:cs="Times New Roman"/>
        </w:rPr>
        <w:t xml:space="preserve"> [the TCPA] is intended to protect</w:t>
      </w:r>
      <w:r w:rsidRPr="00BF46D1">
        <w:rPr>
          <w:rFonts w:ascii="Times New Roman" w:hAnsi="Times New Roman" w:cs="Times New Roman"/>
        </w:rPr>
        <w:t>.</w:t>
      </w:r>
      <w:r w:rsidR="00FC3BA1" w:rsidRPr="00BF46D1">
        <w:rPr>
          <w:rFonts w:ascii="Times New Roman" w:hAnsi="Times New Roman" w:cs="Times New Roman"/>
        </w:rPr>
        <w:t>”</w:t>
      </w:r>
      <w:r w:rsidR="000A5065" w:rsidRPr="00BF46D1">
        <w:rPr>
          <w:rFonts w:ascii="Times New Roman" w:hAnsi="Times New Roman" w:cs="Times New Roman"/>
          <w:vertAlign w:val="superscript"/>
        </w:rPr>
        <w:footnoteReference w:id="11"/>
      </w:r>
      <w:r w:rsidRPr="00BF46D1">
        <w:rPr>
          <w:rFonts w:ascii="Times New Roman" w:hAnsi="Times New Roman" w:cs="Times New Roman"/>
        </w:rPr>
        <w:t xml:space="preserve">  </w:t>
      </w:r>
      <w:r w:rsidR="00090709" w:rsidRPr="00BF46D1">
        <w:rPr>
          <w:rFonts w:ascii="Times New Roman" w:hAnsi="Times New Roman" w:cs="Times New Roman"/>
        </w:rPr>
        <w:t xml:space="preserve">The Commission has repeatedly acknowledged that </w:t>
      </w:r>
      <w:r w:rsidR="00090709" w:rsidRPr="00BF46D1">
        <w:rPr>
          <w:rFonts w:ascii="Times New Roman" w:hAnsi="Times New Roman" w:cs="Times New Roman"/>
        </w:rPr>
        <w:lastRenderedPageBreak/>
        <w:t>auto</w:t>
      </w:r>
      <w:r w:rsidR="004F00B8" w:rsidRPr="00BF46D1">
        <w:rPr>
          <w:rFonts w:ascii="Times New Roman" w:hAnsi="Times New Roman" w:cs="Times New Roman"/>
        </w:rPr>
        <w:t xml:space="preserve">dialed or </w:t>
      </w:r>
      <w:r w:rsidR="00090709" w:rsidRPr="00BF46D1">
        <w:rPr>
          <w:rFonts w:ascii="Times New Roman" w:hAnsi="Times New Roman" w:cs="Times New Roman"/>
        </w:rPr>
        <w:t>prerecorded</w:t>
      </w:r>
      <w:r w:rsidR="004F00B8" w:rsidRPr="00BF46D1">
        <w:rPr>
          <w:rFonts w:ascii="Times New Roman" w:hAnsi="Times New Roman" w:cs="Times New Roman"/>
        </w:rPr>
        <w:t xml:space="preserve">- or artificial-voice </w:t>
      </w:r>
      <w:r w:rsidR="00090709" w:rsidRPr="00BF46D1">
        <w:rPr>
          <w:rFonts w:ascii="Times New Roman" w:hAnsi="Times New Roman" w:cs="Times New Roman"/>
        </w:rPr>
        <w:t>telephone calls to wireless devices are increasingly intrusive</w:t>
      </w:r>
      <w:r w:rsidR="007448B1" w:rsidRPr="00BF46D1">
        <w:rPr>
          <w:rFonts w:ascii="Times New Roman" w:hAnsi="Times New Roman" w:cs="Times New Roman"/>
        </w:rPr>
        <w:t>,</w:t>
      </w:r>
      <w:r w:rsidR="00090709" w:rsidRPr="00BF46D1">
        <w:rPr>
          <w:rFonts w:ascii="Times New Roman" w:hAnsi="Times New Roman" w:cs="Times New Roman"/>
        </w:rPr>
        <w:t xml:space="preserve"> inconvenient</w:t>
      </w:r>
      <w:r w:rsidR="007448B1" w:rsidRPr="00BF46D1">
        <w:rPr>
          <w:rFonts w:ascii="Times New Roman" w:hAnsi="Times New Roman" w:cs="Times New Roman"/>
        </w:rPr>
        <w:t>, and potentially unsafe</w:t>
      </w:r>
      <w:r w:rsidR="00090709" w:rsidRPr="00BF46D1">
        <w:rPr>
          <w:rFonts w:ascii="Times New Roman" w:hAnsi="Times New Roman" w:cs="Times New Roman"/>
        </w:rPr>
        <w:t>,</w:t>
      </w:r>
      <w:r w:rsidR="00090709" w:rsidRPr="00BF46D1">
        <w:rPr>
          <w:rFonts w:ascii="Times New Roman" w:hAnsi="Times New Roman" w:cs="Times New Roman"/>
          <w:vertAlign w:val="superscript"/>
        </w:rPr>
        <w:footnoteReference w:id="12"/>
      </w:r>
      <w:r w:rsidR="00090709" w:rsidRPr="00BF46D1">
        <w:rPr>
          <w:rFonts w:ascii="Times New Roman" w:hAnsi="Times New Roman" w:cs="Times New Roman"/>
        </w:rPr>
        <w:t xml:space="preserve"> and therefore has only exercised this </w:t>
      </w:r>
      <w:r w:rsidR="00062A8F" w:rsidRPr="00BF46D1">
        <w:rPr>
          <w:rFonts w:ascii="Times New Roman" w:hAnsi="Times New Roman" w:cs="Times New Roman"/>
        </w:rPr>
        <w:t xml:space="preserve">exemption </w:t>
      </w:r>
      <w:r w:rsidR="00090709" w:rsidRPr="00BF46D1">
        <w:rPr>
          <w:rFonts w:ascii="Times New Roman" w:hAnsi="Times New Roman" w:cs="Times New Roman"/>
        </w:rPr>
        <w:t>authority in very limited and narrow circumstances</w:t>
      </w:r>
      <w:r w:rsidR="0057170D">
        <w:rPr>
          <w:rFonts w:ascii="Times New Roman" w:hAnsi="Times New Roman" w:cs="Times New Roman"/>
        </w:rPr>
        <w:t>—</w:t>
      </w:r>
      <w:r w:rsidR="005C1C5C">
        <w:rPr>
          <w:rFonts w:ascii="Times New Roman" w:hAnsi="Times New Roman" w:cs="Times New Roman"/>
          <w:i/>
        </w:rPr>
        <w:t>e.g.</w:t>
      </w:r>
      <w:r w:rsidR="00244EE8">
        <w:rPr>
          <w:rFonts w:ascii="Times New Roman" w:hAnsi="Times New Roman" w:cs="Times New Roman"/>
          <w:i/>
        </w:rPr>
        <w:t xml:space="preserve">, </w:t>
      </w:r>
      <w:r w:rsidR="00244EE8">
        <w:rPr>
          <w:rFonts w:ascii="Times New Roman" w:hAnsi="Times New Roman" w:cs="Times New Roman"/>
        </w:rPr>
        <w:t xml:space="preserve">for time-sensitive messages relating to </w:t>
      </w:r>
      <w:r w:rsidR="00F47B3F">
        <w:rPr>
          <w:rFonts w:ascii="Times New Roman" w:hAnsi="Times New Roman" w:cs="Times New Roman"/>
        </w:rPr>
        <w:t xml:space="preserve">certain </w:t>
      </w:r>
      <w:r w:rsidR="00244EE8">
        <w:rPr>
          <w:rFonts w:ascii="Times New Roman" w:hAnsi="Times New Roman" w:cs="Times New Roman"/>
        </w:rPr>
        <w:t>healthcare</w:t>
      </w:r>
      <w:r w:rsidR="005C1C5C">
        <w:rPr>
          <w:rFonts w:ascii="Times New Roman" w:hAnsi="Times New Roman" w:cs="Times New Roman"/>
        </w:rPr>
        <w:t xml:space="preserve"> and</w:t>
      </w:r>
      <w:r w:rsidR="00244EE8">
        <w:rPr>
          <w:rFonts w:ascii="Times New Roman" w:hAnsi="Times New Roman" w:cs="Times New Roman"/>
        </w:rPr>
        <w:t xml:space="preserve"> </w:t>
      </w:r>
      <w:r w:rsidR="00867E58">
        <w:rPr>
          <w:rFonts w:ascii="Times New Roman" w:hAnsi="Times New Roman" w:cs="Times New Roman"/>
        </w:rPr>
        <w:t>financial transaction</w:t>
      </w:r>
      <w:r w:rsidR="00F47B3F">
        <w:rPr>
          <w:rFonts w:ascii="Times New Roman" w:hAnsi="Times New Roman" w:cs="Times New Roman"/>
        </w:rPr>
        <w:t xml:space="preserve"> notifications</w:t>
      </w:r>
      <w:r w:rsidR="00106EE8" w:rsidRPr="00BF46D1">
        <w:rPr>
          <w:rFonts w:ascii="Times New Roman" w:hAnsi="Times New Roman" w:cs="Times New Roman"/>
        </w:rPr>
        <w:t>.</w:t>
      </w:r>
      <w:r w:rsidR="00106EE8" w:rsidRPr="00BF46D1">
        <w:rPr>
          <w:rFonts w:ascii="Times New Roman" w:hAnsi="Times New Roman" w:cs="Times New Roman"/>
          <w:vertAlign w:val="superscript"/>
        </w:rPr>
        <w:footnoteReference w:id="13"/>
      </w:r>
      <w:r w:rsidR="00106EE8" w:rsidRPr="00BF46D1">
        <w:rPr>
          <w:rFonts w:ascii="Times New Roman" w:hAnsi="Times New Roman" w:cs="Times New Roman"/>
        </w:rPr>
        <w:t xml:space="preserve"> </w:t>
      </w:r>
      <w:r w:rsidR="001D1DC5" w:rsidRPr="00BF46D1">
        <w:rPr>
          <w:rFonts w:ascii="Times New Roman" w:hAnsi="Times New Roman" w:cs="Times New Roman"/>
        </w:rPr>
        <w:t xml:space="preserve">  </w:t>
      </w:r>
    </w:p>
    <w:p w14:paraId="727CF599" w14:textId="1A184AF7" w:rsidR="003240E6" w:rsidRPr="00BF46D1" w:rsidRDefault="002A04F1" w:rsidP="001F2E30">
      <w:pPr>
        <w:pStyle w:val="Heading2"/>
        <w:jc w:val="left"/>
        <w:rPr>
          <w:rFonts w:ascii="Times New Roman" w:hAnsi="Times New Roman" w:cs="Times New Roman"/>
        </w:rPr>
      </w:pPr>
      <w:r w:rsidRPr="00BF46D1">
        <w:rPr>
          <w:rFonts w:ascii="Times New Roman" w:hAnsi="Times New Roman" w:cs="Times New Roman"/>
        </w:rPr>
        <w:t>MBA Petition</w:t>
      </w:r>
    </w:p>
    <w:p w14:paraId="1C84D7F2" w14:textId="4ECF880D" w:rsidR="00C13B62" w:rsidRPr="00BF46D1" w:rsidRDefault="002A04F1" w:rsidP="001F2E30">
      <w:pPr>
        <w:pStyle w:val="ParaNum"/>
        <w:tabs>
          <w:tab w:val="clear" w:pos="1080"/>
          <w:tab w:val="num" w:pos="1440"/>
        </w:tabs>
        <w:jc w:val="left"/>
        <w:rPr>
          <w:rFonts w:ascii="Times New Roman" w:hAnsi="Times New Roman" w:cs="Times New Roman"/>
        </w:rPr>
      </w:pPr>
      <w:r w:rsidRPr="00BF46D1">
        <w:rPr>
          <w:rFonts w:ascii="Times New Roman" w:hAnsi="Times New Roman" w:cs="Times New Roman"/>
        </w:rPr>
        <w:t xml:space="preserve">On June 16, 2016, MBA filed a </w:t>
      </w:r>
      <w:r w:rsidR="00CF5161" w:rsidRPr="00BF46D1">
        <w:rPr>
          <w:rFonts w:ascii="Times New Roman" w:hAnsi="Times New Roman" w:cs="Times New Roman"/>
        </w:rPr>
        <w:t xml:space="preserve">Petition </w:t>
      </w:r>
      <w:r w:rsidR="00160FA5" w:rsidRPr="00BF46D1">
        <w:rPr>
          <w:rFonts w:ascii="Times New Roman" w:hAnsi="Times New Roman" w:cs="Times New Roman"/>
        </w:rPr>
        <w:t xml:space="preserve">asking the Commission to </w:t>
      </w:r>
      <w:r w:rsidRPr="00BF46D1">
        <w:rPr>
          <w:rFonts w:ascii="Times New Roman" w:hAnsi="Times New Roman" w:cs="Times New Roman"/>
        </w:rPr>
        <w:t xml:space="preserve">exempt from the </w:t>
      </w:r>
      <w:r w:rsidR="003302F5" w:rsidRPr="00BF46D1">
        <w:rPr>
          <w:rFonts w:ascii="Times New Roman" w:hAnsi="Times New Roman" w:cs="Times New Roman"/>
        </w:rPr>
        <w:t>prior-express-</w:t>
      </w:r>
      <w:r w:rsidRPr="00BF46D1">
        <w:rPr>
          <w:rFonts w:ascii="Times New Roman" w:hAnsi="Times New Roman" w:cs="Times New Roman"/>
        </w:rPr>
        <w:t xml:space="preserve">consent requirement non-telemarketing residential mortgage servicing calls to </w:t>
      </w:r>
      <w:r w:rsidR="00C102D8" w:rsidRPr="00BF46D1">
        <w:rPr>
          <w:rFonts w:ascii="Times New Roman" w:hAnsi="Times New Roman" w:cs="Times New Roman"/>
        </w:rPr>
        <w:t xml:space="preserve">wireless </w:t>
      </w:r>
      <w:r w:rsidRPr="00BF46D1">
        <w:rPr>
          <w:rFonts w:ascii="Times New Roman" w:hAnsi="Times New Roman" w:cs="Times New Roman"/>
        </w:rPr>
        <w:t>telephone numbers.</w:t>
      </w:r>
      <w:r w:rsidR="009D6CE1" w:rsidRPr="00BF46D1">
        <w:rPr>
          <w:rFonts w:ascii="Times New Roman" w:hAnsi="Times New Roman" w:cs="Times New Roman"/>
          <w:vertAlign w:val="superscript"/>
        </w:rPr>
        <w:footnoteReference w:id="14"/>
      </w:r>
      <w:r w:rsidRPr="00BF46D1">
        <w:rPr>
          <w:rFonts w:ascii="Times New Roman" w:hAnsi="Times New Roman" w:cs="Times New Roman"/>
        </w:rPr>
        <w:t xml:space="preserve">  </w:t>
      </w:r>
      <w:r w:rsidR="00D57C3F">
        <w:rPr>
          <w:rFonts w:ascii="Times New Roman" w:hAnsi="Times New Roman" w:cs="Times New Roman"/>
        </w:rPr>
        <w:t xml:space="preserve">While not an exhaustive list of the types of “mortgage servicing” calls it would make, MBA provides several examples of specific calls </w:t>
      </w:r>
      <w:r w:rsidR="0057170D">
        <w:rPr>
          <w:rFonts w:ascii="Times New Roman" w:hAnsi="Times New Roman" w:cs="Times New Roman"/>
        </w:rPr>
        <w:t>it might make</w:t>
      </w:r>
      <w:r w:rsidR="00D57C3F">
        <w:rPr>
          <w:rFonts w:ascii="Times New Roman" w:hAnsi="Times New Roman" w:cs="Times New Roman"/>
        </w:rPr>
        <w:t xml:space="preserve"> if the exemption were granted, namely to determine the reasons and nature of a delinquency and </w:t>
      </w:r>
      <w:r w:rsidR="00542B95">
        <w:rPr>
          <w:rFonts w:ascii="Times New Roman" w:hAnsi="Times New Roman" w:cs="Times New Roman"/>
        </w:rPr>
        <w:t xml:space="preserve">to </w:t>
      </w:r>
      <w:r w:rsidR="00D57C3F">
        <w:rPr>
          <w:rFonts w:ascii="Times New Roman" w:hAnsi="Times New Roman" w:cs="Times New Roman"/>
        </w:rPr>
        <w:t>counsel homeowners on their obligations and potential options</w:t>
      </w:r>
      <w:r w:rsidR="00090DE1">
        <w:rPr>
          <w:rFonts w:ascii="Times New Roman" w:hAnsi="Times New Roman" w:cs="Times New Roman"/>
        </w:rPr>
        <w:t>.</w:t>
      </w:r>
      <w:r w:rsidR="00D57C3F" w:rsidRPr="00BF46D1">
        <w:rPr>
          <w:rFonts w:ascii="Times New Roman" w:hAnsi="Times New Roman" w:cs="Times New Roman"/>
          <w:vertAlign w:val="superscript"/>
        </w:rPr>
        <w:footnoteReference w:id="15"/>
      </w:r>
      <w:r w:rsidR="00D57C3F" w:rsidDel="00D57C3F">
        <w:rPr>
          <w:rFonts w:ascii="Times New Roman" w:hAnsi="Times New Roman" w:cs="Times New Roman"/>
        </w:rPr>
        <w:t xml:space="preserve"> </w:t>
      </w:r>
      <w:r w:rsidR="00B715DC">
        <w:rPr>
          <w:rFonts w:ascii="Times New Roman" w:hAnsi="Times New Roman" w:cs="Times New Roman"/>
        </w:rPr>
        <w:t xml:space="preserve"> Specifically, MBA cites to, among other communications, determining whether a borrower has abandoned or vacated a property</w:t>
      </w:r>
      <w:r w:rsidR="00A148B9">
        <w:rPr>
          <w:rFonts w:ascii="Times New Roman" w:hAnsi="Times New Roman" w:cs="Times New Roman"/>
        </w:rPr>
        <w:t>, discussing missing documentation needed to complete a loss mitigation application,</w:t>
      </w:r>
      <w:r w:rsidR="00B715DC">
        <w:rPr>
          <w:rFonts w:ascii="Times New Roman" w:hAnsi="Times New Roman" w:cs="Times New Roman"/>
        </w:rPr>
        <w:t xml:space="preserve"> and/or </w:t>
      </w:r>
      <w:r w:rsidR="00A148B9">
        <w:rPr>
          <w:rFonts w:ascii="Times New Roman" w:hAnsi="Times New Roman" w:cs="Times New Roman"/>
        </w:rPr>
        <w:t xml:space="preserve">determining the homeowner’s </w:t>
      </w:r>
      <w:r w:rsidR="00B715DC">
        <w:rPr>
          <w:rFonts w:ascii="Times New Roman" w:hAnsi="Times New Roman" w:cs="Times New Roman"/>
        </w:rPr>
        <w:t>current perception of their financial circumstances and ability to repay the debt.</w:t>
      </w:r>
      <w:r w:rsidR="00B715DC" w:rsidRPr="00B715DC">
        <w:rPr>
          <w:rFonts w:ascii="Times New Roman" w:hAnsi="Times New Roman" w:cs="Times New Roman"/>
          <w:vertAlign w:val="superscript"/>
        </w:rPr>
        <w:t xml:space="preserve"> </w:t>
      </w:r>
      <w:r w:rsidR="00B715DC" w:rsidRPr="00BF46D1">
        <w:rPr>
          <w:rFonts w:ascii="Times New Roman" w:hAnsi="Times New Roman" w:cs="Times New Roman"/>
          <w:vertAlign w:val="superscript"/>
        </w:rPr>
        <w:footnoteReference w:id="16"/>
      </w:r>
      <w:r w:rsidR="00B715DC">
        <w:rPr>
          <w:rFonts w:ascii="Times New Roman" w:hAnsi="Times New Roman" w:cs="Times New Roman"/>
        </w:rPr>
        <w:t xml:space="preserve"> </w:t>
      </w:r>
      <w:r w:rsidR="004C12D5" w:rsidRPr="00BF46D1">
        <w:rPr>
          <w:rFonts w:ascii="Times New Roman" w:hAnsi="Times New Roman" w:cs="Times New Roman"/>
        </w:rPr>
        <w:t>According to MBA’s Petition, the mortgage market is the single largest for consumer financial products and services in the United States and mortgage servicers are responsible for numerous day-to-day management responsibilities that necessitate contacts with borrowers.</w:t>
      </w:r>
      <w:r w:rsidR="004C12D5" w:rsidRPr="00BF46D1">
        <w:rPr>
          <w:rFonts w:ascii="Times New Roman" w:hAnsi="Times New Roman" w:cs="Times New Roman"/>
          <w:vertAlign w:val="superscript"/>
        </w:rPr>
        <w:footnoteReference w:id="17"/>
      </w:r>
      <w:r w:rsidR="004C12D5" w:rsidRPr="00BF46D1">
        <w:rPr>
          <w:rFonts w:ascii="Times New Roman" w:hAnsi="Times New Roman" w:cs="Times New Roman"/>
        </w:rPr>
        <w:t xml:space="preserve">  </w:t>
      </w:r>
      <w:r w:rsidR="00C13B62" w:rsidRPr="00BF46D1">
        <w:rPr>
          <w:rFonts w:ascii="Times New Roman" w:hAnsi="Times New Roman" w:cs="Times New Roman"/>
        </w:rPr>
        <w:t>MBA states that</w:t>
      </w:r>
      <w:r w:rsidR="00C102D8" w:rsidRPr="00BF46D1">
        <w:rPr>
          <w:rFonts w:ascii="Times New Roman" w:hAnsi="Times New Roman" w:cs="Times New Roman"/>
        </w:rPr>
        <w:t>, in the case of a mortgage default,</w:t>
      </w:r>
      <w:r w:rsidR="00C13B62" w:rsidRPr="00BF46D1">
        <w:rPr>
          <w:rFonts w:ascii="Times New Roman" w:hAnsi="Times New Roman" w:cs="Times New Roman"/>
        </w:rPr>
        <w:t xml:space="preserve"> it is important that mortgage servicers be able to speak to delinquent borrowers as early as possible </w:t>
      </w:r>
      <w:r w:rsidR="00C045D1" w:rsidRPr="00BF46D1">
        <w:rPr>
          <w:rFonts w:ascii="Times New Roman" w:hAnsi="Times New Roman" w:cs="Times New Roman"/>
        </w:rPr>
        <w:t xml:space="preserve">so </w:t>
      </w:r>
      <w:r w:rsidR="00C13B62" w:rsidRPr="00BF46D1">
        <w:rPr>
          <w:rFonts w:ascii="Times New Roman" w:hAnsi="Times New Roman" w:cs="Times New Roman"/>
        </w:rPr>
        <w:t>that the mortgage servicer can communicate the borrower’s options.</w:t>
      </w:r>
      <w:r w:rsidR="00C13B62" w:rsidRPr="00BF46D1">
        <w:rPr>
          <w:rFonts w:ascii="Times New Roman" w:hAnsi="Times New Roman" w:cs="Times New Roman"/>
          <w:vertAlign w:val="superscript"/>
        </w:rPr>
        <w:footnoteReference w:id="18"/>
      </w:r>
    </w:p>
    <w:p w14:paraId="6F1BEF46" w14:textId="77777777" w:rsidR="00090DE1" w:rsidRDefault="00C13B62" w:rsidP="001F2E30">
      <w:pPr>
        <w:pStyle w:val="ParaNum"/>
        <w:tabs>
          <w:tab w:val="clear" w:pos="1080"/>
          <w:tab w:val="num" w:pos="1440"/>
        </w:tabs>
        <w:jc w:val="left"/>
        <w:rPr>
          <w:rFonts w:ascii="Times New Roman" w:hAnsi="Times New Roman" w:cs="Times New Roman"/>
        </w:rPr>
      </w:pPr>
      <w:r w:rsidRPr="00BF46D1">
        <w:rPr>
          <w:rFonts w:ascii="Times New Roman" w:hAnsi="Times New Roman" w:cs="Times New Roman"/>
        </w:rPr>
        <w:t>MBA asserts that the benefits of mortgage servicing calls far outweigh potential privacy interests.</w:t>
      </w:r>
      <w:r w:rsidRPr="00BF46D1">
        <w:rPr>
          <w:rFonts w:ascii="Times New Roman" w:hAnsi="Times New Roman" w:cs="Times New Roman"/>
          <w:vertAlign w:val="superscript"/>
        </w:rPr>
        <w:footnoteReference w:id="19"/>
      </w:r>
      <w:r w:rsidRPr="00BF46D1">
        <w:rPr>
          <w:rFonts w:ascii="Times New Roman" w:hAnsi="Times New Roman" w:cs="Times New Roman"/>
        </w:rPr>
        <w:t xml:space="preserve">  </w:t>
      </w:r>
      <w:r w:rsidR="002A04F1" w:rsidRPr="00BF46D1">
        <w:rPr>
          <w:rFonts w:ascii="Times New Roman" w:hAnsi="Times New Roman" w:cs="Times New Roman"/>
        </w:rPr>
        <w:t xml:space="preserve">MBA maintains that the exemption is necessary to ensure that </w:t>
      </w:r>
      <w:r w:rsidR="009D6CE1" w:rsidRPr="00BF46D1">
        <w:rPr>
          <w:rFonts w:ascii="Times New Roman" w:hAnsi="Times New Roman" w:cs="Times New Roman"/>
        </w:rPr>
        <w:t>the TCPA does not restrict mandated</w:t>
      </w:r>
      <w:r w:rsidR="00C102D8" w:rsidRPr="00BF46D1">
        <w:rPr>
          <w:rFonts w:ascii="Times New Roman" w:hAnsi="Times New Roman" w:cs="Times New Roman"/>
        </w:rPr>
        <w:t>,</w:t>
      </w:r>
      <w:r w:rsidR="009D6CE1" w:rsidRPr="00BF46D1">
        <w:rPr>
          <w:rFonts w:ascii="Times New Roman" w:hAnsi="Times New Roman" w:cs="Times New Roman"/>
        </w:rPr>
        <w:t xml:space="preserve"> </w:t>
      </w:r>
      <w:r w:rsidR="00974122" w:rsidRPr="00BF46D1">
        <w:rPr>
          <w:rFonts w:ascii="Times New Roman" w:hAnsi="Times New Roman" w:cs="Times New Roman"/>
        </w:rPr>
        <w:t xml:space="preserve">timely </w:t>
      </w:r>
      <w:r w:rsidR="009D6CE1" w:rsidRPr="00BF46D1">
        <w:rPr>
          <w:rFonts w:ascii="Times New Roman" w:hAnsi="Times New Roman" w:cs="Times New Roman"/>
        </w:rPr>
        <w:t xml:space="preserve">communications with residential mortgage borrowers </w:t>
      </w:r>
      <w:r w:rsidR="00C102D8" w:rsidRPr="00BF46D1">
        <w:rPr>
          <w:rFonts w:ascii="Times New Roman" w:hAnsi="Times New Roman" w:cs="Times New Roman"/>
        </w:rPr>
        <w:t xml:space="preserve">that are </w:t>
      </w:r>
      <w:r w:rsidR="009D6CE1" w:rsidRPr="00BF46D1">
        <w:rPr>
          <w:rFonts w:ascii="Times New Roman" w:hAnsi="Times New Roman" w:cs="Times New Roman"/>
        </w:rPr>
        <w:t>required by other federal and state laws</w:t>
      </w:r>
      <w:r w:rsidR="00C102D8" w:rsidRPr="00BF46D1">
        <w:rPr>
          <w:rFonts w:ascii="Times New Roman" w:hAnsi="Times New Roman" w:cs="Times New Roman"/>
        </w:rPr>
        <w:t xml:space="preserve"> or </w:t>
      </w:r>
      <w:r w:rsidR="009D6CE1" w:rsidRPr="00BF46D1">
        <w:rPr>
          <w:rFonts w:ascii="Times New Roman" w:hAnsi="Times New Roman" w:cs="Times New Roman"/>
        </w:rPr>
        <w:t>regulations.</w:t>
      </w:r>
      <w:r w:rsidR="00C03E77" w:rsidRPr="00BF46D1">
        <w:rPr>
          <w:rFonts w:ascii="Times New Roman" w:hAnsi="Times New Roman" w:cs="Times New Roman"/>
          <w:vertAlign w:val="superscript"/>
        </w:rPr>
        <w:footnoteReference w:id="20"/>
      </w:r>
      <w:r w:rsidR="00C03E77" w:rsidRPr="00BF46D1">
        <w:rPr>
          <w:rFonts w:ascii="Times New Roman" w:hAnsi="Times New Roman" w:cs="Times New Roman"/>
        </w:rPr>
        <w:t xml:space="preserve">  </w:t>
      </w:r>
      <w:r w:rsidRPr="00BF46D1">
        <w:rPr>
          <w:rFonts w:ascii="Times New Roman" w:hAnsi="Times New Roman" w:cs="Times New Roman"/>
        </w:rPr>
        <w:t xml:space="preserve">To illustrate this point, </w:t>
      </w:r>
      <w:r w:rsidR="00046A72" w:rsidRPr="00BF46D1">
        <w:rPr>
          <w:rFonts w:ascii="Times New Roman" w:hAnsi="Times New Roman" w:cs="Times New Roman"/>
        </w:rPr>
        <w:t xml:space="preserve">MBA </w:t>
      </w:r>
      <w:r w:rsidR="00C102D8" w:rsidRPr="00BF46D1">
        <w:rPr>
          <w:rFonts w:ascii="Times New Roman" w:hAnsi="Times New Roman" w:cs="Times New Roman"/>
        </w:rPr>
        <w:t xml:space="preserve">includes in its </w:t>
      </w:r>
      <w:r w:rsidR="00CF5161" w:rsidRPr="00BF46D1">
        <w:rPr>
          <w:rFonts w:ascii="Times New Roman" w:hAnsi="Times New Roman" w:cs="Times New Roman"/>
        </w:rPr>
        <w:t>P</w:t>
      </w:r>
      <w:r w:rsidR="00C102D8" w:rsidRPr="00BF46D1">
        <w:rPr>
          <w:rFonts w:ascii="Times New Roman" w:hAnsi="Times New Roman" w:cs="Times New Roman"/>
        </w:rPr>
        <w:t xml:space="preserve">etition </w:t>
      </w:r>
      <w:r w:rsidR="00046A72" w:rsidRPr="00BF46D1">
        <w:rPr>
          <w:rFonts w:ascii="Times New Roman" w:hAnsi="Times New Roman" w:cs="Times New Roman"/>
        </w:rPr>
        <w:t xml:space="preserve">a </w:t>
      </w:r>
      <w:r w:rsidR="00C045D1" w:rsidRPr="00BF46D1">
        <w:rPr>
          <w:rFonts w:ascii="Times New Roman" w:hAnsi="Times New Roman" w:cs="Times New Roman"/>
        </w:rPr>
        <w:t>chart</w:t>
      </w:r>
      <w:r w:rsidR="00046A72" w:rsidRPr="00BF46D1">
        <w:rPr>
          <w:rFonts w:ascii="Times New Roman" w:hAnsi="Times New Roman" w:cs="Times New Roman"/>
        </w:rPr>
        <w:t xml:space="preserve"> of various federal agencies </w:t>
      </w:r>
      <w:r w:rsidRPr="00BF46D1">
        <w:rPr>
          <w:rFonts w:ascii="Times New Roman" w:hAnsi="Times New Roman" w:cs="Times New Roman"/>
        </w:rPr>
        <w:t xml:space="preserve">and state regulators </w:t>
      </w:r>
      <w:r w:rsidR="00C102D8" w:rsidRPr="00BF46D1">
        <w:rPr>
          <w:rFonts w:ascii="Times New Roman" w:hAnsi="Times New Roman" w:cs="Times New Roman"/>
        </w:rPr>
        <w:t xml:space="preserve">and the </w:t>
      </w:r>
      <w:r w:rsidR="00C045D1" w:rsidRPr="00BF46D1">
        <w:rPr>
          <w:rFonts w:ascii="Times New Roman" w:hAnsi="Times New Roman" w:cs="Times New Roman"/>
        </w:rPr>
        <w:t xml:space="preserve">mortgage servicing </w:t>
      </w:r>
      <w:r w:rsidR="009A1B2A" w:rsidRPr="00BF46D1">
        <w:rPr>
          <w:rFonts w:ascii="Times New Roman" w:hAnsi="Times New Roman" w:cs="Times New Roman"/>
        </w:rPr>
        <w:t>contacts</w:t>
      </w:r>
      <w:r w:rsidR="00C102D8" w:rsidRPr="00BF46D1">
        <w:rPr>
          <w:rFonts w:ascii="Times New Roman" w:hAnsi="Times New Roman" w:cs="Times New Roman"/>
        </w:rPr>
        <w:t xml:space="preserve"> that each requires</w:t>
      </w:r>
      <w:r w:rsidR="009A1B2A" w:rsidRPr="00BF46D1">
        <w:rPr>
          <w:rFonts w:ascii="Times New Roman" w:hAnsi="Times New Roman" w:cs="Times New Roman"/>
        </w:rPr>
        <w:t xml:space="preserve">, which </w:t>
      </w:r>
      <w:r w:rsidR="00BF0DCB" w:rsidRPr="00BF46D1">
        <w:rPr>
          <w:rFonts w:ascii="Times New Roman" w:hAnsi="Times New Roman" w:cs="Times New Roman"/>
        </w:rPr>
        <w:t xml:space="preserve">include both </w:t>
      </w:r>
      <w:r w:rsidR="009A1B2A" w:rsidRPr="00BF46D1">
        <w:rPr>
          <w:rFonts w:ascii="Times New Roman" w:hAnsi="Times New Roman" w:cs="Times New Roman"/>
        </w:rPr>
        <w:t>telephone calls</w:t>
      </w:r>
      <w:r w:rsidR="00BF0DCB" w:rsidRPr="00BF46D1">
        <w:rPr>
          <w:rFonts w:ascii="Times New Roman" w:hAnsi="Times New Roman" w:cs="Times New Roman"/>
        </w:rPr>
        <w:t xml:space="preserve"> and in-person contacts</w:t>
      </w:r>
      <w:r w:rsidR="00046A72" w:rsidRPr="00BF46D1">
        <w:rPr>
          <w:rFonts w:ascii="Times New Roman" w:hAnsi="Times New Roman" w:cs="Times New Roman"/>
        </w:rPr>
        <w:t>.</w:t>
      </w:r>
      <w:r w:rsidR="00046A72" w:rsidRPr="00BF46D1">
        <w:rPr>
          <w:rFonts w:ascii="Times New Roman" w:hAnsi="Times New Roman" w:cs="Times New Roman"/>
          <w:vertAlign w:val="superscript"/>
        </w:rPr>
        <w:footnoteReference w:id="21"/>
      </w:r>
      <w:r w:rsidR="00BF0DCB" w:rsidRPr="00BF46D1">
        <w:rPr>
          <w:rFonts w:ascii="Times New Roman" w:hAnsi="Times New Roman" w:cs="Times New Roman"/>
        </w:rPr>
        <w:t xml:space="preserve">  </w:t>
      </w:r>
      <w:r w:rsidR="00C03E77" w:rsidRPr="00BF46D1">
        <w:rPr>
          <w:rFonts w:ascii="Times New Roman" w:hAnsi="Times New Roman" w:cs="Times New Roman"/>
        </w:rPr>
        <w:t xml:space="preserve">MBA </w:t>
      </w:r>
      <w:r w:rsidRPr="00BF46D1">
        <w:rPr>
          <w:rFonts w:ascii="Times New Roman" w:hAnsi="Times New Roman" w:cs="Times New Roman"/>
        </w:rPr>
        <w:t xml:space="preserve">also </w:t>
      </w:r>
      <w:r w:rsidR="00C03E77" w:rsidRPr="00BF46D1">
        <w:rPr>
          <w:rFonts w:ascii="Times New Roman" w:hAnsi="Times New Roman" w:cs="Times New Roman"/>
        </w:rPr>
        <w:t xml:space="preserve">notes that Congress recently directed the Commission to </w:t>
      </w:r>
      <w:r w:rsidR="003302F5" w:rsidRPr="00BF46D1">
        <w:rPr>
          <w:rFonts w:ascii="Times New Roman" w:hAnsi="Times New Roman" w:cs="Times New Roman"/>
        </w:rPr>
        <w:t>adopt rules</w:t>
      </w:r>
      <w:r w:rsidR="00C03E77" w:rsidRPr="00BF46D1">
        <w:rPr>
          <w:rFonts w:ascii="Times New Roman" w:hAnsi="Times New Roman" w:cs="Times New Roman"/>
        </w:rPr>
        <w:t xml:space="preserve"> to </w:t>
      </w:r>
      <w:r w:rsidR="00B2710F" w:rsidRPr="00BF46D1">
        <w:rPr>
          <w:rFonts w:ascii="Times New Roman" w:hAnsi="Times New Roman" w:cs="Times New Roman"/>
        </w:rPr>
        <w:t xml:space="preserve">except </w:t>
      </w:r>
      <w:r w:rsidR="00C03E77" w:rsidRPr="00BF46D1">
        <w:rPr>
          <w:rFonts w:ascii="Times New Roman" w:hAnsi="Times New Roman" w:cs="Times New Roman"/>
        </w:rPr>
        <w:t xml:space="preserve">from the consent requirement calls made solely </w:t>
      </w:r>
      <w:r w:rsidR="00B2710F" w:rsidRPr="00BF46D1">
        <w:rPr>
          <w:rFonts w:ascii="Times New Roman" w:hAnsi="Times New Roman" w:cs="Times New Roman"/>
        </w:rPr>
        <w:t>to collect</w:t>
      </w:r>
      <w:r w:rsidR="00C03E77" w:rsidRPr="00BF46D1">
        <w:rPr>
          <w:rFonts w:ascii="Times New Roman" w:hAnsi="Times New Roman" w:cs="Times New Roman"/>
        </w:rPr>
        <w:t xml:space="preserve"> a debt owed to or guaranteed by the United States</w:t>
      </w:r>
      <w:r w:rsidR="00BF0DCB" w:rsidRPr="00BF46D1">
        <w:rPr>
          <w:rFonts w:ascii="Times New Roman" w:hAnsi="Times New Roman" w:cs="Times New Roman"/>
        </w:rPr>
        <w:t>.</w:t>
      </w:r>
      <w:r w:rsidR="003F162D">
        <w:rPr>
          <w:rStyle w:val="FootnoteReference"/>
          <w:rFonts w:ascii="Times New Roman" w:hAnsi="Times New Roman" w:cs="Times New Roman"/>
        </w:rPr>
        <w:footnoteReference w:id="22"/>
      </w:r>
      <w:r w:rsidR="00BF0DCB" w:rsidRPr="00BF46D1">
        <w:rPr>
          <w:rFonts w:ascii="Times New Roman" w:hAnsi="Times New Roman" w:cs="Times New Roman"/>
        </w:rPr>
        <w:t xml:space="preserve">  I</w:t>
      </w:r>
      <w:r w:rsidR="00B2710F" w:rsidRPr="00BF46D1">
        <w:rPr>
          <w:rFonts w:ascii="Times New Roman" w:hAnsi="Times New Roman" w:cs="Times New Roman"/>
        </w:rPr>
        <w:t>t</w:t>
      </w:r>
      <w:r w:rsidR="00C03E77" w:rsidRPr="00BF46D1">
        <w:rPr>
          <w:rFonts w:ascii="Times New Roman" w:hAnsi="Times New Roman" w:cs="Times New Roman"/>
        </w:rPr>
        <w:t xml:space="preserve"> argues that </w:t>
      </w:r>
      <w:r w:rsidR="00FB0DAF" w:rsidRPr="00BF46D1">
        <w:rPr>
          <w:rFonts w:ascii="Times New Roman" w:hAnsi="Times New Roman" w:cs="Times New Roman"/>
        </w:rPr>
        <w:t xml:space="preserve">its requested </w:t>
      </w:r>
      <w:r w:rsidR="00C03E77" w:rsidRPr="00BF46D1">
        <w:rPr>
          <w:rFonts w:ascii="Times New Roman" w:hAnsi="Times New Roman" w:cs="Times New Roman"/>
        </w:rPr>
        <w:t xml:space="preserve">exemption is necessary to ensure that </w:t>
      </w:r>
      <w:r w:rsidR="007905F9" w:rsidRPr="00BF46D1">
        <w:rPr>
          <w:rFonts w:ascii="Times New Roman" w:hAnsi="Times New Roman" w:cs="Times New Roman"/>
        </w:rPr>
        <w:t>calls to borrowers are treated uniformly</w:t>
      </w:r>
      <w:r w:rsidR="00B2710F" w:rsidRPr="00BF46D1">
        <w:rPr>
          <w:rFonts w:ascii="Times New Roman" w:hAnsi="Times New Roman" w:cs="Times New Roman"/>
        </w:rPr>
        <w:t xml:space="preserve"> in terms of the prior express consent needed to make the call</w:t>
      </w:r>
      <w:r w:rsidR="007905F9" w:rsidRPr="00BF46D1">
        <w:rPr>
          <w:rFonts w:ascii="Times New Roman" w:hAnsi="Times New Roman" w:cs="Times New Roman"/>
        </w:rPr>
        <w:t xml:space="preserve">, regardless </w:t>
      </w:r>
      <w:r w:rsidR="00B2710F" w:rsidRPr="00BF46D1">
        <w:rPr>
          <w:rFonts w:ascii="Times New Roman" w:hAnsi="Times New Roman" w:cs="Times New Roman"/>
        </w:rPr>
        <w:t>of whether the federal government</w:t>
      </w:r>
      <w:r w:rsidR="007905F9" w:rsidRPr="00BF46D1">
        <w:rPr>
          <w:rFonts w:ascii="Times New Roman" w:hAnsi="Times New Roman" w:cs="Times New Roman"/>
        </w:rPr>
        <w:t xml:space="preserve"> </w:t>
      </w:r>
      <w:r w:rsidR="00B2710F" w:rsidRPr="00BF46D1">
        <w:rPr>
          <w:rFonts w:ascii="Times New Roman" w:hAnsi="Times New Roman" w:cs="Times New Roman"/>
        </w:rPr>
        <w:t xml:space="preserve">or a private entity </w:t>
      </w:r>
      <w:r w:rsidR="007905F9" w:rsidRPr="00BF46D1">
        <w:rPr>
          <w:rFonts w:ascii="Times New Roman" w:hAnsi="Times New Roman" w:cs="Times New Roman"/>
        </w:rPr>
        <w:t>owns or insures the mortgage loan</w:t>
      </w:r>
      <w:r w:rsidR="00C03E77" w:rsidRPr="00BF46D1">
        <w:rPr>
          <w:rFonts w:ascii="Times New Roman" w:hAnsi="Times New Roman" w:cs="Times New Roman"/>
        </w:rPr>
        <w:t>.</w:t>
      </w:r>
      <w:r w:rsidR="00C03E77" w:rsidRPr="00BF46D1">
        <w:rPr>
          <w:rFonts w:ascii="Times New Roman" w:hAnsi="Times New Roman" w:cs="Times New Roman"/>
          <w:vertAlign w:val="superscript"/>
        </w:rPr>
        <w:footnoteReference w:id="23"/>
      </w:r>
      <w:r w:rsidR="00324029" w:rsidRPr="00BF46D1">
        <w:rPr>
          <w:rFonts w:ascii="Times New Roman" w:hAnsi="Times New Roman" w:cs="Times New Roman"/>
        </w:rPr>
        <w:t xml:space="preserve">  </w:t>
      </w:r>
    </w:p>
    <w:p w14:paraId="61455419" w14:textId="7C254390" w:rsidR="00C13B62" w:rsidRPr="00BF46D1" w:rsidRDefault="00C13B62" w:rsidP="001F2E30">
      <w:pPr>
        <w:pStyle w:val="ParaNum"/>
        <w:tabs>
          <w:tab w:val="clear" w:pos="1080"/>
          <w:tab w:val="num" w:pos="1440"/>
        </w:tabs>
        <w:jc w:val="left"/>
        <w:rPr>
          <w:rFonts w:ascii="Times New Roman" w:hAnsi="Times New Roman" w:cs="Times New Roman"/>
        </w:rPr>
      </w:pPr>
      <w:r w:rsidRPr="00BF46D1">
        <w:rPr>
          <w:rFonts w:ascii="Times New Roman" w:hAnsi="Times New Roman" w:cs="Times New Roman"/>
        </w:rPr>
        <w:t xml:space="preserve">Finally, MBA acknowledges the Commission’s mandate to protect </w:t>
      </w:r>
      <w:r w:rsidR="00B2710F" w:rsidRPr="00BF46D1">
        <w:rPr>
          <w:rFonts w:ascii="Times New Roman" w:hAnsi="Times New Roman" w:cs="Times New Roman"/>
        </w:rPr>
        <w:t xml:space="preserve">the </w:t>
      </w:r>
      <w:r w:rsidRPr="00BF46D1">
        <w:rPr>
          <w:rFonts w:ascii="Times New Roman" w:hAnsi="Times New Roman" w:cs="Times New Roman"/>
        </w:rPr>
        <w:t xml:space="preserve">privacy interests </w:t>
      </w:r>
      <w:r w:rsidR="00B2710F" w:rsidRPr="00BF46D1">
        <w:rPr>
          <w:rFonts w:ascii="Times New Roman" w:hAnsi="Times New Roman" w:cs="Times New Roman"/>
        </w:rPr>
        <w:t xml:space="preserve">of consumers </w:t>
      </w:r>
      <w:r w:rsidRPr="00BF46D1">
        <w:rPr>
          <w:rFonts w:ascii="Times New Roman" w:hAnsi="Times New Roman" w:cs="Times New Roman"/>
        </w:rPr>
        <w:t xml:space="preserve">and suggests conditions for </w:t>
      </w:r>
      <w:r w:rsidR="00C41A3F" w:rsidRPr="00BF46D1">
        <w:rPr>
          <w:rFonts w:ascii="Times New Roman" w:hAnsi="Times New Roman" w:cs="Times New Roman"/>
        </w:rPr>
        <w:t xml:space="preserve">the proposed exempted </w:t>
      </w:r>
      <w:r w:rsidRPr="00BF46D1">
        <w:rPr>
          <w:rFonts w:ascii="Times New Roman" w:hAnsi="Times New Roman" w:cs="Times New Roman"/>
        </w:rPr>
        <w:t>free-to-end user mortgage servicing call</w:t>
      </w:r>
      <w:r w:rsidR="00C41A3F" w:rsidRPr="00BF46D1">
        <w:rPr>
          <w:rFonts w:ascii="Times New Roman" w:hAnsi="Times New Roman" w:cs="Times New Roman"/>
        </w:rPr>
        <w:t>s</w:t>
      </w:r>
      <w:r w:rsidRPr="00BF46D1">
        <w:rPr>
          <w:rFonts w:ascii="Times New Roman" w:hAnsi="Times New Roman" w:cs="Times New Roman"/>
        </w:rPr>
        <w:t>.</w:t>
      </w:r>
      <w:r w:rsidRPr="00BF46D1">
        <w:rPr>
          <w:rFonts w:ascii="Times New Roman" w:hAnsi="Times New Roman" w:cs="Times New Roman"/>
          <w:vertAlign w:val="superscript"/>
        </w:rPr>
        <w:footnoteReference w:id="24"/>
      </w:r>
      <w:r w:rsidR="00342A79" w:rsidRPr="00BF46D1">
        <w:rPr>
          <w:rFonts w:ascii="Times New Roman" w:hAnsi="Times New Roman" w:cs="Times New Roman"/>
        </w:rPr>
        <w:t xml:space="preserve">  </w:t>
      </w:r>
      <w:r w:rsidR="00090DE1" w:rsidRPr="00BF46D1">
        <w:rPr>
          <w:rFonts w:ascii="Times New Roman" w:hAnsi="Times New Roman" w:cs="Times New Roman"/>
        </w:rPr>
        <w:t>The suggested conditions specify that mortgage servicers must state the name and contact information of the mortgage servicer; calls must not include any telemarketing, cross-marketing, solicitation, or advertising content; text messages and prerecorded calls must be concise; an easy means of opting out of future messages must be offered; and any such opt-out requests must be honored promptly.</w:t>
      </w:r>
      <w:r w:rsidR="00090DE1" w:rsidRPr="00BF46D1">
        <w:rPr>
          <w:rFonts w:ascii="Times New Roman" w:hAnsi="Times New Roman" w:cs="Times New Roman"/>
          <w:vertAlign w:val="superscript"/>
        </w:rPr>
        <w:footnoteReference w:id="25"/>
      </w:r>
    </w:p>
    <w:p w14:paraId="1A4DD13B" w14:textId="688C21C1" w:rsidR="00AC2948" w:rsidRPr="00BF46D1" w:rsidRDefault="00DE526A" w:rsidP="001F2E30">
      <w:pPr>
        <w:pStyle w:val="ParaNum"/>
        <w:tabs>
          <w:tab w:val="clear" w:pos="1080"/>
          <w:tab w:val="num" w:pos="1440"/>
        </w:tabs>
        <w:jc w:val="left"/>
        <w:rPr>
          <w:rFonts w:ascii="Times New Roman" w:hAnsi="Times New Roman" w:cs="Times New Roman"/>
        </w:rPr>
      </w:pPr>
      <w:r w:rsidRPr="00BF46D1">
        <w:rPr>
          <w:rFonts w:ascii="Times New Roman" w:hAnsi="Times New Roman" w:cs="Times New Roman"/>
        </w:rPr>
        <w:t>The Commission sought comment on the issues raised in the Petition.</w:t>
      </w:r>
      <w:r w:rsidRPr="00BF46D1">
        <w:rPr>
          <w:rStyle w:val="FootnoteReference"/>
          <w:rFonts w:ascii="Times New Roman" w:hAnsi="Times New Roman" w:cs="Times New Roman"/>
        </w:rPr>
        <w:footnoteReference w:id="26"/>
      </w:r>
      <w:r w:rsidRPr="00BF46D1">
        <w:rPr>
          <w:rFonts w:ascii="Times New Roman" w:hAnsi="Times New Roman" w:cs="Times New Roman"/>
        </w:rPr>
        <w:t xml:space="preserve">  </w:t>
      </w:r>
      <w:r w:rsidR="00CC5E5D" w:rsidRPr="00BF46D1">
        <w:rPr>
          <w:rFonts w:ascii="Times New Roman" w:hAnsi="Times New Roman" w:cs="Times New Roman"/>
        </w:rPr>
        <w:t>Nine</w:t>
      </w:r>
      <w:r w:rsidR="006B0C83" w:rsidRPr="00BF46D1">
        <w:rPr>
          <w:rFonts w:ascii="Times New Roman" w:hAnsi="Times New Roman" w:cs="Times New Roman"/>
        </w:rPr>
        <w:t xml:space="preserve"> consumer groups and individual consumers filed comments in opposition to MBA’s </w:t>
      </w:r>
      <w:r w:rsidR="00CF5161" w:rsidRPr="00BF46D1">
        <w:rPr>
          <w:rFonts w:ascii="Times New Roman" w:hAnsi="Times New Roman" w:cs="Times New Roman"/>
        </w:rPr>
        <w:t>Petition</w:t>
      </w:r>
      <w:r w:rsidR="006B0C83" w:rsidRPr="00BF46D1">
        <w:rPr>
          <w:rFonts w:ascii="Times New Roman" w:hAnsi="Times New Roman" w:cs="Times New Roman"/>
        </w:rPr>
        <w:t>.</w:t>
      </w:r>
      <w:r w:rsidR="006B0C83" w:rsidRPr="00BF46D1">
        <w:rPr>
          <w:rStyle w:val="FootnoteReference"/>
          <w:rFonts w:ascii="Times New Roman" w:hAnsi="Times New Roman" w:cs="Times New Roman"/>
        </w:rPr>
        <w:footnoteReference w:id="27"/>
      </w:r>
      <w:r w:rsidR="006B0C83" w:rsidRPr="00BF46D1">
        <w:rPr>
          <w:rFonts w:ascii="Times New Roman" w:hAnsi="Times New Roman" w:cs="Times New Roman"/>
        </w:rPr>
        <w:t xml:space="preserve">  </w:t>
      </w:r>
      <w:r w:rsidR="007F00B9" w:rsidRPr="00BF46D1">
        <w:rPr>
          <w:rFonts w:ascii="Times New Roman" w:hAnsi="Times New Roman" w:cs="Times New Roman"/>
        </w:rPr>
        <w:t>Several commenters contend that</w:t>
      </w:r>
      <w:r w:rsidR="006A732E" w:rsidRPr="00BF46D1">
        <w:rPr>
          <w:rFonts w:ascii="Times New Roman" w:hAnsi="Times New Roman" w:cs="Times New Roman"/>
        </w:rPr>
        <w:t xml:space="preserve"> mortgage servicers and their agents often violate the TCPA </w:t>
      </w:r>
      <w:r w:rsidR="007F00B9" w:rsidRPr="00BF46D1">
        <w:rPr>
          <w:rFonts w:ascii="Times New Roman" w:hAnsi="Times New Roman" w:cs="Times New Roman"/>
        </w:rPr>
        <w:t>by making frequent h</w:t>
      </w:r>
      <w:r w:rsidR="00C045D1" w:rsidRPr="00BF46D1">
        <w:rPr>
          <w:rFonts w:ascii="Times New Roman" w:hAnsi="Times New Roman" w:cs="Times New Roman"/>
        </w:rPr>
        <w:t xml:space="preserve">arassing calls to consumers, </w:t>
      </w:r>
      <w:r w:rsidR="007F00B9" w:rsidRPr="00BF46D1">
        <w:rPr>
          <w:rFonts w:ascii="Times New Roman" w:hAnsi="Times New Roman" w:cs="Times New Roman"/>
        </w:rPr>
        <w:t>that the calls do not cease even after repeated requests</w:t>
      </w:r>
      <w:r w:rsidR="00C045D1" w:rsidRPr="00BF46D1">
        <w:rPr>
          <w:rFonts w:ascii="Times New Roman" w:hAnsi="Times New Roman" w:cs="Times New Roman"/>
        </w:rPr>
        <w:t>,</w:t>
      </w:r>
      <w:r w:rsidR="007F00B9" w:rsidRPr="00BF46D1">
        <w:rPr>
          <w:rFonts w:ascii="Times New Roman" w:hAnsi="Times New Roman" w:cs="Times New Roman"/>
        </w:rPr>
        <w:t xml:space="preserve"> </w:t>
      </w:r>
      <w:r w:rsidR="006A732E" w:rsidRPr="00BF46D1">
        <w:rPr>
          <w:rFonts w:ascii="Times New Roman" w:hAnsi="Times New Roman" w:cs="Times New Roman"/>
        </w:rPr>
        <w:t xml:space="preserve">and that </w:t>
      </w:r>
      <w:r w:rsidR="00F96B9D" w:rsidRPr="00BF46D1">
        <w:rPr>
          <w:rFonts w:ascii="Times New Roman" w:hAnsi="Times New Roman" w:cs="Times New Roman"/>
        </w:rPr>
        <w:t xml:space="preserve">an exemption </w:t>
      </w:r>
      <w:r w:rsidR="006A732E" w:rsidRPr="00BF46D1">
        <w:rPr>
          <w:rFonts w:ascii="Times New Roman" w:hAnsi="Times New Roman" w:cs="Times New Roman"/>
        </w:rPr>
        <w:t>would further erode consumer privacy.</w:t>
      </w:r>
      <w:r w:rsidR="00AC2948" w:rsidRPr="00BF46D1">
        <w:rPr>
          <w:rStyle w:val="FootnoteReference"/>
          <w:rFonts w:ascii="Times New Roman" w:hAnsi="Times New Roman" w:cs="Times New Roman"/>
        </w:rPr>
        <w:footnoteReference w:id="28"/>
      </w:r>
      <w:r w:rsidR="007F00B9" w:rsidRPr="00BF46D1">
        <w:rPr>
          <w:rFonts w:ascii="Times New Roman" w:hAnsi="Times New Roman" w:cs="Times New Roman"/>
        </w:rPr>
        <w:t xml:space="preserve">  </w:t>
      </w:r>
      <w:r w:rsidR="003E2D6C" w:rsidRPr="00BF46D1">
        <w:rPr>
          <w:rFonts w:ascii="Times New Roman" w:hAnsi="Times New Roman" w:cs="Times New Roman"/>
        </w:rPr>
        <w:t>C</w:t>
      </w:r>
      <w:r w:rsidR="00162DD5" w:rsidRPr="00BF46D1">
        <w:rPr>
          <w:rFonts w:ascii="Times New Roman" w:hAnsi="Times New Roman" w:cs="Times New Roman"/>
        </w:rPr>
        <w:t>ommenters also note that there is no regulatory man</w:t>
      </w:r>
      <w:r w:rsidR="00BA489D" w:rsidRPr="00BF46D1">
        <w:rPr>
          <w:rFonts w:ascii="Times New Roman" w:hAnsi="Times New Roman" w:cs="Times New Roman"/>
        </w:rPr>
        <w:t>date that mortgage servicers utilize</w:t>
      </w:r>
      <w:r w:rsidR="00162DD5" w:rsidRPr="00BF46D1">
        <w:rPr>
          <w:rFonts w:ascii="Times New Roman" w:hAnsi="Times New Roman" w:cs="Times New Roman"/>
        </w:rPr>
        <w:t xml:space="preserve"> an autodialer</w:t>
      </w:r>
      <w:r w:rsidR="002B4BBC" w:rsidRPr="00BF46D1">
        <w:rPr>
          <w:rFonts w:ascii="Times New Roman" w:hAnsi="Times New Roman" w:cs="Times New Roman"/>
        </w:rPr>
        <w:t xml:space="preserve"> to make the calls required by other statutes and re</w:t>
      </w:r>
      <w:r w:rsidR="001B4371" w:rsidRPr="00BF46D1">
        <w:rPr>
          <w:rFonts w:ascii="Times New Roman" w:hAnsi="Times New Roman" w:cs="Times New Roman"/>
        </w:rPr>
        <w:t>g</w:t>
      </w:r>
      <w:r w:rsidR="002B4BBC" w:rsidRPr="00BF46D1">
        <w:rPr>
          <w:rFonts w:ascii="Times New Roman" w:hAnsi="Times New Roman" w:cs="Times New Roman"/>
        </w:rPr>
        <w:t>ulations,</w:t>
      </w:r>
      <w:r w:rsidR="00162DD5" w:rsidRPr="00BF46D1">
        <w:rPr>
          <w:rFonts w:ascii="Times New Roman" w:hAnsi="Times New Roman" w:cs="Times New Roman"/>
        </w:rPr>
        <w:t xml:space="preserve"> and that effective</w:t>
      </w:r>
      <w:r w:rsidR="002B4BBC" w:rsidRPr="00BF46D1">
        <w:rPr>
          <w:rFonts w:ascii="Times New Roman" w:hAnsi="Times New Roman" w:cs="Times New Roman"/>
        </w:rPr>
        <w:t>,</w:t>
      </w:r>
      <w:r w:rsidR="00162DD5" w:rsidRPr="00BF46D1">
        <w:rPr>
          <w:rFonts w:ascii="Times New Roman" w:hAnsi="Times New Roman" w:cs="Times New Roman"/>
        </w:rPr>
        <w:t xml:space="preserve"> less intrusive options exist for </w:t>
      </w:r>
      <w:r w:rsidR="002B4BBC" w:rsidRPr="00BF46D1">
        <w:rPr>
          <w:rFonts w:ascii="Times New Roman" w:hAnsi="Times New Roman" w:cs="Times New Roman"/>
        </w:rPr>
        <w:t xml:space="preserve">communicating </w:t>
      </w:r>
      <w:r w:rsidR="00162DD5" w:rsidRPr="00BF46D1">
        <w:rPr>
          <w:rFonts w:ascii="Times New Roman" w:hAnsi="Times New Roman" w:cs="Times New Roman"/>
        </w:rPr>
        <w:t>with borrowers.</w:t>
      </w:r>
      <w:r w:rsidR="00162DD5" w:rsidRPr="00BF46D1">
        <w:rPr>
          <w:rStyle w:val="FootnoteReference"/>
          <w:rFonts w:ascii="Times New Roman" w:hAnsi="Times New Roman" w:cs="Times New Roman"/>
        </w:rPr>
        <w:footnoteReference w:id="29"/>
      </w:r>
    </w:p>
    <w:p w14:paraId="14BE4C54" w14:textId="62F7CA38" w:rsidR="009658BB" w:rsidRPr="00BF46D1" w:rsidRDefault="007A53F4" w:rsidP="001F2E30">
      <w:pPr>
        <w:pStyle w:val="ParaNum"/>
        <w:tabs>
          <w:tab w:val="clear" w:pos="1080"/>
          <w:tab w:val="num" w:pos="1440"/>
        </w:tabs>
        <w:jc w:val="left"/>
        <w:rPr>
          <w:rFonts w:ascii="Times New Roman" w:hAnsi="Times New Roman" w:cs="Times New Roman"/>
        </w:rPr>
      </w:pPr>
      <w:r w:rsidRPr="00BF46D1">
        <w:rPr>
          <w:rFonts w:ascii="Times New Roman" w:hAnsi="Times New Roman" w:cs="Times New Roman"/>
        </w:rPr>
        <w:t>Four</w:t>
      </w:r>
      <w:r w:rsidR="006B0C83" w:rsidRPr="00BF46D1">
        <w:rPr>
          <w:rFonts w:ascii="Times New Roman" w:hAnsi="Times New Roman" w:cs="Times New Roman"/>
        </w:rPr>
        <w:t xml:space="preserve"> commenters, compris</w:t>
      </w:r>
      <w:r w:rsidR="00734F65">
        <w:rPr>
          <w:rFonts w:ascii="Times New Roman" w:hAnsi="Times New Roman" w:cs="Times New Roman"/>
        </w:rPr>
        <w:t xml:space="preserve">ing </w:t>
      </w:r>
      <w:r w:rsidR="006B0C83" w:rsidRPr="00BF46D1">
        <w:rPr>
          <w:rFonts w:ascii="Times New Roman" w:hAnsi="Times New Roman" w:cs="Times New Roman"/>
        </w:rPr>
        <w:t xml:space="preserve">mortgage servicers and affiliated groups, support MBA’s </w:t>
      </w:r>
      <w:r w:rsidR="00CF5161" w:rsidRPr="00BF46D1">
        <w:rPr>
          <w:rFonts w:ascii="Times New Roman" w:hAnsi="Times New Roman" w:cs="Times New Roman"/>
        </w:rPr>
        <w:t>Petition</w:t>
      </w:r>
      <w:r w:rsidR="006B0C83" w:rsidRPr="00BF46D1">
        <w:rPr>
          <w:rFonts w:ascii="Times New Roman" w:hAnsi="Times New Roman" w:cs="Times New Roman"/>
        </w:rPr>
        <w:t>.</w:t>
      </w:r>
      <w:r w:rsidR="006B0C83" w:rsidRPr="00BF46D1">
        <w:rPr>
          <w:rStyle w:val="FootnoteReference"/>
          <w:rFonts w:ascii="Times New Roman" w:hAnsi="Times New Roman" w:cs="Times New Roman"/>
        </w:rPr>
        <w:footnoteReference w:id="30"/>
      </w:r>
      <w:r w:rsidR="00CC5E5D" w:rsidRPr="00BF46D1">
        <w:rPr>
          <w:rFonts w:ascii="Times New Roman" w:hAnsi="Times New Roman" w:cs="Times New Roman"/>
        </w:rPr>
        <w:t xml:space="preserve"> </w:t>
      </w:r>
      <w:r w:rsidR="00C81A8C" w:rsidRPr="00BF46D1">
        <w:rPr>
          <w:rFonts w:ascii="Times New Roman" w:hAnsi="Times New Roman" w:cs="Times New Roman"/>
        </w:rPr>
        <w:t xml:space="preserve"> </w:t>
      </w:r>
      <w:r w:rsidR="006E69FA" w:rsidRPr="00BF46D1">
        <w:rPr>
          <w:rFonts w:ascii="Times New Roman" w:hAnsi="Times New Roman" w:cs="Times New Roman"/>
        </w:rPr>
        <w:t xml:space="preserve">These commenters </w:t>
      </w:r>
      <w:r w:rsidR="00BD09F7" w:rsidRPr="00BF46D1">
        <w:rPr>
          <w:rFonts w:ascii="Times New Roman" w:hAnsi="Times New Roman" w:cs="Times New Roman"/>
        </w:rPr>
        <w:t xml:space="preserve">generally reiterate the arguments raised in the </w:t>
      </w:r>
      <w:r w:rsidR="00CF5161" w:rsidRPr="00BF46D1">
        <w:rPr>
          <w:rFonts w:ascii="Times New Roman" w:hAnsi="Times New Roman" w:cs="Times New Roman"/>
        </w:rPr>
        <w:t xml:space="preserve">Petition </w:t>
      </w:r>
      <w:r w:rsidR="00BD09F7" w:rsidRPr="00BF46D1">
        <w:rPr>
          <w:rFonts w:ascii="Times New Roman" w:hAnsi="Times New Roman" w:cs="Times New Roman"/>
        </w:rPr>
        <w:t xml:space="preserve">and </w:t>
      </w:r>
      <w:r w:rsidR="006E69FA" w:rsidRPr="00BF46D1">
        <w:rPr>
          <w:rFonts w:ascii="Times New Roman" w:hAnsi="Times New Roman" w:cs="Times New Roman"/>
        </w:rPr>
        <w:t>support MBA’s contention that an exemption is necessary to comply with federal</w:t>
      </w:r>
      <w:r w:rsidR="004B2B7C" w:rsidRPr="00BF46D1">
        <w:rPr>
          <w:rFonts w:ascii="Times New Roman" w:hAnsi="Times New Roman" w:cs="Times New Roman"/>
        </w:rPr>
        <w:t>-</w:t>
      </w:r>
      <w:r w:rsidR="006E69FA" w:rsidRPr="00BF46D1">
        <w:rPr>
          <w:rFonts w:ascii="Times New Roman" w:hAnsi="Times New Roman" w:cs="Times New Roman"/>
        </w:rPr>
        <w:t xml:space="preserve"> and state</w:t>
      </w:r>
      <w:r w:rsidR="004B2B7C" w:rsidRPr="00BF46D1">
        <w:rPr>
          <w:rFonts w:ascii="Times New Roman" w:hAnsi="Times New Roman" w:cs="Times New Roman"/>
        </w:rPr>
        <w:t>-</w:t>
      </w:r>
      <w:r w:rsidR="006E69FA" w:rsidRPr="00BF46D1">
        <w:rPr>
          <w:rFonts w:ascii="Times New Roman" w:hAnsi="Times New Roman" w:cs="Times New Roman"/>
        </w:rPr>
        <w:t xml:space="preserve">mandated servicing </w:t>
      </w:r>
      <w:r w:rsidR="004B2B7C" w:rsidRPr="00BF46D1">
        <w:rPr>
          <w:rFonts w:ascii="Times New Roman" w:hAnsi="Times New Roman" w:cs="Times New Roman"/>
        </w:rPr>
        <w:t xml:space="preserve">requirements </w:t>
      </w:r>
      <w:r w:rsidR="006E69FA" w:rsidRPr="00BF46D1">
        <w:rPr>
          <w:rFonts w:ascii="Times New Roman" w:hAnsi="Times New Roman" w:cs="Times New Roman"/>
        </w:rPr>
        <w:t xml:space="preserve">and to protect mortgage servicers from </w:t>
      </w:r>
      <w:r w:rsidR="00974122" w:rsidRPr="00BF46D1">
        <w:rPr>
          <w:rFonts w:ascii="Times New Roman" w:hAnsi="Times New Roman" w:cs="Times New Roman"/>
        </w:rPr>
        <w:t>numerous lawsuits alleging T</w:t>
      </w:r>
      <w:r w:rsidR="00BD09F7" w:rsidRPr="00BF46D1">
        <w:rPr>
          <w:rFonts w:ascii="Times New Roman" w:hAnsi="Times New Roman" w:cs="Times New Roman"/>
        </w:rPr>
        <w:t>CPA violations.</w:t>
      </w:r>
      <w:r w:rsidR="006421BA" w:rsidRPr="00BF46D1">
        <w:rPr>
          <w:rStyle w:val="FootnoteReference"/>
          <w:rFonts w:ascii="Times New Roman" w:hAnsi="Times New Roman" w:cs="Times New Roman"/>
        </w:rPr>
        <w:footnoteReference w:id="31"/>
      </w:r>
    </w:p>
    <w:p w14:paraId="3CE1E114" w14:textId="0AA3456D" w:rsidR="00DE526A" w:rsidRPr="00BF46D1" w:rsidRDefault="009658BB" w:rsidP="001F2E30">
      <w:pPr>
        <w:pStyle w:val="ParaNum"/>
        <w:tabs>
          <w:tab w:val="clear" w:pos="1080"/>
          <w:tab w:val="num" w:pos="1440"/>
        </w:tabs>
        <w:jc w:val="left"/>
        <w:rPr>
          <w:rFonts w:ascii="Times New Roman" w:hAnsi="Times New Roman" w:cs="Times New Roman"/>
        </w:rPr>
      </w:pPr>
      <w:r w:rsidRPr="00BF46D1">
        <w:rPr>
          <w:rFonts w:ascii="Times New Roman" w:hAnsi="Times New Roman" w:cs="Times New Roman"/>
        </w:rPr>
        <w:t>Two parties, Patrick Maulpin and MBA, filed reply comments.</w:t>
      </w:r>
      <w:r w:rsidRPr="00BF46D1">
        <w:rPr>
          <w:rStyle w:val="FootnoteReference"/>
          <w:rFonts w:ascii="Times New Roman" w:hAnsi="Times New Roman" w:cs="Times New Roman"/>
        </w:rPr>
        <w:footnoteReference w:id="32"/>
      </w:r>
      <w:r w:rsidRPr="00BF46D1">
        <w:rPr>
          <w:rFonts w:ascii="Times New Roman" w:hAnsi="Times New Roman" w:cs="Times New Roman"/>
        </w:rPr>
        <w:t xml:space="preserve">  Patrick Maulpin argues that </w:t>
      </w:r>
      <w:r w:rsidR="00713B8B" w:rsidRPr="00BF46D1">
        <w:rPr>
          <w:rFonts w:ascii="Times New Roman" w:hAnsi="Times New Roman" w:cs="Times New Roman"/>
        </w:rPr>
        <w:t xml:space="preserve">despite </w:t>
      </w:r>
      <w:r w:rsidRPr="00BF46D1">
        <w:rPr>
          <w:rFonts w:ascii="Times New Roman" w:hAnsi="Times New Roman" w:cs="Times New Roman"/>
        </w:rPr>
        <w:t>MBA</w:t>
      </w:r>
      <w:r w:rsidR="00713B8B" w:rsidRPr="00BF46D1">
        <w:rPr>
          <w:rFonts w:ascii="Times New Roman" w:hAnsi="Times New Roman" w:cs="Times New Roman"/>
        </w:rPr>
        <w:t>’s focus on live communications facilitated through a robocall, MBA</w:t>
      </w:r>
      <w:r w:rsidRPr="00BF46D1">
        <w:rPr>
          <w:rFonts w:ascii="Times New Roman" w:hAnsi="Times New Roman" w:cs="Times New Roman"/>
        </w:rPr>
        <w:t xml:space="preserve"> intends the exemption to allow for pre-recorded calls and that the specified exemption conditions do not sufficiently protect consumer’s privacy.</w:t>
      </w:r>
      <w:r w:rsidRPr="00BF46D1">
        <w:rPr>
          <w:rStyle w:val="FootnoteReference"/>
          <w:rFonts w:ascii="Times New Roman" w:hAnsi="Times New Roman" w:cs="Times New Roman"/>
        </w:rPr>
        <w:footnoteReference w:id="33"/>
      </w:r>
      <w:r w:rsidR="006421BA" w:rsidRPr="00BF46D1">
        <w:rPr>
          <w:rFonts w:ascii="Times New Roman" w:hAnsi="Times New Roman" w:cs="Times New Roman"/>
        </w:rPr>
        <w:t xml:space="preserve">  </w:t>
      </w:r>
      <w:r w:rsidRPr="00BF46D1">
        <w:rPr>
          <w:rFonts w:ascii="Times New Roman" w:hAnsi="Times New Roman" w:cs="Times New Roman"/>
        </w:rPr>
        <w:t>In its reply comment, MBA</w:t>
      </w:r>
      <w:r w:rsidR="00C045D1" w:rsidRPr="00BF46D1">
        <w:rPr>
          <w:rFonts w:ascii="Times New Roman" w:hAnsi="Times New Roman" w:cs="Times New Roman"/>
        </w:rPr>
        <w:t xml:space="preserve"> notes that</w:t>
      </w:r>
      <w:r w:rsidR="008B2BD7" w:rsidRPr="00BF46D1">
        <w:rPr>
          <w:rFonts w:ascii="Times New Roman" w:hAnsi="Times New Roman" w:cs="Times New Roman"/>
        </w:rPr>
        <w:t xml:space="preserve"> mortgage servicers cannot realistically comply with outbound call requirements by placing manually dialed calls</w:t>
      </w:r>
      <w:r w:rsidR="00BD09F7" w:rsidRPr="00BF46D1">
        <w:rPr>
          <w:rFonts w:ascii="Times New Roman" w:hAnsi="Times New Roman" w:cs="Times New Roman"/>
        </w:rPr>
        <w:t>.</w:t>
      </w:r>
      <w:r w:rsidR="00BD09F7" w:rsidRPr="00BF46D1">
        <w:rPr>
          <w:rStyle w:val="FootnoteReference"/>
          <w:rFonts w:ascii="Times New Roman" w:hAnsi="Times New Roman" w:cs="Times New Roman"/>
        </w:rPr>
        <w:footnoteReference w:id="34"/>
      </w:r>
      <w:r w:rsidR="00BD09F7" w:rsidRPr="00BF46D1">
        <w:rPr>
          <w:rFonts w:ascii="Times New Roman" w:hAnsi="Times New Roman" w:cs="Times New Roman"/>
        </w:rPr>
        <w:t xml:space="preserve">  MBA also</w:t>
      </w:r>
      <w:r w:rsidR="008B5BE0" w:rsidRPr="00BF46D1">
        <w:rPr>
          <w:rFonts w:ascii="Times New Roman" w:hAnsi="Times New Roman" w:cs="Times New Roman"/>
        </w:rPr>
        <w:t xml:space="preserve"> claims</w:t>
      </w:r>
      <w:r w:rsidR="00BD09F7" w:rsidRPr="00BF46D1">
        <w:rPr>
          <w:rFonts w:ascii="Times New Roman" w:hAnsi="Times New Roman" w:cs="Times New Roman"/>
        </w:rPr>
        <w:t xml:space="preserve"> </w:t>
      </w:r>
      <w:r w:rsidR="008B2BD7" w:rsidRPr="00BF46D1">
        <w:rPr>
          <w:rFonts w:ascii="Times New Roman" w:hAnsi="Times New Roman" w:cs="Times New Roman"/>
        </w:rPr>
        <w:t>that mortgage servicing communications are not “robocalls” as commonly understood, namely artificia</w:t>
      </w:r>
      <w:r w:rsidR="00BD09F7" w:rsidRPr="00BF46D1">
        <w:rPr>
          <w:rFonts w:ascii="Times New Roman" w:hAnsi="Times New Roman" w:cs="Times New Roman"/>
        </w:rPr>
        <w:t>l</w:t>
      </w:r>
      <w:r w:rsidR="002B4BBC" w:rsidRPr="00BF46D1">
        <w:rPr>
          <w:rFonts w:ascii="Times New Roman" w:hAnsi="Times New Roman" w:cs="Times New Roman"/>
        </w:rPr>
        <w:t>-</w:t>
      </w:r>
      <w:r w:rsidR="00BD09F7" w:rsidRPr="00BF46D1">
        <w:rPr>
          <w:rFonts w:ascii="Times New Roman" w:hAnsi="Times New Roman" w:cs="Times New Roman"/>
        </w:rPr>
        <w:t xml:space="preserve"> or </w:t>
      </w:r>
      <w:r w:rsidR="002B4BBC" w:rsidRPr="00BF46D1">
        <w:rPr>
          <w:rFonts w:ascii="Times New Roman" w:hAnsi="Times New Roman" w:cs="Times New Roman"/>
        </w:rPr>
        <w:t>prerecorded-</w:t>
      </w:r>
      <w:r w:rsidR="00BD09F7" w:rsidRPr="00BF46D1">
        <w:rPr>
          <w:rFonts w:ascii="Times New Roman" w:hAnsi="Times New Roman" w:cs="Times New Roman"/>
        </w:rPr>
        <w:t xml:space="preserve">voice messages, and </w:t>
      </w:r>
      <w:r w:rsidR="008B2BD7" w:rsidRPr="00BF46D1">
        <w:rPr>
          <w:rFonts w:ascii="Times New Roman" w:hAnsi="Times New Roman" w:cs="Times New Roman"/>
        </w:rPr>
        <w:t xml:space="preserve">that an exemption is necessary to allow mortgage servicers to use an automatic telephone dialing system to connect </w:t>
      </w:r>
      <w:r w:rsidR="002B4BBC" w:rsidRPr="00BF46D1">
        <w:rPr>
          <w:rFonts w:ascii="Times New Roman" w:hAnsi="Times New Roman" w:cs="Times New Roman"/>
        </w:rPr>
        <w:t>live callers to a called party</w:t>
      </w:r>
      <w:r w:rsidR="008B2BD7" w:rsidRPr="00BF46D1">
        <w:rPr>
          <w:rFonts w:ascii="Times New Roman" w:hAnsi="Times New Roman" w:cs="Times New Roman"/>
        </w:rPr>
        <w:t>.</w:t>
      </w:r>
      <w:r w:rsidR="00C85FBD" w:rsidRPr="00BF46D1">
        <w:rPr>
          <w:rStyle w:val="FootnoteReference"/>
          <w:rFonts w:ascii="Times New Roman" w:hAnsi="Times New Roman" w:cs="Times New Roman"/>
        </w:rPr>
        <w:footnoteReference w:id="35"/>
      </w:r>
      <w:r w:rsidR="00C85FBD" w:rsidRPr="00BF46D1">
        <w:rPr>
          <w:rFonts w:ascii="Times New Roman" w:hAnsi="Times New Roman" w:cs="Times New Roman"/>
        </w:rPr>
        <w:t xml:space="preserve">  </w:t>
      </w:r>
    </w:p>
    <w:p w14:paraId="408480C0" w14:textId="77777777" w:rsidR="003472FB" w:rsidRPr="00BF46D1" w:rsidRDefault="003472FB" w:rsidP="001F2E30">
      <w:pPr>
        <w:pStyle w:val="Heading1"/>
        <w:jc w:val="left"/>
        <w:rPr>
          <w:rFonts w:ascii="Times New Roman" w:hAnsi="Times New Roman" w:cs="Times New Roman"/>
        </w:rPr>
      </w:pPr>
      <w:r w:rsidRPr="00BF46D1">
        <w:rPr>
          <w:rFonts w:ascii="Times New Roman" w:hAnsi="Times New Roman" w:cs="Times New Roman"/>
        </w:rPr>
        <w:t>discussion</w:t>
      </w:r>
    </w:p>
    <w:p w14:paraId="7F00A2B8" w14:textId="68FA880F" w:rsidR="00910939" w:rsidRPr="00BF46D1" w:rsidRDefault="007276E7" w:rsidP="001F2E30">
      <w:pPr>
        <w:pStyle w:val="ParaNum"/>
        <w:tabs>
          <w:tab w:val="clear" w:pos="1080"/>
          <w:tab w:val="num" w:pos="1440"/>
        </w:tabs>
        <w:jc w:val="left"/>
        <w:rPr>
          <w:rFonts w:ascii="Times New Roman" w:hAnsi="Times New Roman" w:cs="Times New Roman"/>
        </w:rPr>
      </w:pPr>
      <w:r w:rsidRPr="00BF46D1">
        <w:rPr>
          <w:rFonts w:ascii="Times New Roman" w:hAnsi="Times New Roman" w:cs="Times New Roman"/>
        </w:rPr>
        <w:t>We deny MBA’s request to exempt</w:t>
      </w:r>
      <w:r w:rsidR="00A6490A" w:rsidRPr="00BF46D1">
        <w:rPr>
          <w:rFonts w:ascii="Times New Roman" w:hAnsi="Times New Roman" w:cs="Times New Roman"/>
        </w:rPr>
        <w:t xml:space="preserve"> mortgage servicing</w:t>
      </w:r>
      <w:r w:rsidRPr="00BF46D1">
        <w:rPr>
          <w:rFonts w:ascii="Times New Roman" w:hAnsi="Times New Roman" w:cs="Times New Roman"/>
        </w:rPr>
        <w:t xml:space="preserve"> </w:t>
      </w:r>
      <w:r w:rsidR="00911D4D" w:rsidRPr="00BF46D1">
        <w:rPr>
          <w:rFonts w:ascii="Times New Roman" w:hAnsi="Times New Roman" w:cs="Times New Roman"/>
        </w:rPr>
        <w:t xml:space="preserve">calls </w:t>
      </w:r>
      <w:r w:rsidRPr="00BF46D1">
        <w:rPr>
          <w:rFonts w:ascii="Times New Roman" w:hAnsi="Times New Roman" w:cs="Times New Roman"/>
        </w:rPr>
        <w:t>to wireless phone</w:t>
      </w:r>
      <w:r w:rsidR="008469BA" w:rsidRPr="00BF46D1">
        <w:rPr>
          <w:rFonts w:ascii="Times New Roman" w:hAnsi="Times New Roman" w:cs="Times New Roman"/>
        </w:rPr>
        <w:t xml:space="preserve"> number</w:t>
      </w:r>
      <w:r w:rsidRPr="00BF46D1">
        <w:rPr>
          <w:rFonts w:ascii="Times New Roman" w:hAnsi="Times New Roman" w:cs="Times New Roman"/>
        </w:rPr>
        <w:t>s</w:t>
      </w:r>
      <w:r w:rsidR="00A6490A" w:rsidRPr="00BF46D1">
        <w:rPr>
          <w:rFonts w:ascii="Times New Roman" w:hAnsi="Times New Roman" w:cs="Times New Roman"/>
        </w:rPr>
        <w:t xml:space="preserve"> from the TCPA’s prior-express-consent requirement</w:t>
      </w:r>
      <w:r w:rsidRPr="00BF46D1">
        <w:rPr>
          <w:rFonts w:ascii="Times New Roman" w:hAnsi="Times New Roman" w:cs="Times New Roman"/>
        </w:rPr>
        <w:t xml:space="preserve">.  </w:t>
      </w:r>
      <w:r w:rsidR="00D60C70">
        <w:rPr>
          <w:rFonts w:ascii="Times New Roman" w:hAnsi="Times New Roman" w:cs="Times New Roman"/>
        </w:rPr>
        <w:t>MBA has not demonstrated that it can make these calls free to the end user.  Furthermore, we find t</w:t>
      </w:r>
      <w:r w:rsidR="00D80413">
        <w:rPr>
          <w:rFonts w:ascii="Times New Roman" w:hAnsi="Times New Roman" w:cs="Times New Roman"/>
        </w:rPr>
        <w:t xml:space="preserve">he public interest in, and the need for the timely delivery of, the calls described by </w:t>
      </w:r>
      <w:r w:rsidR="00D1544D">
        <w:rPr>
          <w:rFonts w:ascii="Times New Roman" w:hAnsi="Times New Roman" w:cs="Times New Roman"/>
        </w:rPr>
        <w:t>MBA</w:t>
      </w:r>
      <w:r w:rsidR="00453FDF">
        <w:rPr>
          <w:rFonts w:ascii="Times New Roman" w:hAnsi="Times New Roman" w:cs="Times New Roman"/>
        </w:rPr>
        <w:t xml:space="preserve"> </w:t>
      </w:r>
      <w:r w:rsidR="00D60C70">
        <w:rPr>
          <w:rFonts w:ascii="Times New Roman" w:hAnsi="Times New Roman" w:cs="Times New Roman"/>
        </w:rPr>
        <w:t>d</w:t>
      </w:r>
      <w:r w:rsidR="00A40E28">
        <w:rPr>
          <w:rFonts w:ascii="Times New Roman" w:hAnsi="Times New Roman" w:cs="Times New Roman"/>
        </w:rPr>
        <w:t xml:space="preserve">o </w:t>
      </w:r>
      <w:r w:rsidR="00D60C70">
        <w:rPr>
          <w:rFonts w:ascii="Times New Roman" w:hAnsi="Times New Roman" w:cs="Times New Roman"/>
        </w:rPr>
        <w:t xml:space="preserve">not </w:t>
      </w:r>
      <w:r w:rsidR="00A40E28">
        <w:rPr>
          <w:rFonts w:ascii="Times New Roman" w:hAnsi="Times New Roman" w:cs="Times New Roman"/>
        </w:rPr>
        <w:t xml:space="preserve">justify </w:t>
      </w:r>
      <w:r w:rsidR="009B091B">
        <w:rPr>
          <w:rFonts w:ascii="Times New Roman" w:hAnsi="Times New Roman" w:cs="Times New Roman"/>
        </w:rPr>
        <w:t>setting aside the privacy interests of called parties</w:t>
      </w:r>
      <w:r w:rsidR="008469BA" w:rsidRPr="00BF46D1">
        <w:rPr>
          <w:rFonts w:ascii="Times New Roman" w:hAnsi="Times New Roman" w:cs="Times New Roman"/>
        </w:rPr>
        <w:t>.</w:t>
      </w:r>
      <w:r w:rsidR="00475C7E" w:rsidRPr="00BF46D1">
        <w:rPr>
          <w:rStyle w:val="FootnoteReference"/>
          <w:rFonts w:ascii="Times New Roman" w:hAnsi="Times New Roman" w:cs="Times New Roman"/>
        </w:rPr>
        <w:footnoteReference w:id="36"/>
      </w:r>
      <w:r w:rsidR="008469BA" w:rsidRPr="00BF46D1">
        <w:rPr>
          <w:rFonts w:ascii="Times New Roman" w:hAnsi="Times New Roman" w:cs="Times New Roman"/>
        </w:rPr>
        <w:t xml:space="preserve">  </w:t>
      </w:r>
    </w:p>
    <w:p w14:paraId="51173DA5" w14:textId="633FB4AD" w:rsidR="00B44038" w:rsidRDefault="00B44038" w:rsidP="001F2E30">
      <w:pPr>
        <w:pStyle w:val="ParaNum"/>
        <w:tabs>
          <w:tab w:val="clear" w:pos="1080"/>
          <w:tab w:val="num" w:pos="1440"/>
        </w:tabs>
        <w:jc w:val="left"/>
        <w:rPr>
          <w:rFonts w:ascii="Times New Roman" w:hAnsi="Times New Roman" w:cs="Times New Roman"/>
        </w:rPr>
      </w:pPr>
      <w:r>
        <w:rPr>
          <w:rFonts w:ascii="Times New Roman" w:hAnsi="Times New Roman" w:cs="Times New Roman"/>
        </w:rPr>
        <w:t xml:space="preserve">The </w:t>
      </w:r>
      <w:r w:rsidR="00D1544D">
        <w:rPr>
          <w:rFonts w:ascii="Times New Roman" w:hAnsi="Times New Roman" w:cs="Times New Roman"/>
        </w:rPr>
        <w:t xml:space="preserve">Commission </w:t>
      </w:r>
      <w:r>
        <w:rPr>
          <w:rFonts w:ascii="Times New Roman" w:hAnsi="Times New Roman" w:cs="Times New Roman"/>
        </w:rPr>
        <w:t xml:space="preserve">has granted </w:t>
      </w:r>
      <w:r w:rsidR="00D1544D">
        <w:rPr>
          <w:rFonts w:ascii="Times New Roman" w:hAnsi="Times New Roman" w:cs="Times New Roman"/>
        </w:rPr>
        <w:t>free-to-end-user exemption</w:t>
      </w:r>
      <w:r>
        <w:rPr>
          <w:rFonts w:ascii="Times New Roman" w:hAnsi="Times New Roman" w:cs="Times New Roman"/>
        </w:rPr>
        <w:t xml:space="preserve">s </w:t>
      </w:r>
      <w:r w:rsidR="004F68D1">
        <w:rPr>
          <w:rFonts w:ascii="Times New Roman" w:hAnsi="Times New Roman" w:cs="Times New Roman"/>
        </w:rPr>
        <w:t xml:space="preserve">to the general prohibition on calls to wireless numbers pursuant </w:t>
      </w:r>
      <w:r w:rsidR="00F47B3F">
        <w:rPr>
          <w:rFonts w:ascii="Times New Roman" w:hAnsi="Times New Roman" w:cs="Times New Roman"/>
        </w:rPr>
        <w:t xml:space="preserve">to </w:t>
      </w:r>
      <w:r w:rsidR="004F68D1">
        <w:rPr>
          <w:rFonts w:ascii="Times New Roman" w:hAnsi="Times New Roman" w:cs="Times New Roman"/>
        </w:rPr>
        <w:t xml:space="preserve">section 227(b)(2)(C) </w:t>
      </w:r>
      <w:r w:rsidR="00C94E84">
        <w:rPr>
          <w:rFonts w:ascii="Times New Roman" w:hAnsi="Times New Roman" w:cs="Times New Roman"/>
        </w:rPr>
        <w:t>in limited circumstances</w:t>
      </w:r>
      <w:r w:rsidR="00D1544D">
        <w:rPr>
          <w:rFonts w:ascii="Times New Roman" w:hAnsi="Times New Roman" w:cs="Times New Roman"/>
        </w:rPr>
        <w:t>.</w:t>
      </w:r>
      <w:r w:rsidR="006E5798" w:rsidRPr="00BF46D1">
        <w:rPr>
          <w:rFonts w:ascii="Times New Roman" w:hAnsi="Times New Roman" w:cs="Times New Roman"/>
          <w:vertAlign w:val="superscript"/>
        </w:rPr>
        <w:footnoteReference w:id="37"/>
      </w:r>
      <w:r w:rsidR="00D1544D">
        <w:rPr>
          <w:rFonts w:ascii="Times New Roman" w:hAnsi="Times New Roman" w:cs="Times New Roman"/>
        </w:rPr>
        <w:t xml:space="preserve">  </w:t>
      </w:r>
      <w:r>
        <w:rPr>
          <w:rFonts w:ascii="Times New Roman" w:hAnsi="Times New Roman" w:cs="Times New Roman"/>
        </w:rPr>
        <w:t>In each case</w:t>
      </w:r>
      <w:r w:rsidR="00C94E84">
        <w:rPr>
          <w:rFonts w:ascii="Times New Roman" w:hAnsi="Times New Roman" w:cs="Times New Roman"/>
        </w:rPr>
        <w:t>,</w:t>
      </w:r>
      <w:r>
        <w:rPr>
          <w:rFonts w:ascii="Times New Roman" w:hAnsi="Times New Roman" w:cs="Times New Roman"/>
        </w:rPr>
        <w:t xml:space="preserve"> the Commission emphasized three aspects of its analysis</w:t>
      </w:r>
      <w:r w:rsidR="00687902">
        <w:rPr>
          <w:rFonts w:ascii="Times New Roman" w:hAnsi="Times New Roman" w:cs="Times New Roman"/>
        </w:rPr>
        <w:t>—</w:t>
      </w:r>
      <w:r>
        <w:rPr>
          <w:rFonts w:ascii="Times New Roman" w:hAnsi="Times New Roman" w:cs="Times New Roman"/>
        </w:rPr>
        <w:t>whether the petitioner was clear that the messages would be free</w:t>
      </w:r>
      <w:r w:rsidR="00687902">
        <w:rPr>
          <w:rFonts w:ascii="Times New Roman" w:hAnsi="Times New Roman" w:cs="Times New Roman"/>
        </w:rPr>
        <w:t xml:space="preserve"> </w:t>
      </w:r>
      <w:r>
        <w:rPr>
          <w:rFonts w:ascii="Times New Roman" w:hAnsi="Times New Roman" w:cs="Times New Roman"/>
        </w:rPr>
        <w:t>to</w:t>
      </w:r>
      <w:r w:rsidR="00687902">
        <w:rPr>
          <w:rFonts w:ascii="Times New Roman" w:hAnsi="Times New Roman" w:cs="Times New Roman"/>
        </w:rPr>
        <w:t xml:space="preserve"> </w:t>
      </w:r>
      <w:r>
        <w:rPr>
          <w:rFonts w:ascii="Times New Roman" w:hAnsi="Times New Roman" w:cs="Times New Roman"/>
        </w:rPr>
        <w:t>the</w:t>
      </w:r>
      <w:r w:rsidR="00687902">
        <w:rPr>
          <w:rFonts w:ascii="Times New Roman" w:hAnsi="Times New Roman" w:cs="Times New Roman"/>
        </w:rPr>
        <w:t xml:space="preserve"> </w:t>
      </w:r>
      <w:r>
        <w:rPr>
          <w:rFonts w:ascii="Times New Roman" w:hAnsi="Times New Roman" w:cs="Times New Roman"/>
        </w:rPr>
        <w:t>end</w:t>
      </w:r>
      <w:r w:rsidR="00687902">
        <w:rPr>
          <w:rFonts w:ascii="Times New Roman" w:hAnsi="Times New Roman" w:cs="Times New Roman"/>
        </w:rPr>
        <w:t xml:space="preserve"> </w:t>
      </w:r>
      <w:r>
        <w:rPr>
          <w:rFonts w:ascii="Times New Roman" w:hAnsi="Times New Roman" w:cs="Times New Roman"/>
        </w:rPr>
        <w:t xml:space="preserve">user, whether </w:t>
      </w:r>
      <w:r w:rsidR="00687902">
        <w:rPr>
          <w:rFonts w:ascii="Times New Roman" w:hAnsi="Times New Roman" w:cs="Times New Roman"/>
        </w:rPr>
        <w:t xml:space="preserve">the messages </w:t>
      </w:r>
      <w:r>
        <w:rPr>
          <w:rFonts w:ascii="Times New Roman" w:hAnsi="Times New Roman" w:cs="Times New Roman"/>
        </w:rPr>
        <w:t>were time-sensitive</w:t>
      </w:r>
      <w:r w:rsidR="00CB35A1">
        <w:rPr>
          <w:rFonts w:ascii="Times New Roman" w:hAnsi="Times New Roman" w:cs="Times New Roman"/>
        </w:rPr>
        <w:t xml:space="preserve"> or there is some other compelling public interest that supports timely receipt of these calls</w:t>
      </w:r>
      <w:r>
        <w:rPr>
          <w:rFonts w:ascii="Times New Roman" w:hAnsi="Times New Roman" w:cs="Times New Roman"/>
        </w:rPr>
        <w:t xml:space="preserve">, and whether </w:t>
      </w:r>
      <w:r w:rsidR="00687902">
        <w:rPr>
          <w:rFonts w:ascii="Times New Roman" w:hAnsi="Times New Roman" w:cs="Times New Roman"/>
        </w:rPr>
        <w:t xml:space="preserve">the caller </w:t>
      </w:r>
      <w:r>
        <w:rPr>
          <w:rFonts w:ascii="Times New Roman" w:hAnsi="Times New Roman" w:cs="Times New Roman"/>
        </w:rPr>
        <w:t xml:space="preserve">could apply conditions </w:t>
      </w:r>
      <w:r w:rsidR="00687902">
        <w:rPr>
          <w:rFonts w:ascii="Times New Roman" w:hAnsi="Times New Roman" w:cs="Times New Roman"/>
        </w:rPr>
        <w:t xml:space="preserve">to </w:t>
      </w:r>
      <w:r>
        <w:rPr>
          <w:rFonts w:ascii="Times New Roman" w:hAnsi="Times New Roman" w:cs="Times New Roman"/>
        </w:rPr>
        <w:t>the exemption to preserve consumer privacy interests.  Applying those factors here, we find that MBA’s proposed messages are not time</w:t>
      </w:r>
      <w:r w:rsidR="00E82CF6">
        <w:rPr>
          <w:rFonts w:ascii="Times New Roman" w:hAnsi="Times New Roman" w:cs="Times New Roman"/>
        </w:rPr>
        <w:t>-</w:t>
      </w:r>
      <w:r>
        <w:rPr>
          <w:rFonts w:ascii="Times New Roman" w:hAnsi="Times New Roman" w:cs="Times New Roman"/>
        </w:rPr>
        <w:t>sensitive nor has MBA established that it can make the</w:t>
      </w:r>
      <w:r w:rsidR="003C60DC">
        <w:rPr>
          <w:rFonts w:ascii="Times New Roman" w:hAnsi="Times New Roman" w:cs="Times New Roman"/>
        </w:rPr>
        <w:t xml:space="preserve"> calls free-to-end-user. </w:t>
      </w:r>
    </w:p>
    <w:p w14:paraId="663CE778" w14:textId="5E79CB2C" w:rsidR="00B02165" w:rsidRPr="00BF46D1" w:rsidRDefault="00C045D1" w:rsidP="001F2E30">
      <w:pPr>
        <w:pStyle w:val="ParaNum"/>
        <w:tabs>
          <w:tab w:val="clear" w:pos="1080"/>
          <w:tab w:val="num" w:pos="1440"/>
        </w:tabs>
        <w:jc w:val="left"/>
        <w:rPr>
          <w:rFonts w:ascii="Times New Roman" w:hAnsi="Times New Roman" w:cs="Times New Roman"/>
        </w:rPr>
      </w:pPr>
      <w:r w:rsidRPr="00BF46D1">
        <w:rPr>
          <w:rFonts w:ascii="Times New Roman" w:hAnsi="Times New Roman" w:cs="Times New Roman"/>
        </w:rPr>
        <w:t>We first</w:t>
      </w:r>
      <w:r w:rsidR="000C78C3" w:rsidRPr="00BF46D1">
        <w:rPr>
          <w:rFonts w:ascii="Times New Roman" w:hAnsi="Times New Roman" w:cs="Times New Roman"/>
        </w:rPr>
        <w:t xml:space="preserve"> consider whether MBA </w:t>
      </w:r>
      <w:r w:rsidR="004626DF" w:rsidRPr="00BF46D1">
        <w:rPr>
          <w:rFonts w:ascii="Times New Roman" w:hAnsi="Times New Roman" w:cs="Times New Roman"/>
        </w:rPr>
        <w:t xml:space="preserve">has stated in its </w:t>
      </w:r>
      <w:r w:rsidR="00CF5161" w:rsidRPr="00BF46D1">
        <w:rPr>
          <w:rFonts w:ascii="Times New Roman" w:hAnsi="Times New Roman" w:cs="Times New Roman"/>
        </w:rPr>
        <w:t>P</w:t>
      </w:r>
      <w:r w:rsidR="004626DF" w:rsidRPr="00BF46D1">
        <w:rPr>
          <w:rFonts w:ascii="Times New Roman" w:hAnsi="Times New Roman" w:cs="Times New Roman"/>
        </w:rPr>
        <w:t xml:space="preserve">etition that it is </w:t>
      </w:r>
      <w:r w:rsidR="000C78C3" w:rsidRPr="00BF46D1">
        <w:rPr>
          <w:rFonts w:ascii="Times New Roman" w:hAnsi="Times New Roman" w:cs="Times New Roman"/>
        </w:rPr>
        <w:t xml:space="preserve">capable of meeting the requirement pursuant to section 227(b)(2)(C) </w:t>
      </w:r>
      <w:r w:rsidR="00A6490A" w:rsidRPr="00BF46D1">
        <w:rPr>
          <w:rFonts w:ascii="Times New Roman" w:hAnsi="Times New Roman" w:cs="Times New Roman"/>
        </w:rPr>
        <w:t xml:space="preserve">of the Act </w:t>
      </w:r>
      <w:r w:rsidR="000C78C3" w:rsidRPr="00BF46D1">
        <w:rPr>
          <w:rFonts w:ascii="Times New Roman" w:hAnsi="Times New Roman" w:cs="Times New Roman"/>
        </w:rPr>
        <w:t>that the mortgage servicing calls will not be charged to the called party.</w:t>
      </w:r>
      <w:r w:rsidR="000C78C3" w:rsidRPr="00BF46D1">
        <w:rPr>
          <w:rFonts w:ascii="Times New Roman" w:hAnsi="Times New Roman" w:cs="Times New Roman"/>
          <w:vertAlign w:val="superscript"/>
        </w:rPr>
        <w:footnoteReference w:id="38"/>
      </w:r>
      <w:r w:rsidR="009B0505" w:rsidRPr="00BF46D1">
        <w:rPr>
          <w:rFonts w:ascii="Times New Roman" w:hAnsi="Times New Roman" w:cs="Times New Roman"/>
        </w:rPr>
        <w:t xml:space="preserve">  </w:t>
      </w:r>
      <w:r w:rsidRPr="00BF46D1">
        <w:rPr>
          <w:rFonts w:ascii="Times New Roman" w:hAnsi="Times New Roman" w:cs="Times New Roman"/>
        </w:rPr>
        <w:t xml:space="preserve">In its Petition, </w:t>
      </w:r>
      <w:r w:rsidR="00AC666B" w:rsidRPr="00BF46D1">
        <w:rPr>
          <w:rFonts w:ascii="Times New Roman" w:hAnsi="Times New Roman" w:cs="Times New Roman"/>
        </w:rPr>
        <w:t xml:space="preserve">MBA </w:t>
      </w:r>
      <w:r w:rsidR="00B02165" w:rsidRPr="00BF46D1">
        <w:rPr>
          <w:rFonts w:ascii="Times New Roman" w:hAnsi="Times New Roman" w:cs="Times New Roman"/>
        </w:rPr>
        <w:t>acknowledges its members</w:t>
      </w:r>
      <w:r w:rsidR="008345C2" w:rsidRPr="00BF46D1">
        <w:rPr>
          <w:rFonts w:ascii="Times New Roman" w:hAnsi="Times New Roman" w:cs="Times New Roman"/>
        </w:rPr>
        <w:t xml:space="preserve"> </w:t>
      </w:r>
      <w:r w:rsidR="003E178A" w:rsidRPr="00BF46D1">
        <w:rPr>
          <w:rFonts w:ascii="Times New Roman" w:hAnsi="Times New Roman" w:cs="Times New Roman"/>
        </w:rPr>
        <w:t xml:space="preserve">would be obligated under an exemption </w:t>
      </w:r>
      <w:r w:rsidR="00B02165" w:rsidRPr="00BF46D1">
        <w:rPr>
          <w:rFonts w:ascii="Times New Roman" w:hAnsi="Times New Roman" w:cs="Times New Roman"/>
        </w:rPr>
        <w:t xml:space="preserve">to </w:t>
      </w:r>
      <w:r w:rsidR="003E178A" w:rsidRPr="00BF46D1">
        <w:rPr>
          <w:rFonts w:ascii="Times New Roman" w:hAnsi="Times New Roman" w:cs="Times New Roman"/>
        </w:rPr>
        <w:t xml:space="preserve">refrain from </w:t>
      </w:r>
      <w:r w:rsidR="00B02165" w:rsidRPr="00BF46D1">
        <w:rPr>
          <w:rFonts w:ascii="Times New Roman" w:hAnsi="Times New Roman" w:cs="Times New Roman"/>
        </w:rPr>
        <w:t>charg</w:t>
      </w:r>
      <w:r w:rsidR="003E178A" w:rsidRPr="00BF46D1">
        <w:rPr>
          <w:rFonts w:ascii="Times New Roman" w:hAnsi="Times New Roman" w:cs="Times New Roman"/>
        </w:rPr>
        <w:t>ing</w:t>
      </w:r>
      <w:r w:rsidR="00B02165" w:rsidRPr="00BF46D1">
        <w:rPr>
          <w:rFonts w:ascii="Times New Roman" w:hAnsi="Times New Roman" w:cs="Times New Roman"/>
        </w:rPr>
        <w:t xml:space="preserve"> the </w:t>
      </w:r>
      <w:r w:rsidR="003E178A" w:rsidRPr="00BF46D1">
        <w:rPr>
          <w:rFonts w:ascii="Times New Roman" w:hAnsi="Times New Roman" w:cs="Times New Roman"/>
        </w:rPr>
        <w:t xml:space="preserve">called </w:t>
      </w:r>
      <w:r w:rsidR="00B02165" w:rsidRPr="00BF46D1">
        <w:rPr>
          <w:rFonts w:ascii="Times New Roman" w:hAnsi="Times New Roman" w:cs="Times New Roman"/>
        </w:rPr>
        <w:t xml:space="preserve">party for the call, but </w:t>
      </w:r>
      <w:r w:rsidR="003E178A" w:rsidRPr="00BF46D1">
        <w:rPr>
          <w:rFonts w:ascii="Times New Roman" w:hAnsi="Times New Roman" w:cs="Times New Roman"/>
        </w:rPr>
        <w:t xml:space="preserve">it </w:t>
      </w:r>
      <w:r w:rsidR="00AC666B" w:rsidRPr="00BF46D1">
        <w:rPr>
          <w:rFonts w:ascii="Times New Roman" w:hAnsi="Times New Roman" w:cs="Times New Roman"/>
        </w:rPr>
        <w:t xml:space="preserve">fails to provide any information on how its members would </w:t>
      </w:r>
      <w:r w:rsidR="00071E83">
        <w:rPr>
          <w:rFonts w:ascii="Times New Roman" w:hAnsi="Times New Roman" w:cs="Times New Roman"/>
        </w:rPr>
        <w:t xml:space="preserve">comply with </w:t>
      </w:r>
      <w:r w:rsidR="00AC666B" w:rsidRPr="00BF46D1">
        <w:rPr>
          <w:rFonts w:ascii="Times New Roman" w:hAnsi="Times New Roman" w:cs="Times New Roman"/>
        </w:rPr>
        <w:t>this requirement</w:t>
      </w:r>
      <w:r w:rsidR="00B02165" w:rsidRPr="00BF46D1">
        <w:rPr>
          <w:rFonts w:ascii="Times New Roman" w:hAnsi="Times New Roman" w:cs="Times New Roman"/>
        </w:rPr>
        <w:t>.</w:t>
      </w:r>
      <w:r w:rsidR="00B02165" w:rsidRPr="00BF46D1">
        <w:rPr>
          <w:rFonts w:ascii="Times New Roman" w:hAnsi="Times New Roman" w:cs="Times New Roman"/>
          <w:vertAlign w:val="superscript"/>
        </w:rPr>
        <w:footnoteReference w:id="39"/>
      </w:r>
      <w:r w:rsidR="00B02165" w:rsidRPr="00BF46D1">
        <w:rPr>
          <w:rFonts w:ascii="Times New Roman" w:hAnsi="Times New Roman" w:cs="Times New Roman"/>
        </w:rPr>
        <w:t xml:space="preserve">  </w:t>
      </w:r>
      <w:r w:rsidR="00E22D20" w:rsidRPr="00BF46D1">
        <w:rPr>
          <w:rFonts w:ascii="Times New Roman" w:hAnsi="Times New Roman" w:cs="Times New Roman"/>
        </w:rPr>
        <w:t xml:space="preserve">Moreover, </w:t>
      </w:r>
      <w:r w:rsidR="00071E83">
        <w:rPr>
          <w:rFonts w:ascii="Times New Roman" w:hAnsi="Times New Roman" w:cs="Times New Roman"/>
        </w:rPr>
        <w:t xml:space="preserve">MBA fails to show </w:t>
      </w:r>
      <w:r w:rsidR="00E22D20" w:rsidRPr="00BF46D1">
        <w:rPr>
          <w:rFonts w:ascii="Times New Roman" w:hAnsi="Times New Roman" w:cs="Times New Roman"/>
        </w:rPr>
        <w:t xml:space="preserve">that exempted calls </w:t>
      </w:r>
      <w:r w:rsidR="00071E83">
        <w:rPr>
          <w:rFonts w:ascii="Times New Roman" w:hAnsi="Times New Roman" w:cs="Times New Roman"/>
        </w:rPr>
        <w:t xml:space="preserve">would </w:t>
      </w:r>
      <w:r w:rsidR="00E22D20" w:rsidRPr="00BF46D1">
        <w:rPr>
          <w:rFonts w:ascii="Times New Roman" w:hAnsi="Times New Roman" w:cs="Times New Roman"/>
        </w:rPr>
        <w:t xml:space="preserve">not count against </w:t>
      </w:r>
      <w:r w:rsidR="00071E83">
        <w:rPr>
          <w:rFonts w:ascii="Times New Roman" w:hAnsi="Times New Roman" w:cs="Times New Roman"/>
        </w:rPr>
        <w:t xml:space="preserve">any plan limits on </w:t>
      </w:r>
      <w:r w:rsidR="00E22D20" w:rsidRPr="00BF46D1">
        <w:rPr>
          <w:rFonts w:ascii="Times New Roman" w:hAnsi="Times New Roman" w:cs="Times New Roman"/>
        </w:rPr>
        <w:t xml:space="preserve">the </w:t>
      </w:r>
      <w:r w:rsidR="00071E83">
        <w:rPr>
          <w:rFonts w:ascii="Times New Roman" w:hAnsi="Times New Roman" w:cs="Times New Roman"/>
        </w:rPr>
        <w:t xml:space="preserve">consumer’s voice </w:t>
      </w:r>
      <w:r w:rsidR="00E22D20" w:rsidRPr="00BF46D1">
        <w:rPr>
          <w:rFonts w:ascii="Times New Roman" w:hAnsi="Times New Roman" w:cs="Times New Roman"/>
        </w:rPr>
        <w:t xml:space="preserve">minutes </w:t>
      </w:r>
      <w:r w:rsidR="00071E83">
        <w:rPr>
          <w:rFonts w:ascii="Times New Roman" w:hAnsi="Times New Roman" w:cs="Times New Roman"/>
        </w:rPr>
        <w:t>or texts.</w:t>
      </w:r>
      <w:r w:rsidR="00E22D20" w:rsidRPr="00BF46D1">
        <w:rPr>
          <w:rStyle w:val="FootnoteReference"/>
          <w:rFonts w:ascii="Times New Roman" w:hAnsi="Times New Roman" w:cs="Times New Roman"/>
        </w:rPr>
        <w:footnoteReference w:id="40"/>
      </w:r>
      <w:r w:rsidR="00E22D20" w:rsidRPr="00BF46D1">
        <w:rPr>
          <w:rFonts w:ascii="Times New Roman" w:hAnsi="Times New Roman" w:cs="Times New Roman"/>
        </w:rPr>
        <w:t xml:space="preserve"> </w:t>
      </w:r>
      <w:r w:rsidR="00670344" w:rsidRPr="00BF46D1">
        <w:rPr>
          <w:rFonts w:ascii="Times New Roman" w:hAnsi="Times New Roman" w:cs="Times New Roman"/>
        </w:rPr>
        <w:t xml:space="preserve"> </w:t>
      </w:r>
      <w:r w:rsidR="006421BA" w:rsidRPr="00BF46D1">
        <w:rPr>
          <w:rFonts w:ascii="Times New Roman" w:hAnsi="Times New Roman" w:cs="Times New Roman"/>
        </w:rPr>
        <w:t xml:space="preserve">We </w:t>
      </w:r>
      <w:r w:rsidR="00670344" w:rsidRPr="00BF46D1">
        <w:rPr>
          <w:rFonts w:ascii="Times New Roman" w:hAnsi="Times New Roman" w:cs="Times New Roman"/>
        </w:rPr>
        <w:t xml:space="preserve">are </w:t>
      </w:r>
      <w:r w:rsidR="006421BA" w:rsidRPr="00BF46D1">
        <w:rPr>
          <w:rFonts w:ascii="Times New Roman" w:hAnsi="Times New Roman" w:cs="Times New Roman"/>
        </w:rPr>
        <w:t xml:space="preserve">therefore </w:t>
      </w:r>
      <w:r w:rsidR="00791A6B" w:rsidRPr="00BF46D1">
        <w:rPr>
          <w:rFonts w:ascii="Times New Roman" w:hAnsi="Times New Roman" w:cs="Times New Roman"/>
        </w:rPr>
        <w:t xml:space="preserve">unable to </w:t>
      </w:r>
      <w:r w:rsidR="006421BA" w:rsidRPr="00BF46D1">
        <w:rPr>
          <w:rFonts w:ascii="Times New Roman" w:hAnsi="Times New Roman" w:cs="Times New Roman"/>
        </w:rPr>
        <w:t>find that MBA has shown that it is capable of meeting</w:t>
      </w:r>
      <w:r w:rsidR="003E178A" w:rsidRPr="00BF46D1">
        <w:rPr>
          <w:rFonts w:ascii="Times New Roman" w:hAnsi="Times New Roman" w:cs="Times New Roman"/>
        </w:rPr>
        <w:t xml:space="preserve"> the statutory exemption provision’s</w:t>
      </w:r>
      <w:r w:rsidR="006421BA" w:rsidRPr="00BF46D1">
        <w:rPr>
          <w:rFonts w:ascii="Times New Roman" w:hAnsi="Times New Roman" w:cs="Times New Roman"/>
        </w:rPr>
        <w:t xml:space="preserve"> requirement that calls will not be charged to the called party.</w:t>
      </w:r>
    </w:p>
    <w:p w14:paraId="3DC9172F" w14:textId="18DDF71A" w:rsidR="00071E83" w:rsidRPr="00725698" w:rsidRDefault="00071E83">
      <w:pPr>
        <w:pStyle w:val="ParaNum"/>
        <w:tabs>
          <w:tab w:val="clear" w:pos="1080"/>
          <w:tab w:val="num" w:pos="1440"/>
        </w:tabs>
        <w:jc w:val="left"/>
        <w:rPr>
          <w:rFonts w:ascii="Times New Roman" w:hAnsi="Times New Roman" w:cs="Times New Roman"/>
        </w:rPr>
      </w:pPr>
      <w:r w:rsidRPr="00725698">
        <w:rPr>
          <w:rFonts w:ascii="Times New Roman" w:hAnsi="Times New Roman" w:cs="Times New Roman"/>
        </w:rPr>
        <w:t xml:space="preserve">Second, </w:t>
      </w:r>
      <w:r w:rsidR="00ED3C06">
        <w:rPr>
          <w:rFonts w:ascii="Times New Roman" w:hAnsi="Times New Roman" w:cs="Times New Roman"/>
        </w:rPr>
        <w:t xml:space="preserve">even if MBA satisfied the “no charge” requirement, we find the public interest in and the need for the timely delivery of the calls described by MBA do not justify </w:t>
      </w:r>
      <w:r w:rsidR="00ED5FBF">
        <w:rPr>
          <w:rFonts w:ascii="Times New Roman" w:hAnsi="Times New Roman" w:cs="Times New Roman"/>
        </w:rPr>
        <w:t>“setting aside a consumer’s privacy interests in favor of an exemption</w:t>
      </w:r>
      <w:r w:rsidRPr="00725698">
        <w:rPr>
          <w:rFonts w:ascii="Times New Roman" w:hAnsi="Times New Roman" w:cs="Times New Roman"/>
        </w:rPr>
        <w:t>.</w:t>
      </w:r>
      <w:r w:rsidR="00ED5FBF">
        <w:rPr>
          <w:rFonts w:ascii="Times New Roman" w:hAnsi="Times New Roman" w:cs="Times New Roman"/>
        </w:rPr>
        <w:t>”</w:t>
      </w:r>
      <w:r w:rsidR="00ED5FBF">
        <w:rPr>
          <w:rStyle w:val="FootnoteReference"/>
          <w:rFonts w:ascii="Times New Roman" w:hAnsi="Times New Roman" w:cs="Times New Roman"/>
        </w:rPr>
        <w:footnoteReference w:id="41"/>
      </w:r>
      <w:r w:rsidRPr="00725698">
        <w:rPr>
          <w:rFonts w:ascii="Times New Roman" w:hAnsi="Times New Roman" w:cs="Times New Roman"/>
        </w:rPr>
        <w:t xml:space="preserve">  The Commission has noted the necessity for </w:t>
      </w:r>
      <w:r w:rsidRPr="00725698">
        <w:rPr>
          <w:rFonts w:ascii="Times New Roman" w:hAnsi="Times New Roman" w:cs="Times New Roman"/>
          <w:i/>
        </w:rPr>
        <w:t>immediate</w:t>
      </w:r>
      <w:r w:rsidRPr="00725698">
        <w:rPr>
          <w:rFonts w:ascii="Times New Roman" w:hAnsi="Times New Roman" w:cs="Times New Roman"/>
        </w:rPr>
        <w:t xml:space="preserve"> communication in its prior exemption analyses concerning </w:t>
      </w:r>
      <w:r w:rsidR="00F31F3F">
        <w:rPr>
          <w:rFonts w:ascii="Times New Roman" w:hAnsi="Times New Roman" w:cs="Times New Roman"/>
        </w:rPr>
        <w:t>financial institutions</w:t>
      </w:r>
      <w:r w:rsidRPr="00725698">
        <w:rPr>
          <w:rFonts w:ascii="Times New Roman" w:hAnsi="Times New Roman" w:cs="Times New Roman"/>
        </w:rPr>
        <w:t xml:space="preserve"> and healthcare providers.</w:t>
      </w:r>
      <w:r w:rsidRPr="00BF46D1">
        <w:rPr>
          <w:rFonts w:ascii="Times New Roman" w:hAnsi="Times New Roman" w:cs="Times New Roman"/>
          <w:vertAlign w:val="superscript"/>
        </w:rPr>
        <w:footnoteReference w:id="42"/>
      </w:r>
      <w:r w:rsidRPr="00725698">
        <w:rPr>
          <w:rFonts w:ascii="Times New Roman" w:hAnsi="Times New Roman" w:cs="Times New Roman"/>
        </w:rPr>
        <w:t xml:space="preserve">  Specifically, in the </w:t>
      </w:r>
      <w:r w:rsidRPr="00725698">
        <w:rPr>
          <w:rFonts w:ascii="Times New Roman" w:hAnsi="Times New Roman" w:cs="Times New Roman"/>
          <w:i/>
        </w:rPr>
        <w:t>2015 TCPA Declaratory Ruling</w:t>
      </w:r>
      <w:r w:rsidRPr="00725698">
        <w:rPr>
          <w:rFonts w:ascii="Times New Roman" w:hAnsi="Times New Roman" w:cs="Times New Roman"/>
        </w:rPr>
        <w:t>, the Commission granted American Bankers Association an exemption to allow financial institutions to make calls to wireless numbers where there was indication of fraudulent transactions or identity theft, concluding that these types of calls “are all intended to address exigent circumstances in which a quick, timely communication with a consumer could prevent considerable consumer harms from occurring or, in the case of the remediation calls, could help quickly mitigate the extent of harm that will occur.”</w:t>
      </w:r>
      <w:r w:rsidRPr="00725698">
        <w:rPr>
          <w:rFonts w:ascii="Times New Roman" w:hAnsi="Times New Roman" w:cs="Times New Roman"/>
          <w:vertAlign w:val="superscript"/>
        </w:rPr>
        <w:t xml:space="preserve"> </w:t>
      </w:r>
      <w:r w:rsidRPr="00BF46D1">
        <w:rPr>
          <w:rFonts w:ascii="Times New Roman" w:hAnsi="Times New Roman" w:cs="Times New Roman"/>
          <w:vertAlign w:val="superscript"/>
        </w:rPr>
        <w:footnoteReference w:id="43"/>
      </w:r>
      <w:r w:rsidRPr="00725698">
        <w:rPr>
          <w:rFonts w:ascii="Times New Roman" w:hAnsi="Times New Roman" w:cs="Times New Roman"/>
        </w:rPr>
        <w:t xml:space="preserve">  </w:t>
      </w:r>
      <w:r w:rsidR="006541D5">
        <w:rPr>
          <w:rFonts w:ascii="Times New Roman" w:hAnsi="Times New Roman" w:cs="Times New Roman"/>
        </w:rPr>
        <w:t>By contrast, the Commission found that robocalls regarding account communications, payment notifications and Social Security disability eligibility</w:t>
      </w:r>
      <w:r w:rsidR="00ED3C06">
        <w:rPr>
          <w:rFonts w:ascii="Times New Roman" w:hAnsi="Times New Roman" w:cs="Times New Roman"/>
        </w:rPr>
        <w:t>, while conveying information,</w:t>
      </w:r>
      <w:r w:rsidR="006541D5">
        <w:rPr>
          <w:rFonts w:ascii="Times New Roman" w:hAnsi="Times New Roman" w:cs="Times New Roman"/>
        </w:rPr>
        <w:t xml:space="preserve"> lacked the requisite time-sensitivity</w:t>
      </w:r>
      <w:r w:rsidR="00ED3C06">
        <w:rPr>
          <w:rFonts w:ascii="Times New Roman" w:hAnsi="Times New Roman" w:cs="Times New Roman"/>
        </w:rPr>
        <w:t xml:space="preserve"> to justify granting an exemption</w:t>
      </w:r>
      <w:r w:rsidR="006541D5">
        <w:rPr>
          <w:rFonts w:ascii="Times New Roman" w:hAnsi="Times New Roman" w:cs="Times New Roman"/>
        </w:rPr>
        <w:t>.</w:t>
      </w:r>
      <w:r w:rsidR="006541D5">
        <w:rPr>
          <w:rStyle w:val="FootnoteReference"/>
          <w:rFonts w:ascii="Times New Roman" w:hAnsi="Times New Roman" w:cs="Times New Roman"/>
        </w:rPr>
        <w:footnoteReference w:id="44"/>
      </w:r>
      <w:r w:rsidR="006541D5">
        <w:rPr>
          <w:rFonts w:ascii="Times New Roman" w:hAnsi="Times New Roman" w:cs="Times New Roman"/>
        </w:rPr>
        <w:t xml:space="preserve"> </w:t>
      </w:r>
      <w:r w:rsidR="00542B95">
        <w:rPr>
          <w:rFonts w:ascii="Times New Roman" w:hAnsi="Times New Roman" w:cs="Times New Roman"/>
        </w:rPr>
        <w:t xml:space="preserve"> </w:t>
      </w:r>
      <w:r w:rsidRPr="00725698">
        <w:rPr>
          <w:rFonts w:ascii="Times New Roman" w:hAnsi="Times New Roman" w:cs="Times New Roman"/>
        </w:rPr>
        <w:t xml:space="preserve">While </w:t>
      </w:r>
      <w:r w:rsidR="00725698" w:rsidRPr="00725698">
        <w:rPr>
          <w:rFonts w:ascii="Times New Roman" w:hAnsi="Times New Roman" w:cs="Times New Roman"/>
        </w:rPr>
        <w:t>the calls MBA describes may help and be welcome</w:t>
      </w:r>
      <w:r w:rsidR="007F458B">
        <w:rPr>
          <w:rFonts w:ascii="Times New Roman" w:hAnsi="Times New Roman" w:cs="Times New Roman"/>
        </w:rPr>
        <w:t>d</w:t>
      </w:r>
      <w:r w:rsidR="00725698" w:rsidRPr="00725698">
        <w:rPr>
          <w:rFonts w:ascii="Times New Roman" w:hAnsi="Times New Roman" w:cs="Times New Roman"/>
        </w:rPr>
        <w:t xml:space="preserve"> by some consumers</w:t>
      </w:r>
      <w:r w:rsidRPr="00725698">
        <w:rPr>
          <w:rFonts w:ascii="Times New Roman" w:hAnsi="Times New Roman" w:cs="Times New Roman"/>
        </w:rPr>
        <w:t xml:space="preserve">, </w:t>
      </w:r>
      <w:r w:rsidR="00725698" w:rsidRPr="00725698">
        <w:rPr>
          <w:rFonts w:ascii="Times New Roman" w:hAnsi="Times New Roman" w:cs="Times New Roman"/>
        </w:rPr>
        <w:t>we</w:t>
      </w:r>
      <w:r w:rsidR="00DE518E">
        <w:rPr>
          <w:rFonts w:ascii="Times New Roman" w:hAnsi="Times New Roman" w:cs="Times New Roman"/>
        </w:rPr>
        <w:t xml:space="preserve"> cannot agree with MBA that they are particularly time-sensitive.</w:t>
      </w:r>
      <w:r w:rsidR="00DE518E" w:rsidRPr="00BF46D1">
        <w:rPr>
          <w:rFonts w:ascii="Times New Roman" w:hAnsi="Times New Roman" w:cs="Times New Roman"/>
          <w:vertAlign w:val="superscript"/>
        </w:rPr>
        <w:footnoteReference w:id="45"/>
      </w:r>
      <w:r w:rsidR="00DE518E">
        <w:rPr>
          <w:rFonts w:ascii="Times New Roman" w:hAnsi="Times New Roman" w:cs="Times New Roman"/>
        </w:rPr>
        <w:t xml:space="preserve"> </w:t>
      </w:r>
      <w:r w:rsidR="00542B95">
        <w:rPr>
          <w:rFonts w:ascii="Times New Roman" w:hAnsi="Times New Roman" w:cs="Times New Roman"/>
        </w:rPr>
        <w:t xml:space="preserve"> </w:t>
      </w:r>
      <w:r w:rsidR="00DE518E">
        <w:rPr>
          <w:rFonts w:ascii="Times New Roman" w:hAnsi="Times New Roman" w:cs="Times New Roman"/>
        </w:rPr>
        <w:t>T</w:t>
      </w:r>
      <w:r w:rsidRPr="00725698">
        <w:rPr>
          <w:rFonts w:ascii="Times New Roman" w:hAnsi="Times New Roman" w:cs="Times New Roman"/>
        </w:rPr>
        <w:t xml:space="preserve">he various federal agencies and state governments that MBA cites as requiring outbound mortgage servicing calls do not require telephone contact until a borrower is </w:t>
      </w:r>
      <w:r w:rsidRPr="0092209C">
        <w:rPr>
          <w:rFonts w:ascii="Times New Roman" w:hAnsi="Times New Roman" w:cs="Times New Roman"/>
          <w:i/>
        </w:rPr>
        <w:t>at least</w:t>
      </w:r>
      <w:r w:rsidRPr="00725698">
        <w:rPr>
          <w:rFonts w:ascii="Times New Roman" w:hAnsi="Times New Roman" w:cs="Times New Roman"/>
        </w:rPr>
        <w:t xml:space="preserve"> 20 to 36 days into the delinquency period.</w:t>
      </w:r>
      <w:r w:rsidRPr="00BF46D1">
        <w:rPr>
          <w:rFonts w:ascii="Times New Roman" w:hAnsi="Times New Roman" w:cs="Times New Roman"/>
          <w:vertAlign w:val="superscript"/>
        </w:rPr>
        <w:footnoteReference w:id="46"/>
      </w:r>
      <w:r w:rsidR="005F3216">
        <w:rPr>
          <w:rFonts w:ascii="Times New Roman" w:hAnsi="Times New Roman" w:cs="Times New Roman"/>
        </w:rPr>
        <w:t xml:space="preserve">  Although the Commission has not precisely defined how time</w:t>
      </w:r>
      <w:r w:rsidR="00E82CF6">
        <w:rPr>
          <w:rFonts w:ascii="Times New Roman" w:hAnsi="Times New Roman" w:cs="Times New Roman"/>
        </w:rPr>
        <w:t>-</w:t>
      </w:r>
      <w:r w:rsidR="005F3216">
        <w:rPr>
          <w:rFonts w:ascii="Times New Roman" w:hAnsi="Times New Roman" w:cs="Times New Roman"/>
        </w:rPr>
        <w:t xml:space="preserve">sensitive messages must be, MBA’s evidence here strongly suggests that </w:t>
      </w:r>
      <w:r w:rsidR="0036262C">
        <w:rPr>
          <w:rFonts w:ascii="Times New Roman" w:hAnsi="Times New Roman" w:cs="Times New Roman"/>
        </w:rPr>
        <w:t>these messages lack the urgency of</w:t>
      </w:r>
      <w:r w:rsidR="007F458B">
        <w:rPr>
          <w:rFonts w:ascii="Times New Roman" w:hAnsi="Times New Roman" w:cs="Times New Roman"/>
        </w:rPr>
        <w:t xml:space="preserve"> </w:t>
      </w:r>
      <w:r w:rsidR="0036262C">
        <w:rPr>
          <w:rFonts w:ascii="Times New Roman" w:hAnsi="Times New Roman" w:cs="Times New Roman"/>
        </w:rPr>
        <w:t>robocalls to alert consumers to possible fraud</w:t>
      </w:r>
      <w:r w:rsidR="00ED5FBF">
        <w:rPr>
          <w:rFonts w:ascii="Times New Roman" w:hAnsi="Times New Roman" w:cs="Times New Roman"/>
        </w:rPr>
        <w:t>ulent credit card transactions on their accounts or data breaches of their identity</w:t>
      </w:r>
      <w:r w:rsidR="001B4DF2">
        <w:rPr>
          <w:rFonts w:ascii="Times New Roman" w:hAnsi="Times New Roman" w:cs="Times New Roman"/>
        </w:rPr>
        <w:t>, when seconds or minutes count.</w:t>
      </w:r>
      <w:r w:rsidR="001B4DF2" w:rsidRPr="00BF46D1">
        <w:rPr>
          <w:rFonts w:ascii="Times New Roman" w:hAnsi="Times New Roman" w:cs="Times New Roman"/>
          <w:vertAlign w:val="superscript"/>
        </w:rPr>
        <w:footnoteReference w:id="47"/>
      </w:r>
      <w:r w:rsidRPr="00725698">
        <w:rPr>
          <w:rFonts w:ascii="Times New Roman" w:hAnsi="Times New Roman" w:cs="Times New Roman"/>
        </w:rPr>
        <w:t xml:space="preserve"> </w:t>
      </w:r>
    </w:p>
    <w:p w14:paraId="377607E4" w14:textId="75C03723" w:rsidR="006C5799" w:rsidRPr="004C6949" w:rsidRDefault="00B06CD9">
      <w:pPr>
        <w:pStyle w:val="ParaNum"/>
        <w:tabs>
          <w:tab w:val="clear" w:pos="1080"/>
          <w:tab w:val="num" w:pos="1440"/>
        </w:tabs>
        <w:jc w:val="left"/>
        <w:rPr>
          <w:rFonts w:ascii="Times New Roman" w:hAnsi="Times New Roman" w:cs="Times New Roman"/>
        </w:rPr>
      </w:pPr>
      <w:r w:rsidRPr="00BF46D1">
        <w:rPr>
          <w:rFonts w:ascii="Times New Roman" w:hAnsi="Times New Roman" w:cs="Times New Roman"/>
        </w:rPr>
        <w:t>MBA argues that mortga</w:t>
      </w:r>
      <w:r w:rsidR="002173BB" w:rsidRPr="00BF46D1">
        <w:rPr>
          <w:rFonts w:ascii="Times New Roman" w:hAnsi="Times New Roman" w:cs="Times New Roman"/>
        </w:rPr>
        <w:t>ge servicing calls are required under both federal and state laws and, given the volume of mortgage borrowers</w:t>
      </w:r>
      <w:r w:rsidR="004D5BF0">
        <w:rPr>
          <w:rFonts w:ascii="Times New Roman" w:hAnsi="Times New Roman" w:cs="Times New Roman"/>
        </w:rPr>
        <w:t xml:space="preserve"> and the loan term of a typical mortgage</w:t>
      </w:r>
      <w:r w:rsidR="002173BB" w:rsidRPr="00BF46D1">
        <w:rPr>
          <w:rFonts w:ascii="Times New Roman" w:hAnsi="Times New Roman" w:cs="Times New Roman"/>
        </w:rPr>
        <w:t>, an exemption is necessary for mortgage servicers to effectively communicate with their customers.</w:t>
      </w:r>
      <w:r w:rsidR="002173BB" w:rsidRPr="00BF46D1">
        <w:rPr>
          <w:rFonts w:ascii="Times New Roman" w:hAnsi="Times New Roman" w:cs="Times New Roman"/>
          <w:vertAlign w:val="superscript"/>
        </w:rPr>
        <w:footnoteReference w:id="48"/>
      </w:r>
      <w:r w:rsidR="00DE518E">
        <w:rPr>
          <w:rFonts w:ascii="Times New Roman" w:hAnsi="Times New Roman" w:cs="Times New Roman"/>
        </w:rPr>
        <w:t xml:space="preserve">  While </w:t>
      </w:r>
      <w:r w:rsidR="00DE518E" w:rsidRPr="00DE518E">
        <w:rPr>
          <w:rFonts w:ascii="Times New Roman" w:hAnsi="Times New Roman" w:cs="Times New Roman"/>
        </w:rPr>
        <w:t xml:space="preserve">these calls may indeed be </w:t>
      </w:r>
      <w:r w:rsidR="004802E9" w:rsidRPr="00DE518E">
        <w:rPr>
          <w:rFonts w:ascii="Times New Roman" w:hAnsi="Times New Roman" w:cs="Times New Roman"/>
        </w:rPr>
        <w:t xml:space="preserve">beneficial </w:t>
      </w:r>
      <w:r w:rsidR="00542B95">
        <w:rPr>
          <w:rFonts w:ascii="Times New Roman" w:hAnsi="Times New Roman" w:cs="Times New Roman"/>
        </w:rPr>
        <w:t xml:space="preserve">and </w:t>
      </w:r>
      <w:r w:rsidR="004802E9" w:rsidRPr="00DE518E">
        <w:rPr>
          <w:rFonts w:ascii="Times New Roman" w:hAnsi="Times New Roman" w:cs="Times New Roman"/>
        </w:rPr>
        <w:t xml:space="preserve">desired by </w:t>
      </w:r>
      <w:r w:rsidR="00DE518E" w:rsidRPr="00DE518E">
        <w:rPr>
          <w:rFonts w:ascii="Times New Roman" w:hAnsi="Times New Roman" w:cs="Times New Roman"/>
        </w:rPr>
        <w:t xml:space="preserve">some </w:t>
      </w:r>
      <w:r w:rsidR="004802E9" w:rsidRPr="00DE518E">
        <w:rPr>
          <w:rFonts w:ascii="Times New Roman" w:hAnsi="Times New Roman" w:cs="Times New Roman"/>
        </w:rPr>
        <w:t>consumers</w:t>
      </w:r>
      <w:r w:rsidR="00DE518E">
        <w:rPr>
          <w:rFonts w:ascii="Times New Roman" w:hAnsi="Times New Roman" w:cs="Times New Roman"/>
        </w:rPr>
        <w:t xml:space="preserve">, </w:t>
      </w:r>
      <w:r w:rsidR="00070412" w:rsidRPr="00DE518E">
        <w:rPr>
          <w:rFonts w:ascii="Times New Roman" w:hAnsi="Times New Roman" w:cs="Times New Roman"/>
        </w:rPr>
        <w:t>mortgage servicer</w:t>
      </w:r>
      <w:r w:rsidR="00DE518E" w:rsidRPr="00DE518E">
        <w:rPr>
          <w:rFonts w:ascii="Times New Roman" w:hAnsi="Times New Roman" w:cs="Times New Roman"/>
        </w:rPr>
        <w:t xml:space="preserve">s are free to </w:t>
      </w:r>
      <w:r w:rsidR="00DE0AE4" w:rsidRPr="00DE518E">
        <w:rPr>
          <w:rFonts w:ascii="Times New Roman" w:hAnsi="Times New Roman" w:cs="Times New Roman"/>
        </w:rPr>
        <w:t xml:space="preserve">autodial </w:t>
      </w:r>
      <w:r w:rsidR="00070412" w:rsidRPr="00DE518E">
        <w:rPr>
          <w:rFonts w:ascii="Times New Roman" w:hAnsi="Times New Roman" w:cs="Times New Roman"/>
        </w:rPr>
        <w:t>consumer</w:t>
      </w:r>
      <w:r w:rsidR="00DE518E" w:rsidRPr="00DE518E">
        <w:rPr>
          <w:rFonts w:ascii="Times New Roman" w:hAnsi="Times New Roman" w:cs="Times New Roman"/>
        </w:rPr>
        <w:t>s</w:t>
      </w:r>
      <w:r w:rsidR="00070412" w:rsidRPr="00DE518E">
        <w:rPr>
          <w:rFonts w:ascii="Times New Roman" w:hAnsi="Times New Roman" w:cs="Times New Roman"/>
        </w:rPr>
        <w:t xml:space="preserve"> </w:t>
      </w:r>
      <w:r w:rsidR="0016516C" w:rsidRPr="00DE518E">
        <w:rPr>
          <w:rFonts w:ascii="Times New Roman" w:hAnsi="Times New Roman" w:cs="Times New Roman"/>
        </w:rPr>
        <w:t>without an exemption</w:t>
      </w:r>
      <w:r w:rsidR="00DE518E" w:rsidRPr="00DE518E">
        <w:rPr>
          <w:rFonts w:ascii="Times New Roman" w:hAnsi="Times New Roman" w:cs="Times New Roman"/>
        </w:rPr>
        <w:t xml:space="preserve"> </w:t>
      </w:r>
      <w:r w:rsidR="0016516C" w:rsidRPr="00DE518E">
        <w:rPr>
          <w:rFonts w:ascii="Times New Roman" w:hAnsi="Times New Roman" w:cs="Times New Roman"/>
        </w:rPr>
        <w:t>b</w:t>
      </w:r>
      <w:r w:rsidR="008C4D4C" w:rsidRPr="00DE518E">
        <w:rPr>
          <w:rFonts w:ascii="Times New Roman" w:hAnsi="Times New Roman" w:cs="Times New Roman"/>
        </w:rPr>
        <w:t xml:space="preserve">y </w:t>
      </w:r>
      <w:r w:rsidR="00DE518E" w:rsidRPr="00DE518E">
        <w:rPr>
          <w:rFonts w:ascii="Times New Roman" w:hAnsi="Times New Roman" w:cs="Times New Roman"/>
        </w:rPr>
        <w:t xml:space="preserve">simply </w:t>
      </w:r>
      <w:r w:rsidR="008C4D4C" w:rsidRPr="00DE518E">
        <w:rPr>
          <w:rFonts w:ascii="Times New Roman" w:hAnsi="Times New Roman" w:cs="Times New Roman"/>
        </w:rPr>
        <w:t xml:space="preserve">relying on </w:t>
      </w:r>
      <w:r w:rsidR="00DE518E" w:rsidRPr="00DE518E">
        <w:rPr>
          <w:rFonts w:ascii="Times New Roman" w:hAnsi="Times New Roman" w:cs="Times New Roman"/>
        </w:rPr>
        <w:t xml:space="preserve">the </w:t>
      </w:r>
      <w:r w:rsidR="00BC03C0">
        <w:rPr>
          <w:rFonts w:ascii="Times New Roman" w:hAnsi="Times New Roman" w:cs="Times New Roman"/>
        </w:rPr>
        <w:t xml:space="preserve">prior express </w:t>
      </w:r>
      <w:r w:rsidR="00DE518E" w:rsidRPr="00DE518E">
        <w:rPr>
          <w:rFonts w:ascii="Times New Roman" w:hAnsi="Times New Roman" w:cs="Times New Roman"/>
        </w:rPr>
        <w:t xml:space="preserve">consent a </w:t>
      </w:r>
      <w:r w:rsidR="008C4D4C" w:rsidRPr="00DE518E">
        <w:rPr>
          <w:rFonts w:ascii="Times New Roman" w:hAnsi="Times New Roman" w:cs="Times New Roman"/>
        </w:rPr>
        <w:t>consumer provide</w:t>
      </w:r>
      <w:r w:rsidR="00DE518E" w:rsidRPr="00DE518E">
        <w:rPr>
          <w:rFonts w:ascii="Times New Roman" w:hAnsi="Times New Roman" w:cs="Times New Roman"/>
        </w:rPr>
        <w:t>s</w:t>
      </w:r>
      <w:r w:rsidR="008C4D4C" w:rsidRPr="00DE518E">
        <w:rPr>
          <w:rFonts w:ascii="Times New Roman" w:hAnsi="Times New Roman" w:cs="Times New Roman"/>
        </w:rPr>
        <w:t xml:space="preserve"> </w:t>
      </w:r>
      <w:r w:rsidR="007F458B">
        <w:rPr>
          <w:rFonts w:ascii="Times New Roman" w:hAnsi="Times New Roman" w:cs="Times New Roman"/>
        </w:rPr>
        <w:t xml:space="preserve">when </w:t>
      </w:r>
      <w:r w:rsidR="001B4DF2">
        <w:rPr>
          <w:rFonts w:ascii="Times New Roman" w:hAnsi="Times New Roman" w:cs="Times New Roman"/>
        </w:rPr>
        <w:t>including</w:t>
      </w:r>
      <w:r w:rsidR="007F458B">
        <w:rPr>
          <w:rFonts w:ascii="Times New Roman" w:hAnsi="Times New Roman" w:cs="Times New Roman"/>
        </w:rPr>
        <w:t xml:space="preserve"> </w:t>
      </w:r>
      <w:r w:rsidR="00DE518E" w:rsidRPr="00DE518E">
        <w:rPr>
          <w:rFonts w:ascii="Times New Roman" w:hAnsi="Times New Roman" w:cs="Times New Roman"/>
        </w:rPr>
        <w:t xml:space="preserve">their </w:t>
      </w:r>
      <w:r w:rsidR="00837061">
        <w:rPr>
          <w:rFonts w:ascii="Times New Roman" w:hAnsi="Times New Roman" w:cs="Times New Roman"/>
        </w:rPr>
        <w:t>wireless</w:t>
      </w:r>
      <w:r w:rsidR="007F458B">
        <w:rPr>
          <w:rFonts w:ascii="Times New Roman" w:hAnsi="Times New Roman" w:cs="Times New Roman"/>
        </w:rPr>
        <w:t xml:space="preserve"> </w:t>
      </w:r>
      <w:r w:rsidR="008C4D4C" w:rsidRPr="00DE518E">
        <w:rPr>
          <w:rFonts w:ascii="Times New Roman" w:hAnsi="Times New Roman" w:cs="Times New Roman"/>
        </w:rPr>
        <w:t xml:space="preserve">phone number </w:t>
      </w:r>
      <w:r w:rsidR="001B4DF2">
        <w:rPr>
          <w:rFonts w:ascii="Times New Roman" w:hAnsi="Times New Roman" w:cs="Times New Roman"/>
        </w:rPr>
        <w:t>on</w:t>
      </w:r>
      <w:r w:rsidR="00DE518E" w:rsidRPr="00DE518E">
        <w:rPr>
          <w:rFonts w:ascii="Times New Roman" w:hAnsi="Times New Roman" w:cs="Times New Roman"/>
        </w:rPr>
        <w:t xml:space="preserve"> a </w:t>
      </w:r>
      <w:r w:rsidR="00BC03C0">
        <w:rPr>
          <w:rFonts w:ascii="Times New Roman" w:hAnsi="Times New Roman" w:cs="Times New Roman"/>
        </w:rPr>
        <w:t>mortgage</w:t>
      </w:r>
      <w:r w:rsidR="001B4DF2">
        <w:rPr>
          <w:rFonts w:ascii="Times New Roman" w:hAnsi="Times New Roman" w:cs="Times New Roman"/>
        </w:rPr>
        <w:t xml:space="preserve"> application</w:t>
      </w:r>
      <w:r w:rsidR="008C4D4C" w:rsidRPr="00DE518E">
        <w:rPr>
          <w:rFonts w:ascii="Times New Roman" w:hAnsi="Times New Roman" w:cs="Times New Roman"/>
        </w:rPr>
        <w:t>.</w:t>
      </w:r>
      <w:r w:rsidR="008C4D4C" w:rsidRPr="00BF46D1">
        <w:rPr>
          <w:rStyle w:val="FootnoteReference"/>
          <w:rFonts w:ascii="Times New Roman" w:hAnsi="Times New Roman" w:cs="Times New Roman"/>
        </w:rPr>
        <w:footnoteReference w:id="49"/>
      </w:r>
      <w:r w:rsidR="008C4D4C" w:rsidRPr="00DE518E">
        <w:rPr>
          <w:rFonts w:ascii="Times New Roman" w:hAnsi="Times New Roman" w:cs="Times New Roman"/>
        </w:rPr>
        <w:t xml:space="preserve">  </w:t>
      </w:r>
      <w:r w:rsidR="00DE518E" w:rsidRPr="00DE518E">
        <w:rPr>
          <w:rFonts w:ascii="Times New Roman" w:hAnsi="Times New Roman" w:cs="Times New Roman"/>
        </w:rPr>
        <w:t xml:space="preserve">They may also obtain new consent by one of many available means, including by email.  </w:t>
      </w:r>
      <w:r w:rsidR="004C6949" w:rsidRPr="00BF46D1">
        <w:rPr>
          <w:rFonts w:ascii="Times New Roman" w:hAnsi="Times New Roman" w:cs="Times New Roman"/>
        </w:rPr>
        <w:t>We agree with NCLC and other commenters</w:t>
      </w:r>
      <w:r w:rsidR="004C6949" w:rsidRPr="00BF46D1">
        <w:rPr>
          <w:rStyle w:val="FootnoteReference"/>
          <w:rFonts w:ascii="Times New Roman" w:hAnsi="Times New Roman" w:cs="Times New Roman"/>
        </w:rPr>
        <w:footnoteReference w:id="50"/>
      </w:r>
      <w:r w:rsidR="004C6949" w:rsidRPr="00BF46D1">
        <w:rPr>
          <w:rFonts w:ascii="Times New Roman" w:hAnsi="Times New Roman" w:cs="Times New Roman"/>
        </w:rPr>
        <w:t xml:space="preserve"> that mortgage servicers have effective</w:t>
      </w:r>
      <w:r w:rsidR="004C6949">
        <w:rPr>
          <w:rFonts w:ascii="Times New Roman" w:hAnsi="Times New Roman" w:cs="Times New Roman"/>
        </w:rPr>
        <w:t xml:space="preserve"> </w:t>
      </w:r>
      <w:r w:rsidR="004C6949" w:rsidRPr="00BF46D1">
        <w:rPr>
          <w:rFonts w:ascii="Times New Roman" w:hAnsi="Times New Roman" w:cs="Times New Roman"/>
        </w:rPr>
        <w:t>means</w:t>
      </w:r>
      <w:r w:rsidR="004C6949">
        <w:rPr>
          <w:rFonts w:ascii="Times New Roman" w:hAnsi="Times New Roman" w:cs="Times New Roman"/>
        </w:rPr>
        <w:t>, other than robocalls,</w:t>
      </w:r>
      <w:r w:rsidR="004C6949" w:rsidRPr="00BF46D1">
        <w:rPr>
          <w:rFonts w:ascii="Times New Roman" w:hAnsi="Times New Roman" w:cs="Times New Roman"/>
        </w:rPr>
        <w:t xml:space="preserve"> to make contact with customers</w:t>
      </w:r>
      <w:r w:rsidR="004C6949">
        <w:rPr>
          <w:rFonts w:ascii="Times New Roman" w:hAnsi="Times New Roman" w:cs="Times New Roman"/>
        </w:rPr>
        <w:t xml:space="preserve"> and that they </w:t>
      </w:r>
      <w:r w:rsidR="004C6949" w:rsidRPr="00BF46D1">
        <w:rPr>
          <w:rFonts w:ascii="Times New Roman" w:hAnsi="Times New Roman" w:cs="Times New Roman"/>
        </w:rPr>
        <w:t xml:space="preserve">must </w:t>
      </w:r>
      <w:r w:rsidR="004C6949">
        <w:rPr>
          <w:rFonts w:ascii="Times New Roman" w:hAnsi="Times New Roman" w:cs="Times New Roman"/>
        </w:rPr>
        <w:t xml:space="preserve">already </w:t>
      </w:r>
      <w:r w:rsidR="004C6949" w:rsidRPr="00BF46D1">
        <w:rPr>
          <w:rFonts w:ascii="Times New Roman" w:hAnsi="Times New Roman" w:cs="Times New Roman"/>
        </w:rPr>
        <w:t>stay in close contact with customers</w:t>
      </w:r>
      <w:r w:rsidR="00687902">
        <w:rPr>
          <w:rFonts w:ascii="Times New Roman" w:hAnsi="Times New Roman" w:cs="Times New Roman"/>
        </w:rPr>
        <w:t>,</w:t>
      </w:r>
      <w:r w:rsidR="004C6949" w:rsidRPr="00BF46D1">
        <w:rPr>
          <w:rStyle w:val="FootnoteReference"/>
          <w:rFonts w:ascii="Times New Roman" w:hAnsi="Times New Roman" w:cs="Times New Roman"/>
        </w:rPr>
        <w:footnoteReference w:id="51"/>
      </w:r>
      <w:r w:rsidR="004C6949" w:rsidRPr="00BF46D1">
        <w:rPr>
          <w:rFonts w:ascii="Times New Roman" w:hAnsi="Times New Roman" w:cs="Times New Roman"/>
        </w:rPr>
        <w:t xml:space="preserve"> </w:t>
      </w:r>
      <w:r w:rsidR="004C6949">
        <w:rPr>
          <w:rFonts w:ascii="Times New Roman" w:hAnsi="Times New Roman" w:cs="Times New Roman"/>
        </w:rPr>
        <w:t xml:space="preserve">providing them ample </w:t>
      </w:r>
      <w:r w:rsidR="004C6949" w:rsidRPr="00BF46D1">
        <w:rPr>
          <w:rFonts w:ascii="Times New Roman" w:hAnsi="Times New Roman" w:cs="Times New Roman"/>
        </w:rPr>
        <w:t xml:space="preserve">opportunities to request express consent for robocalls.  </w:t>
      </w:r>
      <w:r w:rsidR="00DE518E" w:rsidRPr="00DE518E">
        <w:rPr>
          <w:rFonts w:ascii="Times New Roman" w:hAnsi="Times New Roman" w:cs="Times New Roman"/>
        </w:rPr>
        <w:t>Further</w:t>
      </w:r>
      <w:r w:rsidR="008C4D4C" w:rsidRPr="00DE518E">
        <w:rPr>
          <w:rFonts w:ascii="Times New Roman" w:hAnsi="Times New Roman" w:cs="Times New Roman"/>
        </w:rPr>
        <w:t>, MBA cites no federal or state law or regulation that requires such calls to be made using an autodialer; the calls could be made with</w:t>
      </w:r>
      <w:r w:rsidR="00D6232E" w:rsidRPr="00DE518E">
        <w:rPr>
          <w:rFonts w:ascii="Times New Roman" w:hAnsi="Times New Roman" w:cs="Times New Roman"/>
        </w:rPr>
        <w:t>out using autodialer technology.</w:t>
      </w:r>
      <w:r w:rsidR="008C4D4C" w:rsidRPr="00DE518E">
        <w:rPr>
          <w:rFonts w:ascii="Times New Roman" w:hAnsi="Times New Roman" w:cs="Times New Roman"/>
        </w:rPr>
        <w:t xml:space="preserve"> </w:t>
      </w:r>
      <w:r w:rsidR="00D6232E" w:rsidRPr="00DE518E">
        <w:rPr>
          <w:rFonts w:ascii="Times New Roman" w:hAnsi="Times New Roman" w:cs="Times New Roman"/>
        </w:rPr>
        <w:t xml:space="preserve"> </w:t>
      </w:r>
      <w:r w:rsidR="00DE0AE4" w:rsidRPr="00DE518E">
        <w:rPr>
          <w:rFonts w:ascii="Times New Roman" w:hAnsi="Times New Roman" w:cs="Times New Roman"/>
        </w:rPr>
        <w:t>Th</w:t>
      </w:r>
      <w:r w:rsidR="002173BB" w:rsidRPr="00DE518E">
        <w:rPr>
          <w:rFonts w:ascii="Times New Roman" w:hAnsi="Times New Roman" w:cs="Times New Roman"/>
        </w:rPr>
        <w:t>ose</w:t>
      </w:r>
      <w:r w:rsidR="00DE0AE4" w:rsidRPr="00DE518E">
        <w:rPr>
          <w:rFonts w:ascii="Times New Roman" w:hAnsi="Times New Roman" w:cs="Times New Roman"/>
        </w:rPr>
        <w:t xml:space="preserve"> call</w:t>
      </w:r>
      <w:r w:rsidR="00D6232E" w:rsidRPr="00DE518E">
        <w:rPr>
          <w:rFonts w:ascii="Times New Roman" w:hAnsi="Times New Roman" w:cs="Times New Roman"/>
        </w:rPr>
        <w:t>s</w:t>
      </w:r>
      <w:r w:rsidR="00504740" w:rsidRPr="00DE518E">
        <w:rPr>
          <w:rFonts w:ascii="Times New Roman" w:hAnsi="Times New Roman" w:cs="Times New Roman"/>
        </w:rPr>
        <w:t xml:space="preserve"> </w:t>
      </w:r>
      <w:r w:rsidR="008345C2" w:rsidRPr="00DE518E">
        <w:rPr>
          <w:rFonts w:ascii="Times New Roman" w:hAnsi="Times New Roman" w:cs="Times New Roman"/>
        </w:rPr>
        <w:t xml:space="preserve">that would fall within MBA’s broad definition of </w:t>
      </w:r>
      <w:r w:rsidR="004802E9" w:rsidRPr="00DE518E">
        <w:rPr>
          <w:rFonts w:ascii="Times New Roman" w:hAnsi="Times New Roman" w:cs="Times New Roman"/>
        </w:rPr>
        <w:t>“</w:t>
      </w:r>
      <w:r w:rsidR="008345C2" w:rsidRPr="00DE518E">
        <w:rPr>
          <w:rFonts w:ascii="Times New Roman" w:hAnsi="Times New Roman" w:cs="Times New Roman"/>
        </w:rPr>
        <w:t>mortgage serving</w:t>
      </w:r>
      <w:r w:rsidR="009D0633" w:rsidRPr="00DE518E">
        <w:rPr>
          <w:rFonts w:ascii="Times New Roman" w:hAnsi="Times New Roman" w:cs="Times New Roman"/>
        </w:rPr>
        <w:t>”</w:t>
      </w:r>
      <w:r w:rsidR="008345C2" w:rsidRPr="00DE518E">
        <w:rPr>
          <w:rFonts w:ascii="Times New Roman" w:hAnsi="Times New Roman" w:cs="Times New Roman"/>
        </w:rPr>
        <w:t xml:space="preserve"> calls </w:t>
      </w:r>
      <w:r w:rsidR="00504740" w:rsidRPr="00DE518E">
        <w:rPr>
          <w:rFonts w:ascii="Times New Roman" w:hAnsi="Times New Roman" w:cs="Times New Roman"/>
        </w:rPr>
        <w:t xml:space="preserve">appear to be feasible even without our </w:t>
      </w:r>
      <w:r w:rsidR="004802E9" w:rsidRPr="00DE518E">
        <w:rPr>
          <w:rFonts w:ascii="Times New Roman" w:hAnsi="Times New Roman" w:cs="Times New Roman"/>
        </w:rPr>
        <w:t xml:space="preserve">setting aside the called party’s </w:t>
      </w:r>
      <w:r w:rsidR="009D0633" w:rsidRPr="00DE518E">
        <w:rPr>
          <w:rFonts w:ascii="Times New Roman" w:hAnsi="Times New Roman" w:cs="Times New Roman"/>
        </w:rPr>
        <w:t>privacy interests</w:t>
      </w:r>
      <w:r w:rsidR="004802E9" w:rsidRPr="00DE518E">
        <w:rPr>
          <w:rFonts w:ascii="Times New Roman" w:hAnsi="Times New Roman" w:cs="Times New Roman"/>
        </w:rPr>
        <w:t xml:space="preserve"> in favor of the caller’s need to use a potentially </w:t>
      </w:r>
      <w:r w:rsidR="008345C2" w:rsidRPr="00DE518E">
        <w:rPr>
          <w:rFonts w:ascii="Times New Roman" w:hAnsi="Times New Roman" w:cs="Times New Roman"/>
        </w:rPr>
        <w:t xml:space="preserve">intrusive </w:t>
      </w:r>
      <w:r w:rsidR="00DE0AE4" w:rsidRPr="00DE518E">
        <w:rPr>
          <w:rFonts w:ascii="Times New Roman" w:hAnsi="Times New Roman" w:cs="Times New Roman"/>
        </w:rPr>
        <w:t xml:space="preserve">type of </w:t>
      </w:r>
      <w:r w:rsidR="004802E9" w:rsidRPr="00DE518E">
        <w:rPr>
          <w:rFonts w:ascii="Times New Roman" w:hAnsi="Times New Roman" w:cs="Times New Roman"/>
        </w:rPr>
        <w:t>calling equipment</w:t>
      </w:r>
      <w:r w:rsidR="00DE0AE4" w:rsidRPr="00DE518E">
        <w:rPr>
          <w:rFonts w:ascii="Times New Roman" w:hAnsi="Times New Roman" w:cs="Times New Roman"/>
        </w:rPr>
        <w:t xml:space="preserve">. </w:t>
      </w:r>
    </w:p>
    <w:p w14:paraId="005F01D6" w14:textId="262EF58F" w:rsidR="007276E7" w:rsidRPr="00BF46D1" w:rsidRDefault="006C5799" w:rsidP="001F2E30">
      <w:pPr>
        <w:pStyle w:val="ParaNum"/>
        <w:tabs>
          <w:tab w:val="clear" w:pos="1080"/>
          <w:tab w:val="num" w:pos="1440"/>
        </w:tabs>
        <w:jc w:val="left"/>
        <w:rPr>
          <w:rFonts w:ascii="Times New Roman" w:hAnsi="Times New Roman" w:cs="Times New Roman"/>
        </w:rPr>
      </w:pPr>
      <w:r w:rsidRPr="00BF46D1">
        <w:rPr>
          <w:rFonts w:ascii="Times New Roman" w:hAnsi="Times New Roman" w:cs="Times New Roman"/>
        </w:rPr>
        <w:t xml:space="preserve">Finally, </w:t>
      </w:r>
      <w:r w:rsidR="00580553" w:rsidRPr="00BF46D1">
        <w:rPr>
          <w:rFonts w:ascii="Times New Roman" w:hAnsi="Times New Roman" w:cs="Times New Roman"/>
        </w:rPr>
        <w:t xml:space="preserve">we disagree with MBA’s argument that we should </w:t>
      </w:r>
      <w:r w:rsidR="00F920FE" w:rsidRPr="00BF46D1">
        <w:rPr>
          <w:rFonts w:ascii="Times New Roman" w:hAnsi="Times New Roman" w:cs="Times New Roman"/>
        </w:rPr>
        <w:t xml:space="preserve">grant its </w:t>
      </w:r>
      <w:r w:rsidR="00F675CF" w:rsidRPr="00BF46D1">
        <w:rPr>
          <w:rFonts w:ascii="Times New Roman" w:hAnsi="Times New Roman" w:cs="Times New Roman"/>
        </w:rPr>
        <w:t xml:space="preserve">request </w:t>
      </w:r>
      <w:r w:rsidR="00F920FE" w:rsidRPr="00BF46D1">
        <w:rPr>
          <w:rFonts w:ascii="Times New Roman" w:hAnsi="Times New Roman" w:cs="Times New Roman"/>
        </w:rPr>
        <w:t xml:space="preserve">to </w:t>
      </w:r>
      <w:r w:rsidR="00580553" w:rsidRPr="00BF46D1">
        <w:rPr>
          <w:rFonts w:ascii="Times New Roman" w:hAnsi="Times New Roman" w:cs="Times New Roman"/>
        </w:rPr>
        <w:t xml:space="preserve">harmonize </w:t>
      </w:r>
      <w:r w:rsidR="00F920FE" w:rsidRPr="00BF46D1">
        <w:rPr>
          <w:rFonts w:ascii="Times New Roman" w:hAnsi="Times New Roman" w:cs="Times New Roman"/>
        </w:rPr>
        <w:t>the practices of callers making call</w:t>
      </w:r>
      <w:r w:rsidR="00F07CD2" w:rsidRPr="00BF46D1">
        <w:rPr>
          <w:rFonts w:ascii="Times New Roman" w:hAnsi="Times New Roman" w:cs="Times New Roman"/>
        </w:rPr>
        <w:t>s</w:t>
      </w:r>
      <w:r w:rsidR="00F920FE" w:rsidRPr="00BF46D1">
        <w:rPr>
          <w:rFonts w:ascii="Times New Roman" w:hAnsi="Times New Roman" w:cs="Times New Roman"/>
        </w:rPr>
        <w:t xml:space="preserve"> regarding the collection of a debt owed to or guaranteed by a private entity with those of callers making calls </w:t>
      </w:r>
      <w:r w:rsidR="00E2701F" w:rsidRPr="00BF46D1">
        <w:rPr>
          <w:rFonts w:ascii="Times New Roman" w:hAnsi="Times New Roman" w:cs="Times New Roman"/>
        </w:rPr>
        <w:t>regarding the</w:t>
      </w:r>
      <w:r w:rsidR="00580553" w:rsidRPr="00BF46D1">
        <w:rPr>
          <w:rFonts w:ascii="Times New Roman" w:hAnsi="Times New Roman" w:cs="Times New Roman"/>
        </w:rPr>
        <w:t xml:space="preserve"> collection of a debt owed to or guaranteed by the United States</w:t>
      </w:r>
      <w:r w:rsidR="00AF0B31" w:rsidRPr="00BF46D1">
        <w:rPr>
          <w:rFonts w:ascii="Times New Roman" w:hAnsi="Times New Roman" w:cs="Times New Roman"/>
        </w:rPr>
        <w:t>.</w:t>
      </w:r>
      <w:r w:rsidR="00F920FE" w:rsidRPr="00BF46D1">
        <w:rPr>
          <w:rStyle w:val="FootnoteReference"/>
          <w:rFonts w:ascii="Times New Roman" w:hAnsi="Times New Roman" w:cs="Times New Roman"/>
        </w:rPr>
        <w:footnoteReference w:id="52"/>
      </w:r>
      <w:r w:rsidR="00AF0B31" w:rsidRPr="00BF46D1">
        <w:rPr>
          <w:rFonts w:ascii="Times New Roman" w:hAnsi="Times New Roman" w:cs="Times New Roman"/>
        </w:rPr>
        <w:t xml:space="preserve">  The </w:t>
      </w:r>
      <w:r w:rsidR="00F920FE" w:rsidRPr="00BF46D1">
        <w:rPr>
          <w:rFonts w:ascii="Times New Roman" w:hAnsi="Times New Roman" w:cs="Times New Roman"/>
        </w:rPr>
        <w:t xml:space="preserve">exception to obtaining the consent of the called party for calls to wireless numbers made solely to collect a debt owed to or guaranteed by the United States </w:t>
      </w:r>
      <w:r w:rsidR="00AF0B31" w:rsidRPr="00BF46D1">
        <w:rPr>
          <w:rFonts w:ascii="Times New Roman" w:hAnsi="Times New Roman" w:cs="Times New Roman"/>
        </w:rPr>
        <w:t xml:space="preserve">was </w:t>
      </w:r>
      <w:r w:rsidR="00F920FE" w:rsidRPr="00BF46D1">
        <w:rPr>
          <w:rFonts w:ascii="Times New Roman" w:hAnsi="Times New Roman" w:cs="Times New Roman"/>
        </w:rPr>
        <w:t xml:space="preserve">created </w:t>
      </w:r>
      <w:r w:rsidR="00AF0B31" w:rsidRPr="00BF46D1">
        <w:rPr>
          <w:rFonts w:ascii="Times New Roman" w:hAnsi="Times New Roman" w:cs="Times New Roman"/>
        </w:rPr>
        <w:t>by Congress</w:t>
      </w:r>
      <w:r w:rsidR="00F920FE" w:rsidRPr="00BF46D1">
        <w:rPr>
          <w:rFonts w:ascii="Times New Roman" w:hAnsi="Times New Roman" w:cs="Times New Roman"/>
        </w:rPr>
        <w:t>;</w:t>
      </w:r>
      <w:r w:rsidR="00F920FE" w:rsidRPr="00BF46D1">
        <w:rPr>
          <w:rStyle w:val="FootnoteReference"/>
          <w:rFonts w:ascii="Times New Roman" w:hAnsi="Times New Roman" w:cs="Times New Roman"/>
        </w:rPr>
        <w:footnoteReference w:id="53"/>
      </w:r>
      <w:r w:rsidR="00AF0B31" w:rsidRPr="00BF46D1">
        <w:rPr>
          <w:rFonts w:ascii="Times New Roman" w:hAnsi="Times New Roman" w:cs="Times New Roman"/>
        </w:rPr>
        <w:t xml:space="preserve"> if it had intended the </w:t>
      </w:r>
      <w:r w:rsidR="00F920FE" w:rsidRPr="00BF46D1">
        <w:rPr>
          <w:rFonts w:ascii="Times New Roman" w:hAnsi="Times New Roman" w:cs="Times New Roman"/>
        </w:rPr>
        <w:t xml:space="preserve">exception </w:t>
      </w:r>
      <w:r w:rsidR="00AF0B31" w:rsidRPr="00BF46D1">
        <w:rPr>
          <w:rFonts w:ascii="Times New Roman" w:hAnsi="Times New Roman" w:cs="Times New Roman"/>
        </w:rPr>
        <w:t>to apply universally</w:t>
      </w:r>
      <w:r w:rsidR="00132697" w:rsidRPr="00BF46D1">
        <w:rPr>
          <w:rFonts w:ascii="Times New Roman" w:hAnsi="Times New Roman" w:cs="Times New Roman"/>
        </w:rPr>
        <w:t>, regardless of who ow</w:t>
      </w:r>
      <w:r w:rsidR="00F920FE" w:rsidRPr="00BF46D1">
        <w:rPr>
          <w:rFonts w:ascii="Times New Roman" w:hAnsi="Times New Roman" w:cs="Times New Roman"/>
        </w:rPr>
        <w:t>n</w:t>
      </w:r>
      <w:r w:rsidR="00132697" w:rsidRPr="00BF46D1">
        <w:rPr>
          <w:rFonts w:ascii="Times New Roman" w:hAnsi="Times New Roman" w:cs="Times New Roman"/>
        </w:rPr>
        <w:t xml:space="preserve">ed or </w:t>
      </w:r>
      <w:r w:rsidR="00F920FE" w:rsidRPr="00BF46D1">
        <w:rPr>
          <w:rFonts w:ascii="Times New Roman" w:hAnsi="Times New Roman" w:cs="Times New Roman"/>
        </w:rPr>
        <w:t xml:space="preserve">guaranteed a </w:t>
      </w:r>
      <w:r w:rsidR="00132697" w:rsidRPr="00BF46D1">
        <w:rPr>
          <w:rFonts w:ascii="Times New Roman" w:hAnsi="Times New Roman" w:cs="Times New Roman"/>
        </w:rPr>
        <w:t>debt,</w:t>
      </w:r>
      <w:r w:rsidR="00AF0B31" w:rsidRPr="00BF46D1">
        <w:rPr>
          <w:rFonts w:ascii="Times New Roman" w:hAnsi="Times New Roman" w:cs="Times New Roman"/>
        </w:rPr>
        <w:t xml:space="preserve"> it </w:t>
      </w:r>
      <w:r w:rsidR="004C6949">
        <w:rPr>
          <w:rFonts w:ascii="Times New Roman" w:hAnsi="Times New Roman" w:cs="Times New Roman"/>
        </w:rPr>
        <w:t xml:space="preserve">easily </w:t>
      </w:r>
      <w:r w:rsidR="00F920FE" w:rsidRPr="00BF46D1">
        <w:rPr>
          <w:rFonts w:ascii="Times New Roman" w:hAnsi="Times New Roman" w:cs="Times New Roman"/>
        </w:rPr>
        <w:t xml:space="preserve">could </w:t>
      </w:r>
      <w:r w:rsidR="00AF0B31" w:rsidRPr="00BF46D1">
        <w:rPr>
          <w:rFonts w:ascii="Times New Roman" w:hAnsi="Times New Roman" w:cs="Times New Roman"/>
        </w:rPr>
        <w:t xml:space="preserve">have </w:t>
      </w:r>
      <w:r w:rsidR="00132697" w:rsidRPr="00BF46D1">
        <w:rPr>
          <w:rFonts w:ascii="Times New Roman" w:hAnsi="Times New Roman" w:cs="Times New Roman"/>
        </w:rPr>
        <w:t>done so.</w:t>
      </w:r>
    </w:p>
    <w:p w14:paraId="2CAE749B" w14:textId="617D3DAA" w:rsidR="003472FB" w:rsidRPr="00BF46D1" w:rsidRDefault="003472FB" w:rsidP="001F2E30">
      <w:pPr>
        <w:pStyle w:val="Heading1"/>
        <w:tabs>
          <w:tab w:val="num" w:pos="1440"/>
        </w:tabs>
        <w:rPr>
          <w:rFonts w:ascii="Times New Roman" w:hAnsi="Times New Roman" w:cs="Times New Roman"/>
        </w:rPr>
      </w:pPr>
      <w:r w:rsidRPr="00BF46D1">
        <w:rPr>
          <w:rFonts w:ascii="Times New Roman" w:hAnsi="Times New Roman" w:cs="Times New Roman"/>
        </w:rPr>
        <w:t>Ordering clause</w:t>
      </w:r>
    </w:p>
    <w:p w14:paraId="3BA3BF6E" w14:textId="3A246AE8" w:rsidR="00145130" w:rsidRPr="00BE1B0A" w:rsidRDefault="00145130" w:rsidP="00BE1B0A">
      <w:pPr>
        <w:pStyle w:val="ParaNum"/>
        <w:tabs>
          <w:tab w:val="clear" w:pos="1080"/>
          <w:tab w:val="num" w:pos="1440"/>
        </w:tabs>
        <w:jc w:val="left"/>
        <w:rPr>
          <w:rFonts w:ascii="Times New Roman" w:hAnsi="Times New Roman" w:cs="Times New Roman"/>
        </w:rPr>
      </w:pPr>
      <w:r w:rsidRPr="00BF46D1">
        <w:rPr>
          <w:rFonts w:ascii="Times New Roman" w:hAnsi="Times New Roman" w:cs="Times New Roman"/>
        </w:rPr>
        <w:t xml:space="preserve">Accordingly, IT IS ORDERED, pursuant to sections 1-4 and 227 of the Communications Act of 1934, as amended, 47 U.S.C. §§ 151-154, 227, sections 1.2 and 64.1200 of the Commission’s rules, 47 </w:t>
      </w:r>
      <w:r w:rsidR="00590D49" w:rsidRPr="00BF46D1">
        <w:rPr>
          <w:rFonts w:ascii="Times New Roman" w:hAnsi="Times New Roman" w:cs="Times New Roman"/>
        </w:rPr>
        <w:t>CFR</w:t>
      </w:r>
      <w:r w:rsidRPr="00BF46D1">
        <w:rPr>
          <w:rFonts w:ascii="Times New Roman" w:hAnsi="Times New Roman" w:cs="Times New Roman"/>
        </w:rPr>
        <w:t xml:space="preserve"> §§ 1.2, 64.1200, </w:t>
      </w:r>
      <w:r w:rsidR="00450FA1" w:rsidRPr="00BF46D1">
        <w:rPr>
          <w:rFonts w:ascii="Times New Roman" w:hAnsi="Times New Roman" w:cs="Times New Roman"/>
        </w:rPr>
        <w:t xml:space="preserve">and the authority delegated in sections 0.141 and 0.361 of the rules, 47 </w:t>
      </w:r>
      <w:r w:rsidR="00590D49" w:rsidRPr="00BF46D1">
        <w:rPr>
          <w:rFonts w:ascii="Times New Roman" w:hAnsi="Times New Roman" w:cs="Times New Roman"/>
        </w:rPr>
        <w:t>CFR</w:t>
      </w:r>
      <w:r w:rsidR="00450FA1" w:rsidRPr="00BF46D1">
        <w:rPr>
          <w:rFonts w:ascii="Times New Roman" w:hAnsi="Times New Roman" w:cs="Times New Roman"/>
        </w:rPr>
        <w:t xml:space="preserve"> §§ 0.141, 0.361, </w:t>
      </w:r>
      <w:r w:rsidRPr="00BF46D1">
        <w:rPr>
          <w:rFonts w:ascii="Times New Roman" w:hAnsi="Times New Roman" w:cs="Times New Roman"/>
        </w:rPr>
        <w:t xml:space="preserve">that the Petition for </w:t>
      </w:r>
      <w:r w:rsidR="00D03731" w:rsidRPr="00BF46D1">
        <w:rPr>
          <w:rFonts w:ascii="Times New Roman" w:hAnsi="Times New Roman" w:cs="Times New Roman"/>
        </w:rPr>
        <w:t xml:space="preserve">Exemption </w:t>
      </w:r>
      <w:r w:rsidR="00F675CF" w:rsidRPr="00BF46D1">
        <w:rPr>
          <w:rFonts w:ascii="Times New Roman" w:hAnsi="Times New Roman" w:cs="Times New Roman"/>
        </w:rPr>
        <w:t xml:space="preserve">filed </w:t>
      </w:r>
      <w:r w:rsidRPr="00BF46D1">
        <w:rPr>
          <w:rFonts w:ascii="Times New Roman" w:hAnsi="Times New Roman" w:cs="Times New Roman"/>
        </w:rPr>
        <w:t xml:space="preserve">by </w:t>
      </w:r>
      <w:r w:rsidR="00F675CF" w:rsidRPr="00BF46D1">
        <w:rPr>
          <w:rFonts w:ascii="Times New Roman" w:hAnsi="Times New Roman" w:cs="Times New Roman"/>
        </w:rPr>
        <w:t xml:space="preserve">the </w:t>
      </w:r>
      <w:r w:rsidR="00D03731" w:rsidRPr="00BF46D1">
        <w:rPr>
          <w:rFonts w:ascii="Times New Roman" w:hAnsi="Times New Roman" w:cs="Times New Roman"/>
        </w:rPr>
        <w:t>Mortgage Bankers Association</w:t>
      </w:r>
      <w:r w:rsidRPr="00BF46D1">
        <w:rPr>
          <w:rFonts w:ascii="Times New Roman" w:hAnsi="Times New Roman" w:cs="Times New Roman"/>
        </w:rPr>
        <w:t xml:space="preserve"> in CG Docket No. 02-278 on </w:t>
      </w:r>
      <w:r w:rsidR="00D03731" w:rsidRPr="00BF46D1">
        <w:rPr>
          <w:rFonts w:ascii="Times New Roman" w:hAnsi="Times New Roman" w:cs="Times New Roman"/>
        </w:rPr>
        <w:t>June 16</w:t>
      </w:r>
      <w:r w:rsidRPr="00BF46D1">
        <w:rPr>
          <w:rFonts w:ascii="Times New Roman" w:hAnsi="Times New Roman" w:cs="Times New Roman"/>
        </w:rPr>
        <w:t>, 20</w:t>
      </w:r>
      <w:r w:rsidR="00D03731" w:rsidRPr="00BF46D1">
        <w:rPr>
          <w:rFonts w:ascii="Times New Roman" w:hAnsi="Times New Roman" w:cs="Times New Roman"/>
        </w:rPr>
        <w:t>16</w:t>
      </w:r>
      <w:r w:rsidR="00B25AB0" w:rsidRPr="00BF46D1">
        <w:rPr>
          <w:rFonts w:ascii="Times New Roman" w:hAnsi="Times New Roman" w:cs="Times New Roman"/>
        </w:rPr>
        <w:t>,</w:t>
      </w:r>
      <w:r w:rsidRPr="00BF46D1">
        <w:rPr>
          <w:rFonts w:ascii="Times New Roman" w:hAnsi="Times New Roman" w:cs="Times New Roman"/>
        </w:rPr>
        <w:t xml:space="preserve"> IS </w:t>
      </w:r>
      <w:r w:rsidR="00F16F24" w:rsidRPr="00BF46D1">
        <w:rPr>
          <w:rFonts w:ascii="Times New Roman" w:hAnsi="Times New Roman" w:cs="Times New Roman"/>
        </w:rPr>
        <w:t>DENIED</w:t>
      </w:r>
      <w:r w:rsidRPr="00BF46D1">
        <w:rPr>
          <w:rFonts w:ascii="Times New Roman" w:hAnsi="Times New Roman" w:cs="Times New Roman"/>
        </w:rPr>
        <w:t>.</w:t>
      </w:r>
    </w:p>
    <w:p w14:paraId="13F3B31C" w14:textId="77777777" w:rsidR="00145130" w:rsidRPr="00BF46D1" w:rsidRDefault="00145130" w:rsidP="001F2E30">
      <w:pPr>
        <w:pStyle w:val="ParaNum"/>
        <w:numPr>
          <w:ilvl w:val="0"/>
          <w:numId w:val="0"/>
        </w:numPr>
        <w:ind w:left="3600"/>
        <w:rPr>
          <w:rFonts w:ascii="Times New Roman" w:hAnsi="Times New Roman" w:cs="Times New Roman"/>
        </w:rPr>
      </w:pPr>
      <w:r w:rsidRPr="00BF46D1">
        <w:rPr>
          <w:rFonts w:ascii="Times New Roman" w:hAnsi="Times New Roman" w:cs="Times New Roman"/>
        </w:rPr>
        <w:tab/>
        <w:t>FEDERAL COMMUNICATIONS COMMISSION</w:t>
      </w:r>
    </w:p>
    <w:p w14:paraId="072AEBFA" w14:textId="77777777" w:rsidR="00145130" w:rsidRPr="00BF46D1" w:rsidRDefault="00145130" w:rsidP="001F2E30">
      <w:pPr>
        <w:pStyle w:val="ParaNum"/>
        <w:numPr>
          <w:ilvl w:val="0"/>
          <w:numId w:val="0"/>
        </w:numPr>
        <w:rPr>
          <w:rFonts w:ascii="Times New Roman" w:hAnsi="Times New Roman" w:cs="Times New Roman"/>
        </w:rPr>
      </w:pPr>
    </w:p>
    <w:p w14:paraId="14AB8F25" w14:textId="02815221" w:rsidR="00145130" w:rsidRPr="00BF46D1" w:rsidRDefault="00145130" w:rsidP="001F2E30">
      <w:pPr>
        <w:pStyle w:val="ParaNum"/>
        <w:numPr>
          <w:ilvl w:val="0"/>
          <w:numId w:val="0"/>
        </w:numPr>
        <w:spacing w:after="0"/>
        <w:rPr>
          <w:rFonts w:ascii="Times New Roman" w:hAnsi="Times New Roman" w:cs="Times New Roman"/>
        </w:rPr>
      </w:pP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00D4453B" w:rsidRPr="00BF46D1">
        <w:rPr>
          <w:rFonts w:ascii="Times New Roman" w:hAnsi="Times New Roman" w:cs="Times New Roman"/>
        </w:rPr>
        <w:t>Alison Kutler</w:t>
      </w:r>
    </w:p>
    <w:p w14:paraId="149F3032" w14:textId="7E099C2E" w:rsidR="005604CA" w:rsidRPr="00BF46D1" w:rsidRDefault="00145130" w:rsidP="001F2E30">
      <w:pPr>
        <w:pStyle w:val="ParaNum"/>
        <w:numPr>
          <w:ilvl w:val="0"/>
          <w:numId w:val="0"/>
        </w:numPr>
        <w:spacing w:after="0"/>
        <w:ind w:left="720"/>
        <w:rPr>
          <w:rFonts w:ascii="Times New Roman" w:hAnsi="Times New Roman" w:cs="Times New Roman"/>
        </w:rPr>
      </w:pP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009F7095" w:rsidRPr="00BF46D1">
        <w:rPr>
          <w:rFonts w:ascii="Times New Roman" w:hAnsi="Times New Roman" w:cs="Times New Roman"/>
        </w:rPr>
        <w:t>Chief</w:t>
      </w:r>
    </w:p>
    <w:p w14:paraId="3A08B905" w14:textId="77777777" w:rsidR="003472FB" w:rsidRPr="00BF46D1" w:rsidRDefault="005604CA" w:rsidP="001F2E30">
      <w:pPr>
        <w:pStyle w:val="ParaNum"/>
        <w:numPr>
          <w:ilvl w:val="0"/>
          <w:numId w:val="0"/>
        </w:numPr>
        <w:spacing w:after="0"/>
        <w:ind w:left="720"/>
        <w:rPr>
          <w:rFonts w:ascii="Times New Roman" w:hAnsi="Times New Roman" w:cs="Times New Roman"/>
        </w:rPr>
      </w:pP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t>Consumer and Governmental Affairs Bureau</w:t>
      </w:r>
    </w:p>
    <w:p w14:paraId="7B5C2EE2" w14:textId="1411F939" w:rsidR="007655FC" w:rsidRPr="00BF46D1" w:rsidRDefault="00802B1D" w:rsidP="00BE1B0A">
      <w:pPr>
        <w:jc w:val="center"/>
        <w:rPr>
          <w:rFonts w:ascii="Times New Roman" w:hAnsi="Times New Roman" w:cs="Times New Roman"/>
          <w:b/>
          <w:kern w:val="28"/>
        </w:rPr>
      </w:pPr>
      <w:r>
        <w:rPr>
          <w:rFonts w:ascii="Times New Roman" w:hAnsi="Times New Roman" w:cs="Times New Roman"/>
          <w:b/>
          <w:kern w:val="28"/>
        </w:rPr>
        <w:br w:type="page"/>
      </w:r>
      <w:r w:rsidR="007655FC" w:rsidRPr="00BF46D1">
        <w:rPr>
          <w:rFonts w:ascii="Times New Roman" w:hAnsi="Times New Roman" w:cs="Times New Roman"/>
          <w:b/>
          <w:kern w:val="28"/>
        </w:rPr>
        <w:t>APPENDIX</w:t>
      </w:r>
    </w:p>
    <w:p w14:paraId="1A7F8818" w14:textId="583C89F2" w:rsidR="007655FC" w:rsidRPr="00BF46D1" w:rsidRDefault="007655FC" w:rsidP="001F2E30">
      <w:pPr>
        <w:spacing w:after="220"/>
        <w:jc w:val="center"/>
        <w:rPr>
          <w:rFonts w:ascii="Times New Roman" w:hAnsi="Times New Roman" w:cs="Times New Roman"/>
          <w:b/>
          <w:kern w:val="28"/>
        </w:rPr>
      </w:pPr>
      <w:r w:rsidRPr="00BF46D1">
        <w:rPr>
          <w:rFonts w:ascii="Times New Roman" w:hAnsi="Times New Roman" w:cs="Times New Roman"/>
          <w:b/>
          <w:kern w:val="28"/>
        </w:rPr>
        <w:t>List of Commenters</w:t>
      </w:r>
    </w:p>
    <w:p w14:paraId="2994BB17" w14:textId="77777777" w:rsidR="007655FC" w:rsidRPr="00BF46D1" w:rsidRDefault="007655FC" w:rsidP="00642D1A">
      <w:pPr>
        <w:widowControl w:val="0"/>
        <w:tabs>
          <w:tab w:val="left" w:pos="-720"/>
        </w:tabs>
        <w:suppressAutoHyphens/>
        <w:jc w:val="both"/>
        <w:rPr>
          <w:rFonts w:ascii="Times New Roman" w:hAnsi="Times New Roman" w:cs="Times New Roman"/>
          <w:kern w:val="28"/>
        </w:rPr>
      </w:pPr>
      <w:r w:rsidRPr="00BF46D1">
        <w:rPr>
          <w:rFonts w:ascii="Times New Roman" w:hAnsi="Times New Roman" w:cs="Times New Roman"/>
          <w:kern w:val="28"/>
        </w:rPr>
        <w:t>The following parties have filed comments in response to the Public Notice issued in this matter (CG Docket No. 02-278):</w:t>
      </w:r>
    </w:p>
    <w:p w14:paraId="49DA27F0" w14:textId="77777777" w:rsidR="007655FC" w:rsidRPr="00BF46D1" w:rsidRDefault="007655FC" w:rsidP="00642D1A">
      <w:pPr>
        <w:widowControl w:val="0"/>
        <w:jc w:val="both"/>
        <w:rPr>
          <w:rFonts w:ascii="Times New Roman" w:hAnsi="Times New Roman" w:cs="Times New Roman"/>
          <w:kern w:val="28"/>
        </w:rPr>
      </w:pPr>
    </w:p>
    <w:p w14:paraId="5F7EA33B" w14:textId="14371CBA" w:rsidR="007655FC" w:rsidRPr="00BE1B0A" w:rsidRDefault="007655FC" w:rsidP="00687902">
      <w:pPr>
        <w:widowControl w:val="0"/>
        <w:tabs>
          <w:tab w:val="left" w:pos="6300"/>
        </w:tabs>
        <w:jc w:val="both"/>
        <w:rPr>
          <w:rFonts w:ascii="Times New Roman" w:hAnsi="Times New Roman" w:cs="Times New Roman"/>
          <w:kern w:val="28"/>
          <w:u w:val="single"/>
        </w:rPr>
      </w:pPr>
      <w:r w:rsidRPr="00BF46D1">
        <w:rPr>
          <w:rFonts w:ascii="Times New Roman" w:hAnsi="Times New Roman" w:cs="Times New Roman"/>
          <w:kern w:val="28"/>
          <w:u w:val="single"/>
        </w:rPr>
        <w:t>Commenter</w:t>
      </w:r>
      <w:r w:rsidRPr="00BF46D1">
        <w:rPr>
          <w:rFonts w:ascii="Times New Roman" w:hAnsi="Times New Roman" w:cs="Times New Roman"/>
          <w:kern w:val="28"/>
        </w:rPr>
        <w:tab/>
      </w:r>
      <w:r w:rsidRPr="00BF46D1">
        <w:rPr>
          <w:rFonts w:ascii="Times New Roman" w:hAnsi="Times New Roman" w:cs="Times New Roman"/>
          <w:kern w:val="28"/>
        </w:rPr>
        <w:tab/>
      </w:r>
      <w:r w:rsidRPr="00BF46D1">
        <w:rPr>
          <w:rFonts w:ascii="Times New Roman" w:hAnsi="Times New Roman" w:cs="Times New Roman"/>
          <w:kern w:val="28"/>
          <w:u w:val="single"/>
        </w:rPr>
        <w:t>Abbreviation</w:t>
      </w:r>
    </w:p>
    <w:p w14:paraId="7FC5E685" w14:textId="61080726" w:rsidR="00687902" w:rsidRDefault="00687902" w:rsidP="00687902">
      <w:pPr>
        <w:pStyle w:val="ParaNum"/>
        <w:numPr>
          <w:ilvl w:val="0"/>
          <w:numId w:val="0"/>
        </w:numPr>
        <w:spacing w:after="0"/>
        <w:rPr>
          <w:rFonts w:ascii="Times New Roman" w:hAnsi="Times New Roman" w:cs="Times New Roman"/>
        </w:rPr>
      </w:pPr>
      <w:r>
        <w:rPr>
          <w:rFonts w:ascii="Times New Roman" w:hAnsi="Times New Roman" w:cs="Times New Roman"/>
        </w:rPr>
        <w:t>American Bankers Association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ABA</w:t>
      </w:r>
    </w:p>
    <w:p w14:paraId="66297F5D" w14:textId="077DE3CC" w:rsidR="00687902" w:rsidRDefault="00687902" w:rsidP="00687902">
      <w:pPr>
        <w:pStyle w:val="ParaNum"/>
        <w:numPr>
          <w:ilvl w:val="0"/>
          <w:numId w:val="0"/>
        </w:numPr>
        <w:spacing w:after="0"/>
        <w:rPr>
          <w:rFonts w:ascii="Times New Roman" w:hAnsi="Times New Roman" w:cs="Times New Roman"/>
        </w:rPr>
      </w:pPr>
      <w:r>
        <w:rPr>
          <w:rFonts w:ascii="Times New Roman" w:hAnsi="Times New Roman" w:cs="Times New Roman"/>
        </w:rPr>
        <w:t>American Financial Services Association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AFSA</w:t>
      </w:r>
    </w:p>
    <w:p w14:paraId="0C071A05" w14:textId="166AADF3" w:rsidR="00687902" w:rsidRDefault="00687902" w:rsidP="00687902">
      <w:pPr>
        <w:pStyle w:val="ParaNum"/>
        <w:numPr>
          <w:ilvl w:val="0"/>
          <w:numId w:val="0"/>
        </w:numPr>
        <w:spacing w:after="0"/>
        <w:rPr>
          <w:rFonts w:ascii="Times New Roman" w:hAnsi="Times New Roman" w:cs="Times New Roman"/>
        </w:rPr>
      </w:pPr>
      <w:r>
        <w:rPr>
          <w:rFonts w:ascii="Times New Roman" w:hAnsi="Times New Roman" w:cs="Times New Roman"/>
        </w:rPr>
        <w:t>Burke Law Offices, LLC</w:t>
      </w:r>
      <w:r>
        <w:rPr>
          <w:rFonts w:ascii="Times New Roman" w:hAnsi="Times New Roman" w:cs="Times New Roman"/>
        </w:rPr>
        <w:tab/>
      </w:r>
    </w:p>
    <w:p w14:paraId="0398C282" w14:textId="37ACDA8D" w:rsidR="00687902" w:rsidRDefault="00687902" w:rsidP="00687902">
      <w:pPr>
        <w:pStyle w:val="ParaNum"/>
        <w:numPr>
          <w:ilvl w:val="0"/>
          <w:numId w:val="0"/>
        </w:numPr>
        <w:spacing w:after="0"/>
        <w:rPr>
          <w:rFonts w:ascii="Times New Roman" w:hAnsi="Times New Roman" w:cs="Times New Roman"/>
        </w:rPr>
      </w:pPr>
      <w:r>
        <w:rPr>
          <w:rFonts w:ascii="Times New Roman" w:hAnsi="Times New Roman" w:cs="Times New Roman"/>
        </w:rPr>
        <w:t>Mark Ankcorn</w:t>
      </w:r>
    </w:p>
    <w:p w14:paraId="15A00A03" w14:textId="77C3597A" w:rsidR="00687902" w:rsidRDefault="00687902" w:rsidP="00687902">
      <w:pPr>
        <w:pStyle w:val="ParaNum"/>
        <w:numPr>
          <w:ilvl w:val="0"/>
          <w:numId w:val="0"/>
        </w:numPr>
        <w:spacing w:after="0"/>
        <w:rPr>
          <w:rFonts w:ascii="Times New Roman" w:hAnsi="Times New Roman" w:cs="Times New Roman"/>
          <w:b/>
        </w:rPr>
      </w:pPr>
      <w:r>
        <w:rPr>
          <w:rFonts w:ascii="Times New Roman" w:hAnsi="Times New Roman" w:cs="Times New Roman"/>
          <w:b/>
        </w:rPr>
        <w:t>Mortgage Bankers Association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MBA</w:t>
      </w:r>
    </w:p>
    <w:p w14:paraId="7D49154E" w14:textId="42832C95" w:rsidR="00687902" w:rsidRDefault="00687902" w:rsidP="00687902">
      <w:pPr>
        <w:pStyle w:val="ParaNum"/>
        <w:numPr>
          <w:ilvl w:val="0"/>
          <w:numId w:val="0"/>
        </w:numPr>
        <w:spacing w:after="0"/>
        <w:rPr>
          <w:rFonts w:ascii="Times New Roman" w:hAnsi="Times New Roman" w:cs="Times New Roman"/>
        </w:rPr>
      </w:pPr>
      <w:r>
        <w:rPr>
          <w:rFonts w:ascii="Times New Roman" w:hAnsi="Times New Roman" w:cs="Times New Roman"/>
        </w:rPr>
        <w:t>Peter Barry</w:t>
      </w:r>
    </w:p>
    <w:p w14:paraId="1C4C9F2C" w14:textId="3D52228D" w:rsidR="00687902" w:rsidRPr="00687902" w:rsidRDefault="00687902" w:rsidP="00687902">
      <w:pPr>
        <w:pStyle w:val="ParaNum"/>
        <w:numPr>
          <w:ilvl w:val="0"/>
          <w:numId w:val="0"/>
        </w:numPr>
        <w:spacing w:after="0"/>
        <w:rPr>
          <w:rFonts w:ascii="Times New Roman" w:hAnsi="Times New Roman" w:cs="Times New Roman"/>
        </w:rPr>
      </w:pPr>
      <w:r>
        <w:rPr>
          <w:rFonts w:ascii="Times New Roman" w:hAnsi="Times New Roman" w:cs="Times New Roman"/>
        </w:rPr>
        <w:t>Robert Biggerstaff</w:t>
      </w:r>
    </w:p>
    <w:p w14:paraId="0936F047" w14:textId="664EAD13" w:rsidR="007655FC" w:rsidRPr="00BF46D1" w:rsidRDefault="007655FC" w:rsidP="00687902">
      <w:pPr>
        <w:pStyle w:val="ParaNum"/>
        <w:numPr>
          <w:ilvl w:val="0"/>
          <w:numId w:val="0"/>
        </w:numPr>
        <w:spacing w:after="0"/>
        <w:rPr>
          <w:rFonts w:ascii="Times New Roman" w:hAnsi="Times New Roman" w:cs="Times New Roman"/>
        </w:rPr>
      </w:pPr>
      <w:r w:rsidRPr="00BF46D1">
        <w:rPr>
          <w:rFonts w:ascii="Times New Roman" w:hAnsi="Times New Roman" w:cs="Times New Roman"/>
        </w:rPr>
        <w:t>Alexander Burke</w:t>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p>
    <w:p w14:paraId="3F0B0947" w14:textId="73528D2A" w:rsidR="007655FC" w:rsidRPr="00BF46D1" w:rsidRDefault="007655FC" w:rsidP="00687902">
      <w:pPr>
        <w:pStyle w:val="ParaNum"/>
        <w:numPr>
          <w:ilvl w:val="0"/>
          <w:numId w:val="0"/>
        </w:numPr>
        <w:spacing w:after="0"/>
        <w:rPr>
          <w:rFonts w:ascii="Times New Roman" w:hAnsi="Times New Roman" w:cs="Times New Roman"/>
        </w:rPr>
      </w:pPr>
      <w:r w:rsidRPr="00BF46D1">
        <w:rPr>
          <w:rFonts w:ascii="Times New Roman" w:hAnsi="Times New Roman" w:cs="Times New Roman"/>
        </w:rPr>
        <w:t>HopeNow</w:t>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p>
    <w:p w14:paraId="774EF567" w14:textId="40FE673D" w:rsidR="007655FC" w:rsidRPr="00BF46D1" w:rsidRDefault="007655FC" w:rsidP="00687902">
      <w:pPr>
        <w:pStyle w:val="ParaNum"/>
        <w:numPr>
          <w:ilvl w:val="0"/>
          <w:numId w:val="0"/>
        </w:numPr>
        <w:spacing w:after="0"/>
        <w:rPr>
          <w:rFonts w:ascii="Times New Roman" w:hAnsi="Times New Roman" w:cs="Times New Roman"/>
        </w:rPr>
      </w:pPr>
      <w:r w:rsidRPr="00BF46D1">
        <w:rPr>
          <w:rFonts w:ascii="Times New Roman" w:hAnsi="Times New Roman" w:cs="Times New Roman"/>
        </w:rPr>
        <w:t>William Howard</w:t>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p>
    <w:p w14:paraId="4ABCA182" w14:textId="600BF699" w:rsidR="007655FC" w:rsidRPr="00BF46D1" w:rsidRDefault="007655FC" w:rsidP="00687902">
      <w:pPr>
        <w:pStyle w:val="ParaNum"/>
        <w:numPr>
          <w:ilvl w:val="0"/>
          <w:numId w:val="0"/>
        </w:numPr>
        <w:spacing w:after="0"/>
        <w:rPr>
          <w:rFonts w:ascii="Times New Roman" w:hAnsi="Times New Roman" w:cs="Times New Roman"/>
        </w:rPr>
      </w:pPr>
      <w:r w:rsidRPr="00BF46D1">
        <w:rPr>
          <w:rFonts w:ascii="Times New Roman" w:hAnsi="Times New Roman" w:cs="Times New Roman"/>
        </w:rPr>
        <w:t>Patrick Maulpin</w:t>
      </w:r>
      <w:r w:rsidR="00642D1A">
        <w:rPr>
          <w:rFonts w:ascii="Times New Roman" w:hAnsi="Times New Roman" w:cs="Times New Roman"/>
        </w:rPr>
        <w:t>*</w:t>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p>
    <w:p w14:paraId="31B4267D" w14:textId="6B924E46" w:rsidR="007655FC" w:rsidRPr="00BF46D1" w:rsidRDefault="007655FC" w:rsidP="00687902">
      <w:pPr>
        <w:pStyle w:val="ParaNum"/>
        <w:numPr>
          <w:ilvl w:val="0"/>
          <w:numId w:val="0"/>
        </w:numPr>
        <w:spacing w:after="0"/>
        <w:rPr>
          <w:rFonts w:ascii="Times New Roman" w:hAnsi="Times New Roman" w:cs="Times New Roman"/>
        </w:rPr>
      </w:pPr>
      <w:r w:rsidRPr="00BF46D1">
        <w:rPr>
          <w:rFonts w:ascii="Times New Roman" w:hAnsi="Times New Roman" w:cs="Times New Roman"/>
        </w:rPr>
        <w:t>National Consumer Law Center</w:t>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t>NCLC</w:t>
      </w:r>
    </w:p>
    <w:p w14:paraId="424E7B42" w14:textId="683D3A08" w:rsidR="007655FC" w:rsidRPr="00BF46D1" w:rsidRDefault="007655FC" w:rsidP="00687902">
      <w:pPr>
        <w:pStyle w:val="ParaNum"/>
        <w:numPr>
          <w:ilvl w:val="0"/>
          <w:numId w:val="0"/>
        </w:numPr>
        <w:spacing w:after="0"/>
        <w:rPr>
          <w:rFonts w:ascii="Times New Roman" w:hAnsi="Times New Roman" w:cs="Times New Roman"/>
        </w:rPr>
      </w:pPr>
      <w:r w:rsidRPr="00BF46D1">
        <w:rPr>
          <w:rFonts w:ascii="Times New Roman" w:hAnsi="Times New Roman" w:cs="Times New Roman"/>
        </w:rPr>
        <w:t>Quicken Loan Inc.</w:t>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p>
    <w:p w14:paraId="2AC70AC7" w14:textId="0FE83CB8" w:rsidR="007655FC" w:rsidRPr="00BF46D1" w:rsidRDefault="007655FC" w:rsidP="00687902">
      <w:pPr>
        <w:pStyle w:val="ParaNum"/>
        <w:numPr>
          <w:ilvl w:val="0"/>
          <w:numId w:val="0"/>
        </w:numPr>
        <w:spacing w:after="0"/>
        <w:rPr>
          <w:rFonts w:ascii="Times New Roman" w:hAnsi="Times New Roman" w:cs="Times New Roman"/>
        </w:rPr>
      </w:pPr>
      <w:r w:rsidRPr="00BF46D1">
        <w:rPr>
          <w:rFonts w:ascii="Times New Roman" w:hAnsi="Times New Roman" w:cs="Times New Roman"/>
        </w:rPr>
        <w:t>Gerald Roylance</w:t>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p>
    <w:p w14:paraId="610AEE13" w14:textId="5B6E2354" w:rsidR="009F3C32" w:rsidRPr="00BF46D1" w:rsidRDefault="007655FC" w:rsidP="00687902">
      <w:pPr>
        <w:rPr>
          <w:rFonts w:ascii="Times New Roman" w:hAnsi="Times New Roman" w:cs="Times New Roman"/>
        </w:rPr>
      </w:pPr>
      <w:r w:rsidRPr="00BF46D1">
        <w:rPr>
          <w:rFonts w:ascii="Times New Roman" w:hAnsi="Times New Roman" w:cs="Times New Roman"/>
        </w:rPr>
        <w:t>Beth Terrell</w:t>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r w:rsidRPr="00BF46D1">
        <w:rPr>
          <w:rFonts w:ascii="Times New Roman" w:hAnsi="Times New Roman" w:cs="Times New Roman"/>
        </w:rPr>
        <w:tab/>
      </w:r>
    </w:p>
    <w:p w14:paraId="08E88B0C" w14:textId="77777777" w:rsidR="00673F02" w:rsidRPr="00BF46D1" w:rsidRDefault="00673F02" w:rsidP="00642D1A">
      <w:pPr>
        <w:pStyle w:val="Header"/>
        <w:rPr>
          <w:rFonts w:ascii="Times New Roman" w:hAnsi="Times New Roman" w:cs="Times New Roman"/>
          <w:u w:val="single"/>
        </w:rPr>
      </w:pPr>
    </w:p>
    <w:p w14:paraId="6BFA911D" w14:textId="73E6EC7F" w:rsidR="007655FC" w:rsidRPr="00BF46D1" w:rsidRDefault="00642D1A" w:rsidP="00642D1A">
      <w:pPr>
        <w:pStyle w:val="Header"/>
        <w:rPr>
          <w:rFonts w:ascii="Times New Roman" w:hAnsi="Times New Roman" w:cs="Times New Roman"/>
        </w:rPr>
      </w:pPr>
      <w:r w:rsidRPr="00642D1A">
        <w:rPr>
          <w:rFonts w:ascii="Times New Roman" w:hAnsi="Times New Roman" w:cs="Times New Roman"/>
        </w:rPr>
        <w:t>* filing both comments and reply comments (bold - reply comments only)</w:t>
      </w:r>
    </w:p>
    <w:sectPr w:rsidR="007655FC" w:rsidRPr="00BF46D1" w:rsidSect="0031192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37144" w14:textId="77777777" w:rsidR="00BF7D1C" w:rsidRDefault="00BF7D1C">
      <w:r>
        <w:separator/>
      </w:r>
    </w:p>
  </w:endnote>
  <w:endnote w:type="continuationSeparator" w:id="0">
    <w:p w14:paraId="2655C80A" w14:textId="77777777" w:rsidR="00BF7D1C" w:rsidRDefault="00BF7D1C">
      <w:r>
        <w:continuationSeparator/>
      </w:r>
    </w:p>
  </w:endnote>
  <w:endnote w:type="continuationNotice" w:id="1">
    <w:p w14:paraId="35BE59F1" w14:textId="77777777" w:rsidR="00BF7D1C" w:rsidRDefault="00B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CA6A" w14:textId="77777777" w:rsidR="00D46ECC" w:rsidRDefault="00D46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2C1C9" w14:textId="77777777" w:rsidR="004C6949" w:rsidRPr="005359AE" w:rsidRDefault="004C6949">
    <w:pPr>
      <w:pStyle w:val="Footer"/>
      <w:jc w:val="center"/>
      <w:rPr>
        <w:rFonts w:ascii="Times New Roman" w:hAnsi="Times New Roman" w:cs="Times New Roman"/>
      </w:rPr>
    </w:pPr>
    <w:r w:rsidRPr="005359AE">
      <w:rPr>
        <w:rStyle w:val="PageNumber"/>
        <w:rFonts w:ascii="Times New Roman" w:hAnsi="Times New Roman" w:cs="Times New Roman"/>
      </w:rPr>
      <w:fldChar w:fldCharType="begin"/>
    </w:r>
    <w:r w:rsidRPr="005359AE">
      <w:rPr>
        <w:rStyle w:val="PageNumber"/>
        <w:rFonts w:ascii="Times New Roman" w:hAnsi="Times New Roman" w:cs="Times New Roman"/>
      </w:rPr>
      <w:instrText xml:space="preserve"> PAGE </w:instrText>
    </w:r>
    <w:r w:rsidRPr="005359AE">
      <w:rPr>
        <w:rStyle w:val="PageNumber"/>
        <w:rFonts w:ascii="Times New Roman" w:hAnsi="Times New Roman" w:cs="Times New Roman"/>
      </w:rPr>
      <w:fldChar w:fldCharType="separate"/>
    </w:r>
    <w:r w:rsidR="00C465DE">
      <w:rPr>
        <w:rStyle w:val="PageNumber"/>
        <w:rFonts w:ascii="Times New Roman" w:hAnsi="Times New Roman" w:cs="Times New Roman"/>
        <w:noProof/>
      </w:rPr>
      <w:t>2</w:t>
    </w:r>
    <w:r w:rsidRPr="005359AE">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C1760" w14:textId="77777777" w:rsidR="00D46ECC" w:rsidRDefault="00D46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CE909" w14:textId="77777777" w:rsidR="00BF7D1C" w:rsidRDefault="00BF7D1C" w:rsidP="00311926">
      <w:pPr>
        <w:rPr>
          <w:sz w:val="20"/>
        </w:rPr>
      </w:pPr>
      <w:r>
        <w:rPr>
          <w:sz w:val="20"/>
        </w:rPr>
        <w:separator/>
      </w:r>
    </w:p>
  </w:footnote>
  <w:footnote w:type="continuationSeparator" w:id="0">
    <w:p w14:paraId="035E3CD0" w14:textId="77777777" w:rsidR="00BF7D1C" w:rsidRDefault="00BF7D1C">
      <w:pPr>
        <w:rPr>
          <w:sz w:val="20"/>
        </w:rPr>
      </w:pPr>
      <w:r>
        <w:rPr>
          <w:sz w:val="20"/>
        </w:rPr>
        <w:separator/>
      </w:r>
    </w:p>
    <w:p w14:paraId="514FA15F" w14:textId="77777777" w:rsidR="00BF7D1C" w:rsidRDefault="00BF7D1C">
      <w:pPr>
        <w:rPr>
          <w:sz w:val="20"/>
        </w:rPr>
      </w:pPr>
      <w:r>
        <w:rPr>
          <w:sz w:val="20"/>
        </w:rPr>
        <w:t>(...continued from previous page)</w:t>
      </w:r>
    </w:p>
  </w:footnote>
  <w:footnote w:type="continuationNotice" w:id="1">
    <w:p w14:paraId="3BA2DDD5" w14:textId="77777777" w:rsidR="00BF7D1C" w:rsidRDefault="00BF7D1C">
      <w:pPr>
        <w:jc w:val="right"/>
        <w:rPr>
          <w:sz w:val="20"/>
        </w:rPr>
      </w:pPr>
      <w:r>
        <w:rPr>
          <w:sz w:val="20"/>
        </w:rPr>
        <w:t>(continued....)</w:t>
      </w:r>
    </w:p>
  </w:footnote>
  <w:footnote w:id="2">
    <w:p w14:paraId="2AA5ABD8" w14:textId="3641A517"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See Mortgage Bankers Association Petition for Exemption</w:t>
      </w:r>
      <w:r w:rsidRPr="00BF46D1">
        <w:rPr>
          <w:rFonts w:cs="Times New Roman"/>
        </w:rPr>
        <w:t>, CG Docket No. 02-278 (filed June 16, 2016) (Petition).</w:t>
      </w:r>
    </w:p>
  </w:footnote>
  <w:footnote w:id="3">
    <w:p w14:paraId="16ACEB92" w14:textId="02D60BA5"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The TCPA is codified at 47 U.S.C.</w:t>
      </w:r>
      <w:r w:rsidRPr="00BF46D1">
        <w:rPr>
          <w:rFonts w:cs="Times New Roman"/>
          <w:i/>
        </w:rPr>
        <w:t xml:space="preserve"> </w:t>
      </w:r>
      <w:r w:rsidRPr="00BF46D1">
        <w:rPr>
          <w:rFonts w:cs="Times New Roman"/>
        </w:rPr>
        <w:t>§ 227.</w:t>
      </w:r>
    </w:p>
  </w:footnote>
  <w:footnote w:id="4">
    <w:p w14:paraId="3861C6B7" w14:textId="0A658B50"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w:t>
      </w:r>
      <w:r>
        <w:rPr>
          <w:rFonts w:cs="Times New Roman"/>
        </w:rPr>
        <w:t xml:space="preserve">Section </w:t>
      </w:r>
      <w:r w:rsidRPr="00BF46D1">
        <w:rPr>
          <w:rFonts w:cs="Times New Roman"/>
        </w:rPr>
        <w:t>227(b)(2)(C) of the Communications Act (the Act)</w:t>
      </w:r>
      <w:r>
        <w:rPr>
          <w:rFonts w:cs="Times New Roman"/>
        </w:rPr>
        <w:t xml:space="preserve"> </w:t>
      </w:r>
      <w:r w:rsidRPr="00BF46D1">
        <w:rPr>
          <w:rFonts w:cs="Times New Roman"/>
        </w:rPr>
        <w:t>47 U.S.C.</w:t>
      </w:r>
      <w:r w:rsidRPr="00BF46D1">
        <w:rPr>
          <w:rFonts w:cs="Times New Roman"/>
          <w:i/>
        </w:rPr>
        <w:t xml:space="preserve"> </w:t>
      </w:r>
      <w:r w:rsidRPr="00BF46D1">
        <w:rPr>
          <w:rFonts w:cs="Times New Roman"/>
        </w:rPr>
        <w:t xml:space="preserve">§ 227(b)(2)(C) </w:t>
      </w:r>
      <w:r>
        <w:rPr>
          <w:rFonts w:cs="Times New Roman"/>
        </w:rPr>
        <w:t xml:space="preserve">gives the Commission authority to </w:t>
      </w:r>
      <w:r w:rsidRPr="00BF46D1">
        <w:rPr>
          <w:rFonts w:cs="Times New Roman"/>
        </w:rPr>
        <w:t xml:space="preserve">exempt </w:t>
      </w:r>
      <w:r>
        <w:rPr>
          <w:rFonts w:cs="Times New Roman"/>
        </w:rPr>
        <w:t>from the TCPA’s consent requirement robo</w:t>
      </w:r>
      <w:r w:rsidRPr="00BF46D1">
        <w:rPr>
          <w:rFonts w:cs="Times New Roman"/>
        </w:rPr>
        <w:t xml:space="preserve">calls to a number assigned to a wireless service that are not charged to the consumer, subject to conditions the Commission may prescribe to protect consumers' privacy rights. </w:t>
      </w:r>
      <w:r w:rsidR="00C94E84">
        <w:rPr>
          <w:rFonts w:cs="Times New Roman"/>
        </w:rPr>
        <w:t xml:space="preserve"> </w:t>
      </w:r>
      <w:r w:rsidR="00AC179C" w:rsidRPr="00BF46D1">
        <w:rPr>
          <w:rFonts w:cs="Times New Roman"/>
          <w:i/>
        </w:rPr>
        <w:t xml:space="preserve">See </w:t>
      </w:r>
      <w:r w:rsidR="00AC179C" w:rsidRPr="00BF46D1">
        <w:rPr>
          <w:rFonts w:cs="Times New Roman"/>
          <w:i/>
          <w:iCs/>
        </w:rPr>
        <w:t>Rules and Regulations Implementing the Telephone Consumer Protection Act of 1991, Cargo Airline Association Petition for Expedited Declaratory Ruling</w:t>
      </w:r>
      <w:r w:rsidR="00AC179C" w:rsidRPr="00BF46D1">
        <w:rPr>
          <w:rFonts w:cs="Times New Roman"/>
          <w:i/>
        </w:rPr>
        <w:t xml:space="preserve">, </w:t>
      </w:r>
      <w:r w:rsidR="00AC179C" w:rsidRPr="00BF46D1">
        <w:rPr>
          <w:rFonts w:cs="Times New Roman"/>
        </w:rPr>
        <w:t>CG Do</w:t>
      </w:r>
      <w:r w:rsidR="00AC179C">
        <w:rPr>
          <w:rFonts w:cs="Times New Roman"/>
        </w:rPr>
        <w:t>cket No. 02-278, 29 FCC Rcd 3435</w:t>
      </w:r>
      <w:r w:rsidR="00AC179C" w:rsidRPr="00BF46D1">
        <w:rPr>
          <w:rFonts w:cs="Times New Roman"/>
        </w:rPr>
        <w:t xml:space="preserve">, 3438, para. </w:t>
      </w:r>
      <w:r w:rsidR="00AC179C">
        <w:rPr>
          <w:rFonts w:cs="Times New Roman"/>
        </w:rPr>
        <w:t>9</w:t>
      </w:r>
      <w:r w:rsidR="00AC179C" w:rsidRPr="00BF46D1">
        <w:rPr>
          <w:rFonts w:cs="Times New Roman"/>
          <w:i/>
        </w:rPr>
        <w:t xml:space="preserve"> </w:t>
      </w:r>
      <w:r w:rsidR="00AC179C" w:rsidRPr="00BF46D1">
        <w:rPr>
          <w:rFonts w:cs="Times New Roman"/>
        </w:rPr>
        <w:t>(2014) (</w:t>
      </w:r>
      <w:r w:rsidR="00AC179C" w:rsidRPr="00BF46D1">
        <w:rPr>
          <w:rFonts w:cs="Times New Roman"/>
          <w:i/>
        </w:rPr>
        <w:t>Cargo Airline</w:t>
      </w:r>
      <w:r w:rsidR="00AC179C">
        <w:rPr>
          <w:rFonts w:cs="Times New Roman"/>
        </w:rPr>
        <w:t xml:space="preserve">) </w:t>
      </w:r>
      <w:r w:rsidR="00C94E84">
        <w:rPr>
          <w:rFonts w:cs="Times New Roman"/>
        </w:rPr>
        <w:t>(granting exemption when finding “that CAA has identified means to ensure the notifications are not charged to consumers, and a set of conditions on the notifications that, with the modifications we describe here, are consistent with the TCPA’s privacy goals.”)</w:t>
      </w:r>
    </w:p>
  </w:footnote>
  <w:footnote w:id="5">
    <w:p w14:paraId="003C8EED" w14:textId="1D180BC6"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 xml:space="preserve">Rules and Regulations Implementing the Telephone Consumer Protection Act of 1991, Declaratory Ruling and Order, </w:t>
      </w:r>
      <w:r w:rsidRPr="00BF46D1">
        <w:rPr>
          <w:rFonts w:cs="Times New Roman"/>
        </w:rPr>
        <w:t>CG Docket No. 02-278, WC Docket No. 07-135, 30 FCC Rcd 7961, 7967, para. 4 (2015) (quoting Pub. L. No. 102-243, § 2(9) (1991)) (</w:t>
      </w:r>
      <w:r w:rsidRPr="00BF46D1">
        <w:rPr>
          <w:rFonts w:cs="Times New Roman"/>
          <w:i/>
        </w:rPr>
        <w:t>2015 TCPA Declaratory Ruling</w:t>
      </w:r>
      <w:r w:rsidRPr="00BF46D1">
        <w:rPr>
          <w:rFonts w:cs="Times New Roman"/>
        </w:rPr>
        <w:t>).</w:t>
      </w:r>
    </w:p>
  </w:footnote>
  <w:footnote w:id="6">
    <w:p w14:paraId="2E786F80" w14:textId="77777777"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See</w:t>
      </w:r>
      <w:r w:rsidRPr="00BF46D1">
        <w:rPr>
          <w:rFonts w:cs="Times New Roman"/>
        </w:rPr>
        <w:t>,</w:t>
      </w:r>
      <w:r w:rsidRPr="00BF46D1">
        <w:rPr>
          <w:rFonts w:cs="Times New Roman"/>
          <w:i/>
        </w:rPr>
        <w:t xml:space="preserve"> e.g.</w:t>
      </w:r>
      <w:r w:rsidRPr="00BF46D1">
        <w:rPr>
          <w:rFonts w:cs="Times New Roman"/>
        </w:rPr>
        <w:t>, 137 Cong. Rec. H11307 (Daily Ed. Nov. 26, 1991) (noting that telephone subscribers found automated calls to be a particular nuisance and an invasion of privacy).</w:t>
      </w:r>
    </w:p>
  </w:footnote>
  <w:footnote w:id="7">
    <w:p w14:paraId="61BA97E7" w14:textId="0578864A"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See</w:t>
      </w:r>
      <w:r w:rsidRPr="00BF46D1">
        <w:rPr>
          <w:rFonts w:cs="Times New Roman"/>
        </w:rPr>
        <w:t xml:space="preserve">, </w:t>
      </w:r>
      <w:r w:rsidRPr="00BF46D1">
        <w:rPr>
          <w:rFonts w:cs="Times New Roman"/>
          <w:i/>
        </w:rPr>
        <w:t>e.g.</w:t>
      </w:r>
      <w:r w:rsidRPr="00BF46D1">
        <w:rPr>
          <w:rFonts w:cs="Times New Roman"/>
        </w:rPr>
        <w:t xml:space="preserve">, </w:t>
      </w:r>
      <w:r w:rsidRPr="00BF46D1">
        <w:rPr>
          <w:rFonts w:cs="Times New Roman"/>
          <w:i/>
        </w:rPr>
        <w:t>2015 TCPA Declaratory Ruling</w:t>
      </w:r>
      <w:r w:rsidRPr="00BF46D1">
        <w:rPr>
          <w:rFonts w:cs="Times New Roman"/>
        </w:rPr>
        <w:t>,</w:t>
      </w:r>
      <w:r w:rsidRPr="00BF46D1">
        <w:rPr>
          <w:rFonts w:cs="Times New Roman"/>
          <w:i/>
        </w:rPr>
        <w:t xml:space="preserve"> </w:t>
      </w:r>
      <w:r w:rsidRPr="00BF46D1">
        <w:rPr>
          <w:rFonts w:cs="Times New Roman"/>
        </w:rPr>
        <w:t xml:space="preserve">30 FCC Rcd at 7964 n.6; </w:t>
      </w:r>
      <w:r w:rsidRPr="00BF46D1">
        <w:rPr>
          <w:rFonts w:cs="Times New Roman"/>
          <w:i/>
        </w:rPr>
        <w:t>Rules and Regulations Implementing the Telephone Consumer Protection Act of 1991</w:t>
      </w:r>
      <w:r w:rsidRPr="00BF46D1">
        <w:rPr>
          <w:rFonts w:cs="Times New Roman"/>
        </w:rPr>
        <w:t>, CG Docket No. 92-90, Report and Order, 7 FCC Rcd 8752, 8754, para. 3 (1992).</w:t>
      </w:r>
    </w:p>
  </w:footnote>
  <w:footnote w:id="8">
    <w:p w14:paraId="416A6C9F" w14:textId="56298251"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The Commission has used the term “robocalls” to refer both to calls placed using an automatic telephone dialing system (autodialer) and to prerecorded- or artificial-voice calls.  </w:t>
      </w:r>
      <w:r w:rsidRPr="00BF46D1">
        <w:rPr>
          <w:rFonts w:cs="Times New Roman"/>
          <w:i/>
        </w:rPr>
        <w:t>See</w:t>
      </w:r>
      <w:r w:rsidRPr="00BF46D1">
        <w:rPr>
          <w:rFonts w:cs="Times New Roman"/>
        </w:rPr>
        <w:t>,</w:t>
      </w:r>
      <w:r w:rsidRPr="00BF46D1">
        <w:rPr>
          <w:rFonts w:cs="Times New Roman"/>
          <w:i/>
        </w:rPr>
        <w:t xml:space="preserve"> e.g.</w:t>
      </w:r>
      <w:r w:rsidRPr="00BF46D1">
        <w:rPr>
          <w:rFonts w:cs="Times New Roman"/>
        </w:rPr>
        <w:t>,</w:t>
      </w:r>
      <w:r w:rsidRPr="00BF46D1">
        <w:rPr>
          <w:rFonts w:cs="Times New Roman"/>
          <w:i/>
        </w:rPr>
        <w:t xml:space="preserve"> Rules and Regulations Implementing the Telephone Consumer Protection Act</w:t>
      </w:r>
      <w:r w:rsidRPr="00BF46D1">
        <w:rPr>
          <w:rFonts w:cs="Times New Roman"/>
        </w:rPr>
        <w:t>, CG Docket No. 02-278, Report and Order, 27 FCC Rcd 1830, 1831, para. 1 (2012) (</w:t>
      </w:r>
      <w:r w:rsidRPr="00BF46D1">
        <w:rPr>
          <w:rFonts w:cs="Times New Roman"/>
          <w:i/>
        </w:rPr>
        <w:t>2012 Report and Order</w:t>
      </w:r>
      <w:r w:rsidRPr="00BF46D1">
        <w:rPr>
          <w:rFonts w:cs="Times New Roman"/>
        </w:rPr>
        <w:t xml:space="preserve">).   </w:t>
      </w:r>
    </w:p>
  </w:footnote>
  <w:footnote w:id="9">
    <w:p w14:paraId="2AD5D5D2" w14:textId="77777777"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See</w:t>
      </w:r>
      <w:r w:rsidRPr="00BF46D1">
        <w:rPr>
          <w:rFonts w:cs="Times New Roman"/>
        </w:rPr>
        <w:t xml:space="preserve"> 47 U.S.C. § 227(b)(1), (b)(2)(C); 47 CFR § 64.1200(a)(1).</w:t>
      </w:r>
    </w:p>
  </w:footnote>
  <w:footnote w:id="10">
    <w:p w14:paraId="70FBD128" w14:textId="5EB76DBF"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See Rules and Regulations Implementing the Telephone Consumer Protection Act of 1991</w:t>
      </w:r>
      <w:r w:rsidRPr="00BF46D1">
        <w:rPr>
          <w:rFonts w:cs="Times New Roman"/>
        </w:rPr>
        <w:t>, CG Docket No. 02-278, Report and Order, 18 FCC Rcd 14014, 14115, para. 165 (2003) (</w:t>
      </w:r>
      <w:r w:rsidRPr="00BF46D1">
        <w:rPr>
          <w:rFonts w:cs="Times New Roman"/>
          <w:i/>
        </w:rPr>
        <w:t>2003 TCPA Order</w:t>
      </w:r>
      <w:r w:rsidRPr="00BF46D1">
        <w:rPr>
          <w:rFonts w:cs="Times New Roman"/>
        </w:rPr>
        <w:t xml:space="preserve">); </w:t>
      </w:r>
      <w:r w:rsidRPr="00BF46D1">
        <w:rPr>
          <w:rFonts w:cs="Times New Roman"/>
          <w:i/>
        </w:rPr>
        <w:t>see also</w:t>
      </w:r>
      <w:r w:rsidRPr="00BF46D1">
        <w:rPr>
          <w:rFonts w:cs="Times New Roman"/>
        </w:rPr>
        <w:t xml:space="preserve"> </w:t>
      </w:r>
      <w:r w:rsidRPr="00BF46D1">
        <w:rPr>
          <w:rFonts w:cs="Times New Roman"/>
          <w:i/>
        </w:rPr>
        <w:t>Satterfield v. Simon &amp; Schuster, Inc.</w:t>
      </w:r>
      <w:r w:rsidRPr="00BF46D1">
        <w:rPr>
          <w:rFonts w:cs="Times New Roman"/>
        </w:rPr>
        <w:t xml:space="preserve">, 569 F.3d 946 (9th Cir. 2009) (noting that text messaging is a form of communication used primarily between telephones and is therefore consistent with the definition of a “call”); </w:t>
      </w:r>
      <w:r w:rsidRPr="00BF46D1">
        <w:rPr>
          <w:rFonts w:cs="Times New Roman"/>
          <w:i/>
        </w:rPr>
        <w:t>2015 TCPA Declaratory Ruling</w:t>
      </w:r>
      <w:r w:rsidRPr="00BF46D1">
        <w:rPr>
          <w:rFonts w:cs="Times New Roman"/>
        </w:rPr>
        <w:t>, 30 FCC Rcd at 8017, para. 108.</w:t>
      </w:r>
    </w:p>
  </w:footnote>
  <w:footnote w:id="11">
    <w:p w14:paraId="5B74198A" w14:textId="43141D70"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47 U.S.C.</w:t>
      </w:r>
      <w:r w:rsidRPr="00BF46D1">
        <w:rPr>
          <w:rFonts w:cs="Times New Roman"/>
          <w:i/>
        </w:rPr>
        <w:t xml:space="preserve"> </w:t>
      </w:r>
      <w:r w:rsidRPr="00BF46D1">
        <w:rPr>
          <w:rFonts w:cs="Times New Roman"/>
        </w:rPr>
        <w:t>§ 227(b)(2)(C).</w:t>
      </w:r>
    </w:p>
  </w:footnote>
  <w:footnote w:id="12">
    <w:p w14:paraId="62D7883F" w14:textId="3C35E87D"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2003 TCPA Order</w:t>
      </w:r>
      <w:r w:rsidRPr="00BF46D1">
        <w:rPr>
          <w:rFonts w:cs="Times New Roman"/>
        </w:rPr>
        <w:t xml:space="preserve">, 18 FCC Rcd at 14115, para. 165; </w:t>
      </w:r>
      <w:r w:rsidRPr="00BF46D1">
        <w:rPr>
          <w:rFonts w:cs="Times New Roman"/>
          <w:i/>
        </w:rPr>
        <w:t>2012 Report and Order</w:t>
      </w:r>
      <w:r w:rsidRPr="00BF46D1">
        <w:rPr>
          <w:rFonts w:cs="Times New Roman"/>
        </w:rPr>
        <w:t xml:space="preserve">, 27 FCC Rcd at 1839-40, para. 25; </w:t>
      </w:r>
      <w:r w:rsidRPr="00BF46D1">
        <w:rPr>
          <w:rFonts w:cs="Times New Roman"/>
          <w:i/>
        </w:rPr>
        <w:t>2015 TCPA Declaratory Ruling</w:t>
      </w:r>
      <w:r w:rsidRPr="00BF46D1">
        <w:rPr>
          <w:rFonts w:cs="Times New Roman"/>
        </w:rPr>
        <w:t>, 30 FCC Rcd at 7967, para 4.</w:t>
      </w:r>
    </w:p>
  </w:footnote>
  <w:footnote w:id="13">
    <w:p w14:paraId="158729A3" w14:textId="6DAE7621"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00AC179C">
        <w:rPr>
          <w:rFonts w:cs="Times New Roman"/>
          <w:i/>
        </w:rPr>
        <w:t xml:space="preserve">Cargo Airline, </w:t>
      </w:r>
      <w:r w:rsidR="00AC179C" w:rsidRPr="005869EC">
        <w:rPr>
          <w:rFonts w:cs="Times New Roman"/>
        </w:rPr>
        <w:t>9 FCC Rcd at 3438, para. 20</w:t>
      </w:r>
      <w:r w:rsidRPr="00E51BE7">
        <w:rPr>
          <w:rFonts w:cs="Times New Roman"/>
        </w:rPr>
        <w:t>;</w:t>
      </w:r>
      <w:r w:rsidRPr="00BF46D1">
        <w:rPr>
          <w:rFonts w:cs="Times New Roman"/>
        </w:rPr>
        <w:t xml:space="preserve"> </w:t>
      </w:r>
      <w:r w:rsidRPr="00BF46D1">
        <w:rPr>
          <w:rFonts w:cs="Times New Roman"/>
          <w:i/>
        </w:rPr>
        <w:t>2015 TCPA Declaratory Ruling</w:t>
      </w:r>
      <w:r w:rsidRPr="00BF46D1">
        <w:rPr>
          <w:rFonts w:cs="Times New Roman"/>
        </w:rPr>
        <w:t>, 30 FCC Rcd at 7989, para 45, 30 FCC Rcd at 8023, para. 125.</w:t>
      </w:r>
    </w:p>
  </w:footnote>
  <w:footnote w:id="14">
    <w:p w14:paraId="0F686E32" w14:textId="728F439E" w:rsidR="004C6949" w:rsidRPr="00BF46D1" w:rsidRDefault="004C6949" w:rsidP="0092209C">
      <w:pPr>
        <w:pStyle w:val="FootnoteText"/>
        <w:tabs>
          <w:tab w:val="clear" w:pos="720"/>
          <w:tab w:val="clear" w:pos="1440"/>
          <w:tab w:val="clear" w:pos="2160"/>
        </w:tabs>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 xml:space="preserve">See supra </w:t>
      </w:r>
      <w:r w:rsidRPr="00BF46D1">
        <w:rPr>
          <w:rFonts w:cs="Times New Roman"/>
        </w:rPr>
        <w:t>n</w:t>
      </w:r>
      <w:r>
        <w:rPr>
          <w:rFonts w:cs="Times New Roman"/>
        </w:rPr>
        <w:t>.1</w:t>
      </w:r>
      <w:r w:rsidRPr="00BF46D1">
        <w:rPr>
          <w:rFonts w:cs="Times New Roman"/>
        </w:rPr>
        <w:t xml:space="preserve">; </w:t>
      </w:r>
      <w:r w:rsidRPr="00BF46D1">
        <w:rPr>
          <w:rFonts w:cs="Times New Roman"/>
          <w:i/>
        </w:rPr>
        <w:t>see also</w:t>
      </w:r>
      <w:r w:rsidRPr="00BF46D1">
        <w:rPr>
          <w:rFonts w:cs="Times New Roman"/>
        </w:rPr>
        <w:t xml:space="preserve"> Petition at 2-4.</w:t>
      </w:r>
    </w:p>
  </w:footnote>
  <w:footnote w:id="15">
    <w:p w14:paraId="2E27095D" w14:textId="717DD219" w:rsidR="00D57C3F" w:rsidRPr="00BF46D1" w:rsidRDefault="00D57C3F" w:rsidP="00D57C3F">
      <w:pPr>
        <w:pStyle w:val="FootnoteText"/>
        <w:tabs>
          <w:tab w:val="clear" w:pos="720"/>
          <w:tab w:val="clear" w:pos="1440"/>
          <w:tab w:val="clear" w:pos="2160"/>
        </w:tabs>
        <w:jc w:val="left"/>
        <w:rPr>
          <w:rFonts w:cs="Times New Roman"/>
        </w:rPr>
      </w:pPr>
      <w:r w:rsidRPr="00BF46D1">
        <w:rPr>
          <w:rStyle w:val="FootnoteReference"/>
          <w:rFonts w:cs="Times New Roman"/>
        </w:rPr>
        <w:footnoteRef/>
      </w:r>
      <w:r w:rsidRPr="00BF46D1">
        <w:rPr>
          <w:rFonts w:cs="Times New Roman"/>
        </w:rPr>
        <w:t xml:space="preserve"> </w:t>
      </w:r>
      <w:r w:rsidR="00090DE1">
        <w:rPr>
          <w:rFonts w:cs="Times New Roman"/>
          <w:i/>
        </w:rPr>
        <w:t xml:space="preserve">Id. </w:t>
      </w:r>
      <w:r w:rsidR="00090DE1" w:rsidRPr="00B44038">
        <w:rPr>
          <w:rFonts w:cs="Times New Roman"/>
        </w:rPr>
        <w:t>at</w:t>
      </w:r>
      <w:r w:rsidR="00090DE1">
        <w:rPr>
          <w:rFonts w:cs="Times New Roman"/>
        </w:rPr>
        <w:t xml:space="preserve"> 8.</w:t>
      </w:r>
    </w:p>
  </w:footnote>
  <w:footnote w:id="16">
    <w:p w14:paraId="43BEA7FC" w14:textId="0FA2811B" w:rsidR="00B715DC" w:rsidRPr="00A148B9" w:rsidRDefault="00B715DC" w:rsidP="005869EC">
      <w:pPr>
        <w:pStyle w:val="FootnoteText"/>
        <w:rPr>
          <w:rFonts w:cs="Times New Roman"/>
        </w:rPr>
      </w:pPr>
      <w:r w:rsidRPr="00BF46D1">
        <w:rPr>
          <w:rStyle w:val="FootnoteReference"/>
          <w:rFonts w:cs="Times New Roman"/>
        </w:rPr>
        <w:footnoteRef/>
      </w:r>
      <w:r w:rsidRPr="00BF46D1">
        <w:rPr>
          <w:rFonts w:cs="Times New Roman"/>
        </w:rPr>
        <w:t xml:space="preserve"> </w:t>
      </w:r>
      <w:r>
        <w:rPr>
          <w:rFonts w:cs="Times New Roman"/>
          <w:i/>
        </w:rPr>
        <w:t>Id</w:t>
      </w:r>
      <w:r>
        <w:rPr>
          <w:rFonts w:cs="Times New Roman"/>
        </w:rPr>
        <w:t>.</w:t>
      </w:r>
      <w:r w:rsidR="00A148B9">
        <w:rPr>
          <w:rFonts w:cs="Times New Roman"/>
        </w:rPr>
        <w:t xml:space="preserve">  </w:t>
      </w:r>
      <w:r w:rsidR="00A148B9" w:rsidRPr="00A148B9">
        <w:rPr>
          <w:rFonts w:cs="Times New Roman"/>
        </w:rPr>
        <w:t>MBA requests that for the purposes of this exemption the Commission define "</w:t>
      </w:r>
      <w:r w:rsidR="00A148B9">
        <w:rPr>
          <w:rFonts w:cs="Times New Roman"/>
        </w:rPr>
        <w:t xml:space="preserve">mortgage </w:t>
      </w:r>
      <w:r w:rsidR="00A148B9" w:rsidRPr="00A148B9">
        <w:rPr>
          <w:rFonts w:cs="Times New Roman"/>
        </w:rPr>
        <w:t>servicing" as "all actions, including all communications, related to</w:t>
      </w:r>
      <w:r w:rsidR="00A148B9">
        <w:rPr>
          <w:rFonts w:cs="Times New Roman"/>
        </w:rPr>
        <w:t xml:space="preserve"> the receipt and application of </w:t>
      </w:r>
      <w:r w:rsidR="00A148B9" w:rsidRPr="00A148B9">
        <w:rPr>
          <w:rFonts w:cs="Times New Roman"/>
        </w:rPr>
        <w:t>payments pursuant to the terms of any loan or security agreement</w:t>
      </w:r>
      <w:r w:rsidR="00A148B9">
        <w:rPr>
          <w:rFonts w:cs="Times New Roman"/>
        </w:rPr>
        <w:t xml:space="preserve">, execution of other rights and </w:t>
      </w:r>
      <w:r w:rsidR="00A148B9" w:rsidRPr="00A148B9">
        <w:rPr>
          <w:rFonts w:cs="Times New Roman"/>
        </w:rPr>
        <w:t>obligations owed under the loan or security agreement, the modification</w:t>
      </w:r>
      <w:r w:rsidR="00A148B9">
        <w:rPr>
          <w:rFonts w:cs="Times New Roman"/>
        </w:rPr>
        <w:t xml:space="preserve"> of any terms of the loan </w:t>
      </w:r>
      <w:r w:rsidR="00A148B9" w:rsidRPr="00A148B9">
        <w:rPr>
          <w:rFonts w:cs="Times New Roman"/>
        </w:rPr>
        <w:t>or security agreement, and any other loss mitigation options."</w:t>
      </w:r>
      <w:r w:rsidR="00A148B9">
        <w:rPr>
          <w:rFonts w:cs="Times New Roman"/>
        </w:rPr>
        <w:t xml:space="preserve"> </w:t>
      </w:r>
      <w:r w:rsidR="00A148B9">
        <w:rPr>
          <w:rFonts w:cs="Times New Roman"/>
          <w:i/>
        </w:rPr>
        <w:t xml:space="preserve">Id. </w:t>
      </w:r>
      <w:r w:rsidR="00A148B9" w:rsidRPr="005869EC">
        <w:rPr>
          <w:rFonts w:cs="Times New Roman"/>
        </w:rPr>
        <w:t xml:space="preserve">at </w:t>
      </w:r>
      <w:r w:rsidR="00A148B9">
        <w:rPr>
          <w:rFonts w:cs="Times New Roman"/>
        </w:rPr>
        <w:t>13.</w:t>
      </w:r>
    </w:p>
  </w:footnote>
  <w:footnote w:id="17">
    <w:p w14:paraId="7D1FC9AD" w14:textId="7D21E7FA" w:rsidR="004C6949" w:rsidRPr="00BF46D1" w:rsidRDefault="004C6949" w:rsidP="0092209C">
      <w:pPr>
        <w:pStyle w:val="FootnoteText"/>
        <w:tabs>
          <w:tab w:val="clear" w:pos="720"/>
          <w:tab w:val="clear" w:pos="1440"/>
          <w:tab w:val="clear" w:pos="2160"/>
        </w:tabs>
        <w:jc w:val="left"/>
        <w:rPr>
          <w:rFonts w:cs="Times New Roman"/>
        </w:rPr>
      </w:pPr>
      <w:r w:rsidRPr="00BF46D1">
        <w:rPr>
          <w:rStyle w:val="FootnoteReference"/>
          <w:rFonts w:cs="Times New Roman"/>
        </w:rPr>
        <w:footnoteRef/>
      </w:r>
      <w:r w:rsidRPr="00BF46D1">
        <w:rPr>
          <w:rFonts w:cs="Times New Roman"/>
        </w:rPr>
        <w:t xml:space="preserve"> </w:t>
      </w:r>
      <w:r>
        <w:rPr>
          <w:rFonts w:cs="Times New Roman"/>
          <w:i/>
        </w:rPr>
        <w:t xml:space="preserve">Id. </w:t>
      </w:r>
      <w:r w:rsidRPr="00B44038">
        <w:rPr>
          <w:rFonts w:cs="Times New Roman"/>
        </w:rPr>
        <w:t>at</w:t>
      </w:r>
      <w:r w:rsidRPr="00BF46D1">
        <w:rPr>
          <w:rFonts w:cs="Times New Roman"/>
        </w:rPr>
        <w:t xml:space="preserve"> 7.</w:t>
      </w:r>
    </w:p>
  </w:footnote>
  <w:footnote w:id="18">
    <w:p w14:paraId="2F5D2101" w14:textId="18CD4B19" w:rsidR="004C6949" w:rsidRPr="00BF46D1" w:rsidRDefault="004C6949" w:rsidP="0092209C">
      <w:pPr>
        <w:pStyle w:val="FootnoteText"/>
        <w:tabs>
          <w:tab w:val="clear" w:pos="720"/>
          <w:tab w:val="clear" w:pos="1440"/>
          <w:tab w:val="clear" w:pos="2160"/>
        </w:tabs>
        <w:jc w:val="left"/>
        <w:rPr>
          <w:rFonts w:cs="Times New Roman"/>
        </w:rPr>
      </w:pPr>
      <w:r w:rsidRPr="00BF46D1">
        <w:rPr>
          <w:rStyle w:val="FootnoteReference"/>
          <w:rFonts w:cs="Times New Roman"/>
        </w:rPr>
        <w:footnoteRef/>
      </w:r>
      <w:r w:rsidRPr="00BF46D1">
        <w:rPr>
          <w:rFonts w:cs="Times New Roman"/>
        </w:rPr>
        <w:t xml:space="preserve"> </w:t>
      </w:r>
      <w:r>
        <w:rPr>
          <w:rFonts w:cs="Times New Roman"/>
          <w:i/>
        </w:rPr>
        <w:t xml:space="preserve">Id. </w:t>
      </w:r>
      <w:r w:rsidRPr="00B44038">
        <w:rPr>
          <w:rFonts w:cs="Times New Roman"/>
        </w:rPr>
        <w:t>at</w:t>
      </w:r>
      <w:r w:rsidRPr="00BF46D1">
        <w:rPr>
          <w:rFonts w:cs="Times New Roman"/>
        </w:rPr>
        <w:t xml:space="preserve"> 8-9.</w:t>
      </w:r>
    </w:p>
  </w:footnote>
  <w:footnote w:id="19">
    <w:p w14:paraId="2A1EA339" w14:textId="7B24E424" w:rsidR="004C6949" w:rsidRPr="00BF46D1" w:rsidRDefault="004C6949" w:rsidP="0092209C">
      <w:pPr>
        <w:pStyle w:val="FootnoteText"/>
        <w:tabs>
          <w:tab w:val="clear" w:pos="720"/>
          <w:tab w:val="clear" w:pos="1440"/>
          <w:tab w:val="clear" w:pos="2160"/>
        </w:tabs>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 xml:space="preserve">Id. </w:t>
      </w:r>
      <w:r w:rsidRPr="00BF46D1">
        <w:rPr>
          <w:rFonts w:cs="Times New Roman"/>
        </w:rPr>
        <w:t>at 6.</w:t>
      </w:r>
    </w:p>
  </w:footnote>
  <w:footnote w:id="20">
    <w:p w14:paraId="605CC07A" w14:textId="51512606" w:rsidR="004C6949" w:rsidRPr="00BF46D1" w:rsidRDefault="004C6949" w:rsidP="0092209C">
      <w:pPr>
        <w:pStyle w:val="FootnoteText"/>
        <w:tabs>
          <w:tab w:val="clear" w:pos="720"/>
          <w:tab w:val="clear" w:pos="1440"/>
          <w:tab w:val="clear" w:pos="2160"/>
        </w:tabs>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 xml:space="preserve">Id. </w:t>
      </w:r>
      <w:r w:rsidRPr="00BF46D1">
        <w:rPr>
          <w:rFonts w:cs="Times New Roman"/>
        </w:rPr>
        <w:t xml:space="preserve">at 7-11. </w:t>
      </w:r>
    </w:p>
  </w:footnote>
  <w:footnote w:id="21">
    <w:p w14:paraId="77BEAC1E" w14:textId="312C9237" w:rsidR="004C6949" w:rsidRPr="00BF46D1" w:rsidRDefault="004C6949" w:rsidP="0092209C">
      <w:pPr>
        <w:pStyle w:val="FootnoteText"/>
        <w:tabs>
          <w:tab w:val="clear" w:pos="720"/>
          <w:tab w:val="clear" w:pos="1440"/>
          <w:tab w:val="clear" w:pos="2160"/>
        </w:tabs>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Id.</w:t>
      </w:r>
      <w:r w:rsidRPr="00BF46D1">
        <w:rPr>
          <w:rFonts w:cs="Times New Roman"/>
        </w:rPr>
        <w:t xml:space="preserve"> at 10.</w:t>
      </w:r>
    </w:p>
  </w:footnote>
  <w:footnote w:id="22">
    <w:p w14:paraId="3CC03650" w14:textId="094821AC" w:rsidR="004C6949" w:rsidRDefault="004C6949">
      <w:pPr>
        <w:pStyle w:val="FootnoteText"/>
      </w:pPr>
      <w:r>
        <w:rPr>
          <w:rStyle w:val="FootnoteReference"/>
        </w:rPr>
        <w:footnoteRef/>
      </w:r>
      <w:r>
        <w:t xml:space="preserve"> </w:t>
      </w:r>
      <w:r w:rsidR="00090DE1" w:rsidRPr="00BF46D1">
        <w:rPr>
          <w:rFonts w:cs="Times New Roman"/>
          <w:i/>
        </w:rPr>
        <w:t>Id.</w:t>
      </w:r>
      <w:r w:rsidR="00090DE1">
        <w:rPr>
          <w:rFonts w:cs="Times New Roman"/>
        </w:rPr>
        <w:t xml:space="preserve"> at 3-4</w:t>
      </w:r>
      <w:r w:rsidR="0057170D">
        <w:rPr>
          <w:rFonts w:cs="Times New Roman"/>
        </w:rPr>
        <w:t xml:space="preserve">; </w:t>
      </w:r>
      <w:r w:rsidR="0057170D">
        <w:rPr>
          <w:rFonts w:cs="Times New Roman"/>
          <w:i/>
        </w:rPr>
        <w:t xml:space="preserve">see </w:t>
      </w:r>
      <w:r w:rsidR="0057170D" w:rsidRPr="0057170D">
        <w:rPr>
          <w:rFonts w:cs="Times New Roman"/>
          <w:i/>
        </w:rPr>
        <w:t>also</w:t>
      </w:r>
      <w:r w:rsidR="0057170D">
        <w:rPr>
          <w:rFonts w:cs="Times New Roman"/>
        </w:rPr>
        <w:t xml:space="preserve"> </w:t>
      </w:r>
      <w:r w:rsidR="0057170D" w:rsidRPr="0057170D">
        <w:rPr>
          <w:rFonts w:cs="Times New Roman"/>
        </w:rPr>
        <w:t>Bipartisan</w:t>
      </w:r>
      <w:r w:rsidR="0057170D" w:rsidRPr="00BF46D1">
        <w:rPr>
          <w:rFonts w:cs="Times New Roman"/>
        </w:rPr>
        <w:t xml:space="preserve"> Budget Act of 2015, Pub. L. No. 114-74, 129 Stat. 584</w:t>
      </w:r>
      <w:r w:rsidR="0057170D">
        <w:rPr>
          <w:rFonts w:cs="Times New Roman"/>
        </w:rPr>
        <w:t xml:space="preserve"> § 301(b)</w:t>
      </w:r>
      <w:r w:rsidR="00090DE1" w:rsidRPr="00BF46D1">
        <w:rPr>
          <w:rFonts w:cs="Times New Roman"/>
        </w:rPr>
        <w:t>.</w:t>
      </w:r>
    </w:p>
  </w:footnote>
  <w:footnote w:id="23">
    <w:p w14:paraId="68BA07A0" w14:textId="2F407144" w:rsidR="004C6949" w:rsidRPr="00BF46D1" w:rsidRDefault="004C6949" w:rsidP="0092209C">
      <w:pPr>
        <w:pStyle w:val="FootnoteText"/>
        <w:tabs>
          <w:tab w:val="clear" w:pos="720"/>
          <w:tab w:val="clear" w:pos="1440"/>
          <w:tab w:val="clear" w:pos="2160"/>
        </w:tabs>
        <w:jc w:val="left"/>
        <w:rPr>
          <w:rFonts w:cs="Times New Roman"/>
        </w:rPr>
      </w:pPr>
      <w:r w:rsidRPr="00BF46D1">
        <w:rPr>
          <w:rStyle w:val="FootnoteReference"/>
          <w:rFonts w:cs="Times New Roman"/>
        </w:rPr>
        <w:footnoteRef/>
      </w:r>
      <w:r w:rsidRPr="00BF46D1">
        <w:rPr>
          <w:rFonts w:cs="Times New Roman"/>
        </w:rPr>
        <w:t xml:space="preserve"> </w:t>
      </w:r>
      <w:r w:rsidR="0057170D" w:rsidRPr="00BE1B0A">
        <w:rPr>
          <w:rFonts w:cs="Times New Roman"/>
        </w:rPr>
        <w:t>Petition</w:t>
      </w:r>
      <w:r w:rsidRPr="00BF46D1">
        <w:rPr>
          <w:rFonts w:cs="Times New Roman"/>
          <w:i/>
        </w:rPr>
        <w:t xml:space="preserve"> </w:t>
      </w:r>
      <w:r w:rsidRPr="00BF46D1">
        <w:rPr>
          <w:rFonts w:cs="Times New Roman"/>
        </w:rPr>
        <w:t>at 4, 6.</w:t>
      </w:r>
    </w:p>
  </w:footnote>
  <w:footnote w:id="24">
    <w:p w14:paraId="3BA014F6" w14:textId="15D2777E" w:rsidR="004C6949" w:rsidRPr="00BF46D1" w:rsidRDefault="004C6949" w:rsidP="0092209C">
      <w:pPr>
        <w:pStyle w:val="FootnoteText"/>
        <w:tabs>
          <w:tab w:val="clear" w:pos="720"/>
          <w:tab w:val="clear" w:pos="1440"/>
          <w:tab w:val="clear" w:pos="2160"/>
        </w:tabs>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 xml:space="preserve">Id. </w:t>
      </w:r>
      <w:r w:rsidRPr="00BF46D1">
        <w:rPr>
          <w:rFonts w:cs="Times New Roman"/>
        </w:rPr>
        <w:t xml:space="preserve">at 12.  </w:t>
      </w:r>
    </w:p>
  </w:footnote>
  <w:footnote w:id="25">
    <w:p w14:paraId="4E60C1E6" w14:textId="7A11C0E0" w:rsidR="00090DE1" w:rsidRPr="00BF46D1" w:rsidRDefault="00090DE1" w:rsidP="00090DE1">
      <w:pPr>
        <w:pStyle w:val="FootnoteText"/>
        <w:tabs>
          <w:tab w:val="clear" w:pos="720"/>
          <w:tab w:val="clear" w:pos="1440"/>
          <w:tab w:val="clear" w:pos="2160"/>
        </w:tabs>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 xml:space="preserve">Id. </w:t>
      </w:r>
      <w:r w:rsidRPr="00BF46D1">
        <w:rPr>
          <w:rFonts w:cs="Times New Roman"/>
        </w:rPr>
        <w:t>at 12</w:t>
      </w:r>
      <w:r>
        <w:rPr>
          <w:rFonts w:cs="Times New Roman"/>
        </w:rPr>
        <w:t>-13</w:t>
      </w:r>
      <w:r w:rsidRPr="00BF46D1">
        <w:rPr>
          <w:rFonts w:cs="Times New Roman"/>
        </w:rPr>
        <w:t xml:space="preserve">.  </w:t>
      </w:r>
    </w:p>
  </w:footnote>
  <w:footnote w:id="26">
    <w:p w14:paraId="2A4F9920" w14:textId="3EABBE65"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Consumer and Governmental Affairs Bureau Seeks Comment on Mortgage Bankers Association Petition for Exemption</w:t>
      </w:r>
      <w:r w:rsidRPr="00BF46D1">
        <w:rPr>
          <w:rFonts w:cs="Times New Roman"/>
        </w:rPr>
        <w:t>, CG Docket No. 02-278, Public Notice, 2016 WL 4140603 (CGB 2016).</w:t>
      </w:r>
    </w:p>
  </w:footnote>
  <w:footnote w:id="27">
    <w:p w14:paraId="6619AAC7" w14:textId="28423667"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 xml:space="preserve">See </w:t>
      </w:r>
      <w:r w:rsidRPr="00BF46D1">
        <w:rPr>
          <w:rFonts w:cs="Times New Roman"/>
        </w:rPr>
        <w:t xml:space="preserve">Mark Ankcorn Comments; Peter Barry Comments; Robert Biggerstaff Comments; Burke Law Offices, LLC Comments; William Howard Comments; Patrick Maulpin Comments; National Consumer Law Center (NCLC) Comments; Gerald Roylance Comments; Beth Terrell Comments. </w:t>
      </w:r>
    </w:p>
  </w:footnote>
  <w:footnote w:id="28">
    <w:p w14:paraId="7BFBC9DE" w14:textId="48CA2B99"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 xml:space="preserve">See </w:t>
      </w:r>
      <w:r w:rsidRPr="00BF46D1">
        <w:rPr>
          <w:rFonts w:cs="Times New Roman"/>
        </w:rPr>
        <w:t>NCLC Comments at 3-4 (citing nine civil cases where mortgage servicers are alleged to have violated the TCPA); Peter Barry Comments at 1 (alleging that, “the mortgage bankers represented in the Petition are some of the worst violators of the TCPA”); Burke Law Offices, LLC Comments at 9 (citing six civil cases where mortgage servicers are alleged to have violated the TCPA); Beth Terrell Comments at 2 (noting that one consumer alleged to have received 117 calls from their mortgage servicer in one day); Mark Ankcorn Comments at 1-2; Robert Biggerstaff Comments at 2; William Howard Comments at 3.</w:t>
      </w:r>
    </w:p>
  </w:footnote>
  <w:footnote w:id="29">
    <w:p w14:paraId="777FD3EF" w14:textId="3A190C4E"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 xml:space="preserve">See </w:t>
      </w:r>
      <w:r w:rsidRPr="00BF46D1">
        <w:rPr>
          <w:rFonts w:cs="Times New Roman"/>
        </w:rPr>
        <w:t>NCLC Comments at 5-8; Beth Terrell Comments at 4-5.</w:t>
      </w:r>
    </w:p>
  </w:footnote>
  <w:footnote w:id="30">
    <w:p w14:paraId="3654C20B" w14:textId="5B96CE18"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See</w:t>
      </w:r>
      <w:r w:rsidRPr="00BF46D1">
        <w:rPr>
          <w:rFonts w:cs="Times New Roman"/>
        </w:rPr>
        <w:t xml:space="preserve"> American Banker Association Comments; American Financial Services Association Comments; HopeNow Comments; Quicken Loan Inc. Comments.  In an </w:t>
      </w:r>
      <w:r w:rsidRPr="00BF46D1">
        <w:rPr>
          <w:rFonts w:cs="Times New Roman"/>
          <w:i/>
        </w:rPr>
        <w:t>ex parte</w:t>
      </w:r>
      <w:r w:rsidRPr="00BF46D1">
        <w:rPr>
          <w:rFonts w:cs="Times New Roman"/>
        </w:rPr>
        <w:t xml:space="preserve"> filing, Quicken Loan Inc. repeated their support for the Petition.  </w:t>
      </w:r>
      <w:r w:rsidRPr="00BF46D1">
        <w:rPr>
          <w:rFonts w:cs="Times New Roman"/>
          <w:i/>
        </w:rPr>
        <w:t>Ex Parte</w:t>
      </w:r>
      <w:r w:rsidRPr="00BF46D1">
        <w:rPr>
          <w:rFonts w:cs="Times New Roman"/>
        </w:rPr>
        <w:t xml:space="preserve"> Letter from Gary Weingarden, senior counsel, Quicken Loans Inc., to Marlene H. Dortch, Secretary, FCC, in Docket No. 02-278 (filed October 20, 2016).</w:t>
      </w:r>
    </w:p>
  </w:footnote>
  <w:footnote w:id="31">
    <w:p w14:paraId="148C026D" w14:textId="13E6BB09"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 xml:space="preserve">See </w:t>
      </w:r>
      <w:r w:rsidRPr="00BF46D1">
        <w:rPr>
          <w:rFonts w:cs="Times New Roman"/>
        </w:rPr>
        <w:t xml:space="preserve">American Banker Association Comments at 7-9; American Financial Services Association Comments at 1-2; HopeNow Comments at 2; Quicken Loan Inc. Comments at 2. </w:t>
      </w:r>
    </w:p>
  </w:footnote>
  <w:footnote w:id="32">
    <w:p w14:paraId="27EEA997" w14:textId="12CA8463"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Patrick Maulpin Reply Comments; MBA Reply Comments.</w:t>
      </w:r>
    </w:p>
  </w:footnote>
  <w:footnote w:id="33">
    <w:p w14:paraId="74C2105E" w14:textId="2F0897CC"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Patrick Maulpin Reply Comments at 1.</w:t>
      </w:r>
    </w:p>
  </w:footnote>
  <w:footnote w:id="34">
    <w:p w14:paraId="026EF704" w14:textId="018308BA"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MBA Reply Comments at 4-5.  In two </w:t>
      </w:r>
      <w:r w:rsidRPr="00BF46D1">
        <w:rPr>
          <w:rFonts w:cs="Times New Roman"/>
          <w:i/>
        </w:rPr>
        <w:t>ex parte</w:t>
      </w:r>
      <w:r w:rsidRPr="00BF46D1">
        <w:rPr>
          <w:rFonts w:cs="Times New Roman"/>
        </w:rPr>
        <w:t xml:space="preserve"> filings, MBA reiterated many of the same arguments that it raised in its Petition and reply comments.  </w:t>
      </w:r>
      <w:r w:rsidRPr="00BF46D1">
        <w:rPr>
          <w:rFonts w:cs="Times New Roman"/>
          <w:i/>
        </w:rPr>
        <w:t>Ex Parte</w:t>
      </w:r>
      <w:r w:rsidRPr="00BF46D1">
        <w:rPr>
          <w:rFonts w:cs="Times New Roman"/>
        </w:rPr>
        <w:t xml:space="preserve"> Letter from Lauren E. Campisi, McGlinchey Stafford, counsel for MBA, to Marlene H. Dortch, Secretary, FCC, in Docket No. 02-278, at 1-5 (filed October 6, 2016); </w:t>
      </w:r>
      <w:r w:rsidRPr="00BF46D1">
        <w:rPr>
          <w:rFonts w:cs="Times New Roman"/>
          <w:i/>
        </w:rPr>
        <w:t>Ex Parte</w:t>
      </w:r>
      <w:r w:rsidRPr="00BF46D1">
        <w:rPr>
          <w:rFonts w:cs="Times New Roman"/>
        </w:rPr>
        <w:t xml:space="preserve"> Letter from Lauren E. Campisi, McGlinchey Stafford, counsel for MBA, to Marlene H. Dortch, Secretary, FCC, in Docket No. 02-278, at 1-5 (filed October 19, 2016).  </w:t>
      </w:r>
    </w:p>
  </w:footnote>
  <w:footnote w:id="35">
    <w:p w14:paraId="009F12A5" w14:textId="40BFB566" w:rsidR="004C6949" w:rsidRPr="001B4DF2"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MBA Reply Comments at 1-3.</w:t>
      </w:r>
      <w:r w:rsidR="00A148B9">
        <w:rPr>
          <w:rFonts w:cs="Times New Roman"/>
        </w:rPr>
        <w:t xml:space="preserve">  While there is some confusion in the record about the definition </w:t>
      </w:r>
      <w:r w:rsidR="001B4DF2">
        <w:rPr>
          <w:rFonts w:cs="Times New Roman"/>
        </w:rPr>
        <w:t xml:space="preserve">of live autodialed calls, the Commission has been clear that, unless otherwise indicated, the term “robocalls” includes calls made either with an automatic telephone dialing system or with a prerecorded or artificial voice.  </w:t>
      </w:r>
      <w:r w:rsidR="001B4DF2" w:rsidRPr="00BF46D1">
        <w:rPr>
          <w:rFonts w:cs="Times New Roman"/>
          <w:i/>
        </w:rPr>
        <w:t>See</w:t>
      </w:r>
      <w:r w:rsidR="001B4DF2">
        <w:rPr>
          <w:rFonts w:cs="Times New Roman"/>
        </w:rPr>
        <w:t xml:space="preserve"> </w:t>
      </w:r>
      <w:r w:rsidR="001B4DF2" w:rsidRPr="00BF46D1">
        <w:rPr>
          <w:rFonts w:cs="Times New Roman"/>
          <w:i/>
        </w:rPr>
        <w:t>2015 TCPA Declaratory Ruling</w:t>
      </w:r>
      <w:r w:rsidR="001B4DF2" w:rsidRPr="00BF46D1">
        <w:rPr>
          <w:rFonts w:cs="Times New Roman"/>
        </w:rPr>
        <w:t>,</w:t>
      </w:r>
      <w:r w:rsidR="001B4DF2" w:rsidRPr="00BF46D1">
        <w:rPr>
          <w:rFonts w:cs="Times New Roman"/>
          <w:i/>
        </w:rPr>
        <w:t xml:space="preserve"> </w:t>
      </w:r>
      <w:r w:rsidR="001B4DF2">
        <w:rPr>
          <w:rFonts w:cs="Times New Roman"/>
        </w:rPr>
        <w:t>30 FCC Rcd at 7961</w:t>
      </w:r>
      <w:r w:rsidR="001B4DF2" w:rsidRPr="00BF46D1">
        <w:rPr>
          <w:rFonts w:cs="Times New Roman"/>
        </w:rPr>
        <w:t xml:space="preserve"> n.</w:t>
      </w:r>
      <w:r w:rsidR="001B4DF2">
        <w:rPr>
          <w:rFonts w:cs="Times New Roman"/>
        </w:rPr>
        <w:t>1.</w:t>
      </w:r>
    </w:p>
  </w:footnote>
  <w:footnote w:id="36">
    <w:p w14:paraId="58F0451D" w14:textId="463EE1DB"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 xml:space="preserve">See supra </w:t>
      </w:r>
      <w:r w:rsidRPr="00BF46D1">
        <w:rPr>
          <w:rFonts w:cs="Times New Roman"/>
        </w:rPr>
        <w:t>n</w:t>
      </w:r>
      <w:r>
        <w:rPr>
          <w:rFonts w:cs="Times New Roman"/>
        </w:rPr>
        <w:t>.</w:t>
      </w:r>
      <w:r w:rsidRPr="00BF46D1">
        <w:rPr>
          <w:rFonts w:cs="Times New Roman"/>
        </w:rPr>
        <w:t>1</w:t>
      </w:r>
      <w:r w:rsidR="00F80D56">
        <w:rPr>
          <w:rFonts w:cs="Times New Roman"/>
        </w:rPr>
        <w:t>1</w:t>
      </w:r>
      <w:r w:rsidRPr="00BF46D1">
        <w:rPr>
          <w:rFonts w:cs="Times New Roman"/>
        </w:rPr>
        <w:t xml:space="preserve">.  </w:t>
      </w:r>
    </w:p>
  </w:footnote>
  <w:footnote w:id="37">
    <w:p w14:paraId="14DF5993" w14:textId="3904A49B" w:rsidR="004C6949" w:rsidRPr="00BF46D1" w:rsidRDefault="004C6949" w:rsidP="006E5798">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See Cargo Airline</w:t>
      </w:r>
      <w:r w:rsidRPr="00BF46D1">
        <w:rPr>
          <w:rFonts w:cs="Times New Roman"/>
        </w:rPr>
        <w:t>, 29 FCC Rcd at 3435-36, paras. 12-13;</w:t>
      </w:r>
      <w:r w:rsidRPr="00BF46D1">
        <w:rPr>
          <w:rFonts w:cs="Times New Roman"/>
          <w:i/>
        </w:rPr>
        <w:t xml:space="preserve"> 2015 TCPA Declaratory Ruling</w:t>
      </w:r>
      <w:r w:rsidRPr="00BF46D1">
        <w:rPr>
          <w:rFonts w:cs="Times New Roman"/>
        </w:rPr>
        <w:t>, 30 FCC Rcd at 8023, para. 128-139, 30 FCC Rcd at 8030, paras. 1</w:t>
      </w:r>
      <w:r>
        <w:rPr>
          <w:rFonts w:cs="Times New Roman"/>
        </w:rPr>
        <w:t>25</w:t>
      </w:r>
      <w:r w:rsidRPr="00BF46D1">
        <w:rPr>
          <w:rFonts w:cs="Times New Roman"/>
        </w:rPr>
        <w:t>-146.</w:t>
      </w:r>
      <w:r>
        <w:rPr>
          <w:rFonts w:cs="Times New Roman"/>
        </w:rPr>
        <w:t xml:space="preserve">  </w:t>
      </w:r>
    </w:p>
  </w:footnote>
  <w:footnote w:id="38">
    <w:p w14:paraId="363BE209" w14:textId="5D3170E4"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47 U.S.C. § 227(b)(2)(C).</w:t>
      </w:r>
    </w:p>
  </w:footnote>
  <w:footnote w:id="39">
    <w:p w14:paraId="34DA9E16" w14:textId="386B225A"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Petition at 3, 15.  </w:t>
      </w:r>
      <w:r w:rsidRPr="0043153E">
        <w:rPr>
          <w:rFonts w:cs="Times New Roman"/>
        </w:rPr>
        <w:t xml:space="preserve">By contrast, in granting previous exemptions, the Commission noted that one petitioner “state[d] that ‘financial institutions will work with wireless carriers and third-party service providers to ensure that recipients of notices under the requested exemption are not charged for those messages’” and that another petitioner “state[d] that its members [were] capable of providing these calls by . . . using third-party solutions.”  2015 TCPA Declaratory Ruling, 30 FCC Rcd at 8024, para 127, 8030, para. 144.  </w:t>
      </w:r>
    </w:p>
  </w:footnote>
  <w:footnote w:id="40">
    <w:p w14:paraId="0545B791" w14:textId="5D1563D3"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See Cargo Airline</w:t>
      </w:r>
      <w:r>
        <w:rPr>
          <w:rFonts w:cs="Times New Roman"/>
        </w:rPr>
        <w:t>, 29 FCC Rcd at 3436</w:t>
      </w:r>
      <w:r w:rsidRPr="00BF46D1">
        <w:rPr>
          <w:rFonts w:cs="Times New Roman"/>
        </w:rPr>
        <w:t>, para. 12 (</w:t>
      </w:r>
      <w:r>
        <w:rPr>
          <w:rFonts w:cs="Times New Roman"/>
        </w:rPr>
        <w:t xml:space="preserve">clarifying that the Commission, “interprets the TCPA’s ‘no charge’ requirement to preclude existing notifications that count against the recipient’s plan minutes or texts.”); </w:t>
      </w:r>
      <w:r w:rsidRPr="00BF46D1">
        <w:rPr>
          <w:rFonts w:cs="Times New Roman"/>
          <w:i/>
        </w:rPr>
        <w:t>2015 TCPA Declaratory Ruling</w:t>
      </w:r>
      <w:r w:rsidRPr="00BF46D1">
        <w:rPr>
          <w:rFonts w:cs="Times New Roman"/>
        </w:rPr>
        <w:t xml:space="preserve">, 30 FCC Rcd at </w:t>
      </w:r>
      <w:r>
        <w:rPr>
          <w:rFonts w:cs="Times New Roman"/>
        </w:rPr>
        <w:t xml:space="preserve">8028, para. </w:t>
      </w:r>
      <w:r w:rsidRPr="00BF46D1">
        <w:rPr>
          <w:rFonts w:cs="Times New Roman"/>
        </w:rPr>
        <w:t>39, 30 FCC Rcd at 8030, paras. 144</w:t>
      </w:r>
      <w:r>
        <w:rPr>
          <w:rFonts w:cs="Times New Roman"/>
        </w:rPr>
        <w:t xml:space="preserve">. </w:t>
      </w:r>
    </w:p>
  </w:footnote>
  <w:footnote w:id="41">
    <w:p w14:paraId="2FB155B6" w14:textId="62A4043F" w:rsidR="00ED5FBF" w:rsidRDefault="00ED5FBF">
      <w:pPr>
        <w:pStyle w:val="FootnoteText"/>
      </w:pPr>
      <w:r>
        <w:rPr>
          <w:rStyle w:val="FootnoteReference"/>
        </w:rPr>
        <w:footnoteRef/>
      </w:r>
      <w:r>
        <w:t xml:space="preserve"> </w:t>
      </w:r>
      <w:r w:rsidR="00000C29" w:rsidRPr="00BF46D1">
        <w:rPr>
          <w:rFonts w:cs="Times New Roman"/>
          <w:i/>
        </w:rPr>
        <w:t>2015 TCPA Declaratory Ruling</w:t>
      </w:r>
      <w:r w:rsidR="00000C29" w:rsidRPr="00BF46D1">
        <w:rPr>
          <w:rFonts w:cs="Times New Roman"/>
        </w:rPr>
        <w:t xml:space="preserve">, 30 FCC Rcd at </w:t>
      </w:r>
      <w:r w:rsidR="001B4DF2">
        <w:rPr>
          <w:rFonts w:cs="Times New Roman"/>
        </w:rPr>
        <w:t>8025</w:t>
      </w:r>
      <w:r w:rsidR="00000C29">
        <w:rPr>
          <w:rFonts w:cs="Times New Roman"/>
        </w:rPr>
        <w:t xml:space="preserve">, para. </w:t>
      </w:r>
      <w:r w:rsidR="001B4DF2">
        <w:rPr>
          <w:rFonts w:cs="Times New Roman"/>
        </w:rPr>
        <w:t>129</w:t>
      </w:r>
      <w:r w:rsidR="00000C29">
        <w:rPr>
          <w:rFonts w:cs="Times New Roman"/>
        </w:rPr>
        <w:t>.</w:t>
      </w:r>
    </w:p>
  </w:footnote>
  <w:footnote w:id="42">
    <w:p w14:paraId="668B3DBD" w14:textId="756B7A87" w:rsidR="004C6949" w:rsidRPr="00BF46D1" w:rsidRDefault="004C6949" w:rsidP="00071E83">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 xml:space="preserve">See supra </w:t>
      </w:r>
      <w:r w:rsidRPr="00BF46D1">
        <w:rPr>
          <w:rFonts w:cs="Times New Roman"/>
        </w:rPr>
        <w:t>n</w:t>
      </w:r>
      <w:r>
        <w:rPr>
          <w:rFonts w:cs="Times New Roman"/>
        </w:rPr>
        <w:t>.</w:t>
      </w:r>
      <w:r w:rsidRPr="00BF46D1">
        <w:rPr>
          <w:rFonts w:cs="Times New Roman"/>
        </w:rPr>
        <w:t>3</w:t>
      </w:r>
      <w:r w:rsidR="00F80D56">
        <w:rPr>
          <w:rFonts w:cs="Times New Roman"/>
        </w:rPr>
        <w:t>7</w:t>
      </w:r>
      <w:r w:rsidRPr="00BF46D1">
        <w:rPr>
          <w:rFonts w:cs="Times New Roman"/>
        </w:rPr>
        <w:t>.</w:t>
      </w:r>
    </w:p>
  </w:footnote>
  <w:footnote w:id="43">
    <w:p w14:paraId="06CC696F" w14:textId="77777777" w:rsidR="004C6949" w:rsidRPr="00BF46D1" w:rsidRDefault="004C6949" w:rsidP="00071E83">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2015 TCPA Declaratory Ruling</w:t>
      </w:r>
      <w:r w:rsidRPr="00BF46D1">
        <w:rPr>
          <w:rFonts w:cs="Times New Roman"/>
        </w:rPr>
        <w:t>, 30 FCC Rcd at 8025, para. 132 (considering “the urgency associated with these calls, the unpredictable timing of the underlying problems, the financial repercussions associated with those problems, and the risk that consumers may not have fully understood information provided to them regarding consenting to these calls”).</w:t>
      </w:r>
    </w:p>
  </w:footnote>
  <w:footnote w:id="44">
    <w:p w14:paraId="14E1B58F" w14:textId="3748836E" w:rsidR="004C6949" w:rsidRPr="0092209C" w:rsidRDefault="004C6949">
      <w:pPr>
        <w:pStyle w:val="FootnoteText"/>
        <w:rPr>
          <w:rFonts w:cs="Times New Roman"/>
        </w:rPr>
      </w:pPr>
      <w:r w:rsidRPr="0092209C">
        <w:rPr>
          <w:rStyle w:val="FootnoteReference"/>
          <w:rFonts w:cs="Times New Roman"/>
        </w:rPr>
        <w:footnoteRef/>
      </w:r>
      <w:r w:rsidRPr="0092209C">
        <w:rPr>
          <w:rFonts w:cs="Times New Roman"/>
        </w:rPr>
        <w:t xml:space="preserve"> </w:t>
      </w:r>
      <w:r>
        <w:rPr>
          <w:rFonts w:cs="Times New Roman"/>
          <w:i/>
        </w:rPr>
        <w:t>See id</w:t>
      </w:r>
      <w:r>
        <w:rPr>
          <w:rFonts w:cs="Times New Roman"/>
        </w:rPr>
        <w:t xml:space="preserve">, 30 FCC Rcd at </w:t>
      </w:r>
      <w:r w:rsidR="0002324C" w:rsidRPr="00BE1B0A">
        <w:rPr>
          <w:rFonts w:cs="Times New Roman"/>
        </w:rPr>
        <w:t>8031</w:t>
      </w:r>
      <w:r w:rsidRPr="00BE1B0A">
        <w:rPr>
          <w:rFonts w:cs="Times New Roman"/>
        </w:rPr>
        <w:t>,</w:t>
      </w:r>
      <w:r>
        <w:rPr>
          <w:rFonts w:cs="Times New Roman"/>
        </w:rPr>
        <w:t xml:space="preserve"> para. 146.</w:t>
      </w:r>
    </w:p>
  </w:footnote>
  <w:footnote w:id="45">
    <w:p w14:paraId="39F9FED5" w14:textId="77777777" w:rsidR="004C6949" w:rsidRPr="00BF46D1" w:rsidRDefault="004C6949" w:rsidP="00DE518E">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 xml:space="preserve">See id. </w:t>
      </w:r>
      <w:r w:rsidRPr="00BF46D1">
        <w:rPr>
          <w:rFonts w:cs="Times New Roman"/>
        </w:rPr>
        <w:t>at 9.</w:t>
      </w:r>
    </w:p>
  </w:footnote>
  <w:footnote w:id="46">
    <w:p w14:paraId="6AF57EC5" w14:textId="77777777" w:rsidR="004C6949" w:rsidRPr="00BF46D1" w:rsidRDefault="004C6949" w:rsidP="00071E83">
      <w:pPr>
        <w:pStyle w:val="FootnoteText"/>
        <w:jc w:val="left"/>
        <w:rPr>
          <w:rFonts w:cs="Times New Roman"/>
        </w:rPr>
      </w:pPr>
      <w:r w:rsidRPr="00BF46D1">
        <w:rPr>
          <w:rStyle w:val="FootnoteReference"/>
          <w:rFonts w:cs="Times New Roman"/>
        </w:rPr>
        <w:footnoteRef/>
      </w:r>
      <w:r w:rsidRPr="00BF46D1">
        <w:rPr>
          <w:rFonts w:cs="Times New Roman"/>
        </w:rPr>
        <w:t xml:space="preserve"> Petition at 10-11.</w:t>
      </w:r>
    </w:p>
  </w:footnote>
  <w:footnote w:id="47">
    <w:p w14:paraId="4637A404" w14:textId="6C8FAAA8" w:rsidR="001B4DF2" w:rsidRPr="00BF46D1" w:rsidRDefault="001B4DF2" w:rsidP="001B4DF2">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2015 TCPA Declaratory Ruling</w:t>
      </w:r>
      <w:r w:rsidRPr="00BF46D1">
        <w:rPr>
          <w:rFonts w:cs="Times New Roman"/>
        </w:rPr>
        <w:t>, 30 FCC Rcd at 8025, para. 132</w:t>
      </w:r>
      <w:r>
        <w:rPr>
          <w:rFonts w:cs="Times New Roman"/>
        </w:rPr>
        <w:t>.</w:t>
      </w:r>
    </w:p>
  </w:footnote>
  <w:footnote w:id="48">
    <w:p w14:paraId="3A3C36FA" w14:textId="1B9A714D"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Petition at </w:t>
      </w:r>
      <w:r>
        <w:rPr>
          <w:rFonts w:cs="Times New Roman"/>
        </w:rPr>
        <w:t xml:space="preserve">5, </w:t>
      </w:r>
      <w:r w:rsidRPr="00BF46D1">
        <w:rPr>
          <w:rFonts w:cs="Times New Roman"/>
        </w:rPr>
        <w:t>10-11, 14.  MBA defines “mortgage servicing” for purposes of this exemption and the calls made pursuant to it as “all actions, including all communications, related to the receipt and application of payments pursuant to the terms of any loan or security agreement, execution of other rights and obligations owed under the loan or security agreement, the modification of any terms of the loan or security agreement, and any other loss mitigation options.”  Petition at 13.</w:t>
      </w:r>
    </w:p>
  </w:footnote>
  <w:footnote w:id="49">
    <w:p w14:paraId="5247FAA3" w14:textId="6349E870"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The Commission has clarified that a party who provides his or her wireless number to a creditor as part of a credit application “reasonably evidences prior express consent by the cell phone subscriber to be contacted at the number regarding the debt.”  </w:t>
      </w:r>
      <w:r w:rsidRPr="00BF46D1">
        <w:rPr>
          <w:rFonts w:cs="Times New Roman"/>
          <w:i/>
        </w:rPr>
        <w:t>Rules and Regulations Implementing the Telephone Consumer Protection Act of 1991, Request of ACA International for Clarification and Declaratory Ruling</w:t>
      </w:r>
      <w:r w:rsidRPr="00BF46D1">
        <w:rPr>
          <w:rFonts w:cs="Times New Roman"/>
        </w:rPr>
        <w:t xml:space="preserve">, CG Docket No. 02-278, 23 FCC Rcd 559, 564, para. 9 (2008). </w:t>
      </w:r>
    </w:p>
  </w:footnote>
  <w:footnote w:id="50">
    <w:p w14:paraId="0E8C485D" w14:textId="77777777" w:rsidR="004C6949" w:rsidRPr="00BF46D1" w:rsidRDefault="004C6949" w:rsidP="004C6949">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 xml:space="preserve">See </w:t>
      </w:r>
      <w:r w:rsidRPr="00BF46D1">
        <w:rPr>
          <w:rFonts w:cs="Times New Roman"/>
        </w:rPr>
        <w:t xml:space="preserve">NCLC Comments at 3-8; Mark Ankcorn Comments at 1-2; Peter Barry Comments at 1; Robert Biggerstaff Comments at 2; Burke Law Offices, LLC Comments at 4, 8-9; William Howard Comments at 3; Gerald Roylance Comments at 3-4; Beth Terrell Comments at 2-4. </w:t>
      </w:r>
    </w:p>
  </w:footnote>
  <w:footnote w:id="51">
    <w:p w14:paraId="4754A7AD" w14:textId="77777777" w:rsidR="004C6949" w:rsidRPr="00BF46D1" w:rsidRDefault="004C6949" w:rsidP="004C6949">
      <w:pPr>
        <w:pStyle w:val="FootnoteText"/>
        <w:jc w:val="left"/>
        <w:rPr>
          <w:rFonts w:cs="Times New Roman"/>
        </w:rPr>
      </w:pPr>
      <w:r w:rsidRPr="00BF46D1">
        <w:rPr>
          <w:rStyle w:val="FootnoteReference"/>
          <w:rFonts w:cs="Times New Roman"/>
        </w:rPr>
        <w:footnoteRef/>
      </w:r>
      <w:r w:rsidRPr="00BF46D1">
        <w:rPr>
          <w:rFonts w:cs="Times New Roman"/>
        </w:rPr>
        <w:t xml:space="preserve"> </w:t>
      </w:r>
      <w:r w:rsidRPr="00BF46D1">
        <w:rPr>
          <w:rFonts w:cs="Times New Roman"/>
          <w:i/>
        </w:rPr>
        <w:t>See, e.g.</w:t>
      </w:r>
      <w:r w:rsidRPr="00BF46D1">
        <w:rPr>
          <w:rFonts w:cs="Times New Roman"/>
        </w:rPr>
        <w:t xml:space="preserve">, 12 U.S.C. § 2605 (rules relating to the servicing of mortgage loans and administration of escrow accounts). </w:t>
      </w:r>
    </w:p>
  </w:footnote>
  <w:footnote w:id="52">
    <w:p w14:paraId="1D334554" w14:textId="4AAC05D2"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Petition at 3-4.</w:t>
      </w:r>
    </w:p>
  </w:footnote>
  <w:footnote w:id="53">
    <w:p w14:paraId="6B634CFB" w14:textId="5A79520D" w:rsidR="004C6949" w:rsidRPr="00BF46D1" w:rsidRDefault="004C6949" w:rsidP="0092209C">
      <w:pPr>
        <w:pStyle w:val="FootnoteText"/>
        <w:jc w:val="left"/>
        <w:rPr>
          <w:rFonts w:cs="Times New Roman"/>
        </w:rPr>
      </w:pPr>
      <w:r w:rsidRPr="00BF46D1">
        <w:rPr>
          <w:rStyle w:val="FootnoteReference"/>
          <w:rFonts w:cs="Times New Roman"/>
        </w:rPr>
        <w:footnoteRef/>
      </w:r>
      <w:r w:rsidRPr="00BF46D1">
        <w:rPr>
          <w:rFonts w:cs="Times New Roman"/>
        </w:rPr>
        <w:t xml:space="preserve"> Bipartisan Budget Act of 2015, Pub. L. No. 114-74, 129 Stat. 584 (Budget Act); Budget Act § 301(a)(1)(A) (amending 47 U.S.C. § 227(b)(1)(A)).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EA8A4" w14:textId="77777777" w:rsidR="00D46ECC" w:rsidRDefault="00D46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4179C" w14:textId="5A1251B7" w:rsidR="004C6949" w:rsidRPr="00BF46D1" w:rsidRDefault="004C6949" w:rsidP="005359AE">
    <w:pPr>
      <w:pStyle w:val="Header"/>
      <w:tabs>
        <w:tab w:val="clear" w:pos="4320"/>
        <w:tab w:val="clear" w:pos="8640"/>
        <w:tab w:val="center" w:pos="4680"/>
        <w:tab w:val="right" w:pos="9360"/>
      </w:tabs>
      <w:rPr>
        <w:rFonts w:ascii="Times New Roman" w:hAnsi="Times New Roman" w:cs="Times New Roman"/>
        <w:b/>
      </w:rPr>
    </w:pPr>
    <w:r w:rsidRPr="00BF46D1">
      <w:rPr>
        <w:rFonts w:ascii="Times New Roman" w:hAnsi="Times New Roman" w:cs="Times New Roman"/>
        <w:b/>
      </w:rPr>
      <w:tab/>
      <w:t>Federal Communications Commission</w:t>
    </w:r>
    <w:r w:rsidRPr="00BF46D1">
      <w:rPr>
        <w:rFonts w:ascii="Times New Roman" w:hAnsi="Times New Roman" w:cs="Times New Roman"/>
        <w:b/>
      </w:rPr>
      <w:tab/>
      <w:t>DA 16-</w:t>
    </w:r>
    <w:r w:rsidR="00C27A6F" w:rsidRPr="00D125F8">
      <w:rPr>
        <w:rFonts w:ascii="Times New Roman" w:hAnsi="Times New Roman" w:cs="Times New Roman"/>
        <w:b/>
      </w:rPr>
      <w:t>1277</w:t>
    </w:r>
    <w:r w:rsidRPr="00BF46D1">
      <w:rPr>
        <w:rFonts w:ascii="Times New Roman" w:hAnsi="Times New Roman" w:cs="Times New Roman"/>
        <w:b/>
      </w:rPr>
      <w:t xml:space="preserve"> </w:t>
    </w:r>
  </w:p>
  <w:p w14:paraId="156A96B6" w14:textId="77777777" w:rsidR="004C6949" w:rsidRPr="00BF46D1" w:rsidRDefault="004C6949" w:rsidP="005359AE">
    <w:pPr>
      <w:pStyle w:val="Header"/>
      <w:tabs>
        <w:tab w:val="clear" w:pos="8640"/>
        <w:tab w:val="right" w:pos="9360"/>
      </w:tabs>
      <w:rPr>
        <w:rFonts w:ascii="Times New Roman" w:hAnsi="Times New Roman" w:cs="Times New Roman"/>
      </w:rPr>
    </w:pPr>
    <w:r w:rsidRPr="00BF46D1">
      <w:rPr>
        <w:rFonts w:ascii="Times New Roman" w:hAnsi="Times New Roman" w:cs="Times New Roman"/>
        <w:noProof/>
      </w:rPr>
      <mc:AlternateContent>
        <mc:Choice Requires="wps">
          <w:drawing>
            <wp:anchor distT="0" distB="0" distL="114300" distR="114300" simplePos="0" relativeHeight="251658240" behindDoc="0" locked="0" layoutInCell="0" allowOverlap="1" wp14:anchorId="159C8B35" wp14:editId="31953E55">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9AADB6"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HQ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j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CACEB" w14:textId="78366F74" w:rsidR="004C6949" w:rsidRPr="00BF46D1" w:rsidRDefault="004C6949" w:rsidP="005359AE">
    <w:pPr>
      <w:pStyle w:val="Header"/>
      <w:tabs>
        <w:tab w:val="clear" w:pos="4320"/>
        <w:tab w:val="clear" w:pos="8640"/>
        <w:tab w:val="center" w:pos="4680"/>
        <w:tab w:val="right" w:pos="9360"/>
      </w:tabs>
      <w:rPr>
        <w:rFonts w:ascii="Times New Roman" w:hAnsi="Times New Roman" w:cs="Times New Roman"/>
        <w:b/>
      </w:rPr>
    </w:pPr>
    <w:r w:rsidRPr="00BF46D1">
      <w:rPr>
        <w:rFonts w:ascii="Times New Roman" w:hAnsi="Times New Roman" w:cs="Times New Roman"/>
        <w:b/>
      </w:rPr>
      <w:tab/>
      <w:t>Federal Communications Commission</w:t>
    </w:r>
    <w:r w:rsidRPr="00BF46D1">
      <w:rPr>
        <w:rFonts w:ascii="Times New Roman" w:hAnsi="Times New Roman" w:cs="Times New Roman"/>
        <w:b/>
      </w:rPr>
      <w:tab/>
      <w:t>DA 16-</w:t>
    </w:r>
    <w:r w:rsidR="00C27A6F" w:rsidRPr="00D125F8">
      <w:rPr>
        <w:rFonts w:ascii="Times New Roman" w:hAnsi="Times New Roman" w:cs="Times New Roman"/>
        <w:b/>
      </w:rPr>
      <w:t>1277</w:t>
    </w:r>
    <w:r w:rsidRPr="00BF46D1">
      <w:rPr>
        <w:rFonts w:ascii="Times New Roman" w:hAnsi="Times New Roman" w:cs="Times New Roman"/>
        <w:b/>
      </w:rPr>
      <w:t xml:space="preserve"> </w:t>
    </w:r>
  </w:p>
  <w:p w14:paraId="3192B094" w14:textId="77777777" w:rsidR="004C6949" w:rsidRPr="00BF46D1" w:rsidRDefault="004C6949" w:rsidP="005359AE">
    <w:pPr>
      <w:pStyle w:val="Header"/>
      <w:tabs>
        <w:tab w:val="clear" w:pos="8640"/>
        <w:tab w:val="right" w:pos="9360"/>
      </w:tabs>
      <w:rPr>
        <w:rFonts w:ascii="Times New Roman" w:hAnsi="Times New Roman" w:cs="Times New Roman"/>
      </w:rPr>
    </w:pPr>
    <w:r w:rsidRPr="00BF46D1">
      <w:rPr>
        <w:rFonts w:ascii="Times New Roman" w:hAnsi="Times New Roman" w:cs="Times New Roman"/>
        <w:noProof/>
      </w:rPr>
      <mc:AlternateContent>
        <mc:Choice Requires="wps">
          <w:drawing>
            <wp:anchor distT="0" distB="0" distL="114300" distR="114300" simplePos="0" relativeHeight="251657216" behindDoc="0" locked="0" layoutInCell="0" allowOverlap="1" wp14:anchorId="458500B2" wp14:editId="1A7880E3">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4468C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1182925"/>
    <w:multiLevelType w:val="singleLevel"/>
    <w:tmpl w:val="A9EE9842"/>
    <w:lvl w:ilvl="0">
      <w:start w:val="1"/>
      <w:numFmt w:val="decimal"/>
      <w:lvlText w:val="%1."/>
      <w:lvlJc w:val="left"/>
      <w:pPr>
        <w:tabs>
          <w:tab w:val="num" w:pos="1080"/>
        </w:tabs>
        <w:ind w:left="0" w:firstLine="720"/>
      </w:p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1"/>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linkStyl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02"/>
    <w:rsid w:val="00000C29"/>
    <w:rsid w:val="00001061"/>
    <w:rsid w:val="00012D06"/>
    <w:rsid w:val="00014BC4"/>
    <w:rsid w:val="00016B8D"/>
    <w:rsid w:val="00016D53"/>
    <w:rsid w:val="000207F4"/>
    <w:rsid w:val="00020DC2"/>
    <w:rsid w:val="00021605"/>
    <w:rsid w:val="000223FB"/>
    <w:rsid w:val="0002324C"/>
    <w:rsid w:val="000232C1"/>
    <w:rsid w:val="00025C95"/>
    <w:rsid w:val="000307E5"/>
    <w:rsid w:val="00030C15"/>
    <w:rsid w:val="00031E87"/>
    <w:rsid w:val="0003281C"/>
    <w:rsid w:val="00034BC0"/>
    <w:rsid w:val="000465CF"/>
    <w:rsid w:val="00046A72"/>
    <w:rsid w:val="000478E1"/>
    <w:rsid w:val="00054FAB"/>
    <w:rsid w:val="00061EA6"/>
    <w:rsid w:val="00062A8F"/>
    <w:rsid w:val="00063399"/>
    <w:rsid w:val="00065E95"/>
    <w:rsid w:val="000671D5"/>
    <w:rsid w:val="00070412"/>
    <w:rsid w:val="00070599"/>
    <w:rsid w:val="00070FC7"/>
    <w:rsid w:val="00071595"/>
    <w:rsid w:val="00071E83"/>
    <w:rsid w:val="00074072"/>
    <w:rsid w:val="00074DCA"/>
    <w:rsid w:val="00074EF6"/>
    <w:rsid w:val="00081BB1"/>
    <w:rsid w:val="00083809"/>
    <w:rsid w:val="00090709"/>
    <w:rsid w:val="00090DE1"/>
    <w:rsid w:val="00092883"/>
    <w:rsid w:val="00094099"/>
    <w:rsid w:val="000A0A98"/>
    <w:rsid w:val="000A5065"/>
    <w:rsid w:val="000A6D3A"/>
    <w:rsid w:val="000B2B2F"/>
    <w:rsid w:val="000B2BF3"/>
    <w:rsid w:val="000B3DFD"/>
    <w:rsid w:val="000B5963"/>
    <w:rsid w:val="000C7818"/>
    <w:rsid w:val="000C78C3"/>
    <w:rsid w:val="000D062A"/>
    <w:rsid w:val="000D1CCB"/>
    <w:rsid w:val="000D2B1C"/>
    <w:rsid w:val="000D36EB"/>
    <w:rsid w:val="000D3DCF"/>
    <w:rsid w:val="000E5F97"/>
    <w:rsid w:val="000E65DC"/>
    <w:rsid w:val="000F6B54"/>
    <w:rsid w:val="00102635"/>
    <w:rsid w:val="00102CEB"/>
    <w:rsid w:val="001030A4"/>
    <w:rsid w:val="00103C25"/>
    <w:rsid w:val="00106EE8"/>
    <w:rsid w:val="00106F0F"/>
    <w:rsid w:val="00114102"/>
    <w:rsid w:val="00114B41"/>
    <w:rsid w:val="00114B8D"/>
    <w:rsid w:val="00120DAF"/>
    <w:rsid w:val="0012725F"/>
    <w:rsid w:val="00132697"/>
    <w:rsid w:val="001347B9"/>
    <w:rsid w:val="0013521A"/>
    <w:rsid w:val="0013575C"/>
    <w:rsid w:val="001357C8"/>
    <w:rsid w:val="0014099B"/>
    <w:rsid w:val="00142EB5"/>
    <w:rsid w:val="00145130"/>
    <w:rsid w:val="00146FCF"/>
    <w:rsid w:val="00156574"/>
    <w:rsid w:val="00160FA5"/>
    <w:rsid w:val="00162915"/>
    <w:rsid w:val="00162DD5"/>
    <w:rsid w:val="0016516C"/>
    <w:rsid w:val="00166E61"/>
    <w:rsid w:val="00171489"/>
    <w:rsid w:val="00176824"/>
    <w:rsid w:val="00181975"/>
    <w:rsid w:val="00183070"/>
    <w:rsid w:val="00185A00"/>
    <w:rsid w:val="00187B0F"/>
    <w:rsid w:val="00190CAE"/>
    <w:rsid w:val="00190E99"/>
    <w:rsid w:val="00196A6B"/>
    <w:rsid w:val="001A0E3F"/>
    <w:rsid w:val="001A2055"/>
    <w:rsid w:val="001A2EBA"/>
    <w:rsid w:val="001A302C"/>
    <w:rsid w:val="001A308C"/>
    <w:rsid w:val="001A38C7"/>
    <w:rsid w:val="001A633A"/>
    <w:rsid w:val="001B1B55"/>
    <w:rsid w:val="001B4371"/>
    <w:rsid w:val="001B4DF2"/>
    <w:rsid w:val="001B52DE"/>
    <w:rsid w:val="001B790E"/>
    <w:rsid w:val="001C1793"/>
    <w:rsid w:val="001C2AB6"/>
    <w:rsid w:val="001C5FA8"/>
    <w:rsid w:val="001C67FC"/>
    <w:rsid w:val="001D1DC5"/>
    <w:rsid w:val="001D54EF"/>
    <w:rsid w:val="001E2A07"/>
    <w:rsid w:val="001E3B4D"/>
    <w:rsid w:val="001E49F3"/>
    <w:rsid w:val="001E61E4"/>
    <w:rsid w:val="001F177D"/>
    <w:rsid w:val="001F2E30"/>
    <w:rsid w:val="001F39B6"/>
    <w:rsid w:val="00203B8E"/>
    <w:rsid w:val="00204261"/>
    <w:rsid w:val="00204EA7"/>
    <w:rsid w:val="0020591D"/>
    <w:rsid w:val="00205F25"/>
    <w:rsid w:val="00206F47"/>
    <w:rsid w:val="0021386B"/>
    <w:rsid w:val="002173BB"/>
    <w:rsid w:val="0022041A"/>
    <w:rsid w:val="00224688"/>
    <w:rsid w:val="00225712"/>
    <w:rsid w:val="00235536"/>
    <w:rsid w:val="00240440"/>
    <w:rsid w:val="00244EE8"/>
    <w:rsid w:val="00250742"/>
    <w:rsid w:val="00251AEA"/>
    <w:rsid w:val="00253E0C"/>
    <w:rsid w:val="00261022"/>
    <w:rsid w:val="0026148D"/>
    <w:rsid w:val="00261AE3"/>
    <w:rsid w:val="00261C56"/>
    <w:rsid w:val="00262B63"/>
    <w:rsid w:val="00267D82"/>
    <w:rsid w:val="00267DEA"/>
    <w:rsid w:val="00272994"/>
    <w:rsid w:val="00281DD9"/>
    <w:rsid w:val="002977E6"/>
    <w:rsid w:val="002A04F1"/>
    <w:rsid w:val="002A57BC"/>
    <w:rsid w:val="002A787B"/>
    <w:rsid w:val="002A7B5C"/>
    <w:rsid w:val="002B1BD4"/>
    <w:rsid w:val="002B22A0"/>
    <w:rsid w:val="002B2CDC"/>
    <w:rsid w:val="002B4B68"/>
    <w:rsid w:val="002B4BBC"/>
    <w:rsid w:val="002B4E99"/>
    <w:rsid w:val="002C0BA1"/>
    <w:rsid w:val="002D159B"/>
    <w:rsid w:val="002D2287"/>
    <w:rsid w:val="002D3DDD"/>
    <w:rsid w:val="002D7344"/>
    <w:rsid w:val="002F01B3"/>
    <w:rsid w:val="002F08C0"/>
    <w:rsid w:val="002F08DC"/>
    <w:rsid w:val="002F1445"/>
    <w:rsid w:val="002F1EB9"/>
    <w:rsid w:val="002F717F"/>
    <w:rsid w:val="002F7CBF"/>
    <w:rsid w:val="002F7DA5"/>
    <w:rsid w:val="00301374"/>
    <w:rsid w:val="00304258"/>
    <w:rsid w:val="003068E5"/>
    <w:rsid w:val="00311926"/>
    <w:rsid w:val="003125C6"/>
    <w:rsid w:val="00317CA3"/>
    <w:rsid w:val="003205EE"/>
    <w:rsid w:val="00324029"/>
    <w:rsid w:val="003240E6"/>
    <w:rsid w:val="00325C61"/>
    <w:rsid w:val="003262AD"/>
    <w:rsid w:val="003276CD"/>
    <w:rsid w:val="003302F5"/>
    <w:rsid w:val="00330AA6"/>
    <w:rsid w:val="00331BE6"/>
    <w:rsid w:val="003336CD"/>
    <w:rsid w:val="00334EDE"/>
    <w:rsid w:val="00342A79"/>
    <w:rsid w:val="003436E4"/>
    <w:rsid w:val="003450FF"/>
    <w:rsid w:val="0034694D"/>
    <w:rsid w:val="003472FB"/>
    <w:rsid w:val="00347C61"/>
    <w:rsid w:val="00353530"/>
    <w:rsid w:val="00355716"/>
    <w:rsid w:val="00355965"/>
    <w:rsid w:val="00356111"/>
    <w:rsid w:val="00357B73"/>
    <w:rsid w:val="00360D10"/>
    <w:rsid w:val="003614BC"/>
    <w:rsid w:val="0036262C"/>
    <w:rsid w:val="00364724"/>
    <w:rsid w:val="00374B0C"/>
    <w:rsid w:val="003909FD"/>
    <w:rsid w:val="00391C85"/>
    <w:rsid w:val="00392B4F"/>
    <w:rsid w:val="00394C80"/>
    <w:rsid w:val="003957CC"/>
    <w:rsid w:val="003A2D05"/>
    <w:rsid w:val="003A7196"/>
    <w:rsid w:val="003B2203"/>
    <w:rsid w:val="003B36A5"/>
    <w:rsid w:val="003B381B"/>
    <w:rsid w:val="003C3FB3"/>
    <w:rsid w:val="003C4832"/>
    <w:rsid w:val="003C60DC"/>
    <w:rsid w:val="003D6156"/>
    <w:rsid w:val="003E051A"/>
    <w:rsid w:val="003E06B3"/>
    <w:rsid w:val="003E178A"/>
    <w:rsid w:val="003E2D6C"/>
    <w:rsid w:val="003E64B4"/>
    <w:rsid w:val="003E7F7D"/>
    <w:rsid w:val="003F162D"/>
    <w:rsid w:val="003F2040"/>
    <w:rsid w:val="003F3D0F"/>
    <w:rsid w:val="003F61F3"/>
    <w:rsid w:val="003F638C"/>
    <w:rsid w:val="004022FF"/>
    <w:rsid w:val="00415DA6"/>
    <w:rsid w:val="004234E2"/>
    <w:rsid w:val="00423D07"/>
    <w:rsid w:val="00424AEC"/>
    <w:rsid w:val="0043153E"/>
    <w:rsid w:val="0043610D"/>
    <w:rsid w:val="00443AC6"/>
    <w:rsid w:val="00450FA1"/>
    <w:rsid w:val="00451058"/>
    <w:rsid w:val="00453FDF"/>
    <w:rsid w:val="00455A14"/>
    <w:rsid w:val="00461C2D"/>
    <w:rsid w:val="00462128"/>
    <w:rsid w:val="0046225B"/>
    <w:rsid w:val="004626DF"/>
    <w:rsid w:val="004633F6"/>
    <w:rsid w:val="00463662"/>
    <w:rsid w:val="00465C65"/>
    <w:rsid w:val="00465F87"/>
    <w:rsid w:val="00471B89"/>
    <w:rsid w:val="0047316E"/>
    <w:rsid w:val="00473651"/>
    <w:rsid w:val="004736F3"/>
    <w:rsid w:val="00475C7E"/>
    <w:rsid w:val="004802E9"/>
    <w:rsid w:val="00485A0B"/>
    <w:rsid w:val="00486498"/>
    <w:rsid w:val="00487F4A"/>
    <w:rsid w:val="00491D26"/>
    <w:rsid w:val="0049379D"/>
    <w:rsid w:val="00494925"/>
    <w:rsid w:val="004A1A45"/>
    <w:rsid w:val="004B2B7C"/>
    <w:rsid w:val="004B40E6"/>
    <w:rsid w:val="004B7998"/>
    <w:rsid w:val="004C06FA"/>
    <w:rsid w:val="004C12D5"/>
    <w:rsid w:val="004C134C"/>
    <w:rsid w:val="004C1367"/>
    <w:rsid w:val="004C6949"/>
    <w:rsid w:val="004D1EB9"/>
    <w:rsid w:val="004D3C42"/>
    <w:rsid w:val="004D5BF0"/>
    <w:rsid w:val="004E06EA"/>
    <w:rsid w:val="004E21AC"/>
    <w:rsid w:val="004F00B8"/>
    <w:rsid w:val="004F5417"/>
    <w:rsid w:val="004F68D1"/>
    <w:rsid w:val="00501516"/>
    <w:rsid w:val="0050372F"/>
    <w:rsid w:val="00503B8B"/>
    <w:rsid w:val="00504740"/>
    <w:rsid w:val="00505230"/>
    <w:rsid w:val="00506811"/>
    <w:rsid w:val="0051087B"/>
    <w:rsid w:val="00512036"/>
    <w:rsid w:val="00512D1B"/>
    <w:rsid w:val="005140E2"/>
    <w:rsid w:val="00517FE8"/>
    <w:rsid w:val="00520B70"/>
    <w:rsid w:val="00522B50"/>
    <w:rsid w:val="005245B8"/>
    <w:rsid w:val="0052509A"/>
    <w:rsid w:val="00525E10"/>
    <w:rsid w:val="00530159"/>
    <w:rsid w:val="00531CFC"/>
    <w:rsid w:val="005332AE"/>
    <w:rsid w:val="005356F2"/>
    <w:rsid w:val="005359AE"/>
    <w:rsid w:val="00535F86"/>
    <w:rsid w:val="00536162"/>
    <w:rsid w:val="00536191"/>
    <w:rsid w:val="005363D4"/>
    <w:rsid w:val="005403AA"/>
    <w:rsid w:val="00540EB2"/>
    <w:rsid w:val="00542B95"/>
    <w:rsid w:val="005432BF"/>
    <w:rsid w:val="00552759"/>
    <w:rsid w:val="00554B45"/>
    <w:rsid w:val="005561E1"/>
    <w:rsid w:val="005604CA"/>
    <w:rsid w:val="005636DD"/>
    <w:rsid w:val="005651CB"/>
    <w:rsid w:val="00570040"/>
    <w:rsid w:val="0057170D"/>
    <w:rsid w:val="005748BD"/>
    <w:rsid w:val="00574FE3"/>
    <w:rsid w:val="00580553"/>
    <w:rsid w:val="00582B5E"/>
    <w:rsid w:val="005869EC"/>
    <w:rsid w:val="00586FCF"/>
    <w:rsid w:val="00590D49"/>
    <w:rsid w:val="0059128A"/>
    <w:rsid w:val="00591CD4"/>
    <w:rsid w:val="00592637"/>
    <w:rsid w:val="005941AD"/>
    <w:rsid w:val="005A510A"/>
    <w:rsid w:val="005A70D1"/>
    <w:rsid w:val="005A7406"/>
    <w:rsid w:val="005A744A"/>
    <w:rsid w:val="005B250B"/>
    <w:rsid w:val="005B25D8"/>
    <w:rsid w:val="005B2BF9"/>
    <w:rsid w:val="005B6953"/>
    <w:rsid w:val="005C1C5C"/>
    <w:rsid w:val="005C46B2"/>
    <w:rsid w:val="005C4F05"/>
    <w:rsid w:val="005C4FB5"/>
    <w:rsid w:val="005C6EF0"/>
    <w:rsid w:val="005D142B"/>
    <w:rsid w:val="005D3B59"/>
    <w:rsid w:val="005D6342"/>
    <w:rsid w:val="005E05BC"/>
    <w:rsid w:val="005E1BB6"/>
    <w:rsid w:val="005E66A1"/>
    <w:rsid w:val="005F06CE"/>
    <w:rsid w:val="005F0B3A"/>
    <w:rsid w:val="005F18EB"/>
    <w:rsid w:val="005F1B4D"/>
    <w:rsid w:val="005F3216"/>
    <w:rsid w:val="00603358"/>
    <w:rsid w:val="00603691"/>
    <w:rsid w:val="00604ED8"/>
    <w:rsid w:val="00610106"/>
    <w:rsid w:val="00612144"/>
    <w:rsid w:val="00617343"/>
    <w:rsid w:val="00623643"/>
    <w:rsid w:val="006236ED"/>
    <w:rsid w:val="006317F9"/>
    <w:rsid w:val="006348A2"/>
    <w:rsid w:val="0063744D"/>
    <w:rsid w:val="00640C7C"/>
    <w:rsid w:val="00641C44"/>
    <w:rsid w:val="006421BA"/>
    <w:rsid w:val="00642D1A"/>
    <w:rsid w:val="00642DF7"/>
    <w:rsid w:val="00645927"/>
    <w:rsid w:val="00646446"/>
    <w:rsid w:val="006541D5"/>
    <w:rsid w:val="00656EEB"/>
    <w:rsid w:val="00661952"/>
    <w:rsid w:val="00661DBD"/>
    <w:rsid w:val="0066205F"/>
    <w:rsid w:val="0066674C"/>
    <w:rsid w:val="00667C0F"/>
    <w:rsid w:val="00670344"/>
    <w:rsid w:val="00673A66"/>
    <w:rsid w:val="00673F02"/>
    <w:rsid w:val="00677022"/>
    <w:rsid w:val="00687902"/>
    <w:rsid w:val="006906B9"/>
    <w:rsid w:val="00691E7F"/>
    <w:rsid w:val="006A1330"/>
    <w:rsid w:val="006A180A"/>
    <w:rsid w:val="006A3C1B"/>
    <w:rsid w:val="006A47C5"/>
    <w:rsid w:val="006A5ED9"/>
    <w:rsid w:val="006A64F8"/>
    <w:rsid w:val="006A732E"/>
    <w:rsid w:val="006B0C83"/>
    <w:rsid w:val="006B2372"/>
    <w:rsid w:val="006B3CD4"/>
    <w:rsid w:val="006C0779"/>
    <w:rsid w:val="006C3ADA"/>
    <w:rsid w:val="006C3D35"/>
    <w:rsid w:val="006C5799"/>
    <w:rsid w:val="006D2B3C"/>
    <w:rsid w:val="006E0827"/>
    <w:rsid w:val="006E5798"/>
    <w:rsid w:val="006E69FA"/>
    <w:rsid w:val="006E7B1B"/>
    <w:rsid w:val="006F589F"/>
    <w:rsid w:val="00700CA2"/>
    <w:rsid w:val="00703531"/>
    <w:rsid w:val="00706382"/>
    <w:rsid w:val="00710AE8"/>
    <w:rsid w:val="00713B8B"/>
    <w:rsid w:val="007143BE"/>
    <w:rsid w:val="0071590E"/>
    <w:rsid w:val="00716B18"/>
    <w:rsid w:val="007215B7"/>
    <w:rsid w:val="007233A0"/>
    <w:rsid w:val="00725698"/>
    <w:rsid w:val="0072689F"/>
    <w:rsid w:val="007276E6"/>
    <w:rsid w:val="007276E7"/>
    <w:rsid w:val="00733DA4"/>
    <w:rsid w:val="007348B1"/>
    <w:rsid w:val="00734F65"/>
    <w:rsid w:val="0073505F"/>
    <w:rsid w:val="0073740A"/>
    <w:rsid w:val="00743F8D"/>
    <w:rsid w:val="007445FC"/>
    <w:rsid w:val="007448B1"/>
    <w:rsid w:val="00744AF7"/>
    <w:rsid w:val="007456BE"/>
    <w:rsid w:val="007525C8"/>
    <w:rsid w:val="00757EB8"/>
    <w:rsid w:val="007653F2"/>
    <w:rsid w:val="007655FC"/>
    <w:rsid w:val="0077197D"/>
    <w:rsid w:val="00772E73"/>
    <w:rsid w:val="00780A98"/>
    <w:rsid w:val="00781533"/>
    <w:rsid w:val="007826BD"/>
    <w:rsid w:val="0078387C"/>
    <w:rsid w:val="00787481"/>
    <w:rsid w:val="007905F9"/>
    <w:rsid w:val="0079098C"/>
    <w:rsid w:val="00790F90"/>
    <w:rsid w:val="00791A6B"/>
    <w:rsid w:val="007973FF"/>
    <w:rsid w:val="0079788C"/>
    <w:rsid w:val="007A25B5"/>
    <w:rsid w:val="007A525D"/>
    <w:rsid w:val="007A53F4"/>
    <w:rsid w:val="007B008A"/>
    <w:rsid w:val="007B59C8"/>
    <w:rsid w:val="007C192E"/>
    <w:rsid w:val="007C1AE8"/>
    <w:rsid w:val="007D18A8"/>
    <w:rsid w:val="007D4B8E"/>
    <w:rsid w:val="007E0941"/>
    <w:rsid w:val="007F00B9"/>
    <w:rsid w:val="007F22EB"/>
    <w:rsid w:val="007F458B"/>
    <w:rsid w:val="00802B1D"/>
    <w:rsid w:val="00803BF6"/>
    <w:rsid w:val="00813230"/>
    <w:rsid w:val="00822F31"/>
    <w:rsid w:val="008267B8"/>
    <w:rsid w:val="0083020D"/>
    <w:rsid w:val="0083252F"/>
    <w:rsid w:val="008327E0"/>
    <w:rsid w:val="008345C2"/>
    <w:rsid w:val="00834EF0"/>
    <w:rsid w:val="0083634F"/>
    <w:rsid w:val="00837061"/>
    <w:rsid w:val="00837C6F"/>
    <w:rsid w:val="00840D2F"/>
    <w:rsid w:val="00844132"/>
    <w:rsid w:val="008445DF"/>
    <w:rsid w:val="008469BA"/>
    <w:rsid w:val="00847A7D"/>
    <w:rsid w:val="008537A6"/>
    <w:rsid w:val="008554EA"/>
    <w:rsid w:val="00856993"/>
    <w:rsid w:val="008651F5"/>
    <w:rsid w:val="00866C4B"/>
    <w:rsid w:val="00866E13"/>
    <w:rsid w:val="00867E58"/>
    <w:rsid w:val="00871596"/>
    <w:rsid w:val="00871CEB"/>
    <w:rsid w:val="0087370E"/>
    <w:rsid w:val="00873BD0"/>
    <w:rsid w:val="008811AD"/>
    <w:rsid w:val="00881B67"/>
    <w:rsid w:val="00882E0F"/>
    <w:rsid w:val="00884295"/>
    <w:rsid w:val="008853F4"/>
    <w:rsid w:val="00886C31"/>
    <w:rsid w:val="008876B5"/>
    <w:rsid w:val="00891D0E"/>
    <w:rsid w:val="008A1292"/>
    <w:rsid w:val="008A1B0A"/>
    <w:rsid w:val="008A7FE8"/>
    <w:rsid w:val="008B0205"/>
    <w:rsid w:val="008B2BD7"/>
    <w:rsid w:val="008B5BE0"/>
    <w:rsid w:val="008B5E02"/>
    <w:rsid w:val="008C2273"/>
    <w:rsid w:val="008C4D4C"/>
    <w:rsid w:val="008C711B"/>
    <w:rsid w:val="008C7476"/>
    <w:rsid w:val="008C778C"/>
    <w:rsid w:val="008D364E"/>
    <w:rsid w:val="008D4BCC"/>
    <w:rsid w:val="008E3517"/>
    <w:rsid w:val="008E44A2"/>
    <w:rsid w:val="008E7F60"/>
    <w:rsid w:val="008E7F8C"/>
    <w:rsid w:val="00906E1F"/>
    <w:rsid w:val="009079DB"/>
    <w:rsid w:val="00910939"/>
    <w:rsid w:val="00911D4D"/>
    <w:rsid w:val="00913C17"/>
    <w:rsid w:val="0092209C"/>
    <w:rsid w:val="009233D7"/>
    <w:rsid w:val="0092363E"/>
    <w:rsid w:val="00927E28"/>
    <w:rsid w:val="009305FE"/>
    <w:rsid w:val="00930628"/>
    <w:rsid w:val="00932ADB"/>
    <w:rsid w:val="00933D22"/>
    <w:rsid w:val="0094503A"/>
    <w:rsid w:val="00954ECE"/>
    <w:rsid w:val="00961662"/>
    <w:rsid w:val="0096280E"/>
    <w:rsid w:val="009658BB"/>
    <w:rsid w:val="00965C20"/>
    <w:rsid w:val="009674F2"/>
    <w:rsid w:val="00967BFD"/>
    <w:rsid w:val="0097338C"/>
    <w:rsid w:val="00974122"/>
    <w:rsid w:val="0098191C"/>
    <w:rsid w:val="009827B7"/>
    <w:rsid w:val="00983AC0"/>
    <w:rsid w:val="0098741A"/>
    <w:rsid w:val="0099139D"/>
    <w:rsid w:val="0099222E"/>
    <w:rsid w:val="00993398"/>
    <w:rsid w:val="00993BA5"/>
    <w:rsid w:val="00993E11"/>
    <w:rsid w:val="00995937"/>
    <w:rsid w:val="00995F02"/>
    <w:rsid w:val="009A01F3"/>
    <w:rsid w:val="009A1B2A"/>
    <w:rsid w:val="009A2C62"/>
    <w:rsid w:val="009A465C"/>
    <w:rsid w:val="009A7229"/>
    <w:rsid w:val="009A7AAE"/>
    <w:rsid w:val="009B0505"/>
    <w:rsid w:val="009B091B"/>
    <w:rsid w:val="009B44C6"/>
    <w:rsid w:val="009B46F2"/>
    <w:rsid w:val="009B5D1C"/>
    <w:rsid w:val="009C1C08"/>
    <w:rsid w:val="009C3C0F"/>
    <w:rsid w:val="009C686B"/>
    <w:rsid w:val="009C6F55"/>
    <w:rsid w:val="009D0633"/>
    <w:rsid w:val="009D378D"/>
    <w:rsid w:val="009D41F4"/>
    <w:rsid w:val="009D4D9A"/>
    <w:rsid w:val="009D51E0"/>
    <w:rsid w:val="009D55BA"/>
    <w:rsid w:val="009D6619"/>
    <w:rsid w:val="009D6CE1"/>
    <w:rsid w:val="009D704B"/>
    <w:rsid w:val="009E3F06"/>
    <w:rsid w:val="009E4C7E"/>
    <w:rsid w:val="009E6715"/>
    <w:rsid w:val="009F1E45"/>
    <w:rsid w:val="009F3C32"/>
    <w:rsid w:val="009F6438"/>
    <w:rsid w:val="009F7095"/>
    <w:rsid w:val="00A05C05"/>
    <w:rsid w:val="00A14390"/>
    <w:rsid w:val="00A148B9"/>
    <w:rsid w:val="00A158B3"/>
    <w:rsid w:val="00A212E2"/>
    <w:rsid w:val="00A2576C"/>
    <w:rsid w:val="00A27F0E"/>
    <w:rsid w:val="00A3130C"/>
    <w:rsid w:val="00A31504"/>
    <w:rsid w:val="00A35372"/>
    <w:rsid w:val="00A358FC"/>
    <w:rsid w:val="00A40E28"/>
    <w:rsid w:val="00A42EC5"/>
    <w:rsid w:val="00A431C6"/>
    <w:rsid w:val="00A53B9A"/>
    <w:rsid w:val="00A57F12"/>
    <w:rsid w:val="00A629DA"/>
    <w:rsid w:val="00A62A95"/>
    <w:rsid w:val="00A6490A"/>
    <w:rsid w:val="00A653BE"/>
    <w:rsid w:val="00A738EE"/>
    <w:rsid w:val="00A7705C"/>
    <w:rsid w:val="00A843D0"/>
    <w:rsid w:val="00A844C3"/>
    <w:rsid w:val="00A93170"/>
    <w:rsid w:val="00A967CA"/>
    <w:rsid w:val="00A96C8F"/>
    <w:rsid w:val="00AA0851"/>
    <w:rsid w:val="00AA1E76"/>
    <w:rsid w:val="00AA7EAE"/>
    <w:rsid w:val="00AB5DFE"/>
    <w:rsid w:val="00AB6629"/>
    <w:rsid w:val="00AB7FAC"/>
    <w:rsid w:val="00AC0A5A"/>
    <w:rsid w:val="00AC179C"/>
    <w:rsid w:val="00AC2948"/>
    <w:rsid w:val="00AC5200"/>
    <w:rsid w:val="00AC666B"/>
    <w:rsid w:val="00AD7641"/>
    <w:rsid w:val="00AE0F5E"/>
    <w:rsid w:val="00AE11A6"/>
    <w:rsid w:val="00AE739C"/>
    <w:rsid w:val="00AF029E"/>
    <w:rsid w:val="00AF0B31"/>
    <w:rsid w:val="00AF3B24"/>
    <w:rsid w:val="00AF6058"/>
    <w:rsid w:val="00B01DBC"/>
    <w:rsid w:val="00B02165"/>
    <w:rsid w:val="00B02804"/>
    <w:rsid w:val="00B03244"/>
    <w:rsid w:val="00B06CD9"/>
    <w:rsid w:val="00B13503"/>
    <w:rsid w:val="00B14157"/>
    <w:rsid w:val="00B157AA"/>
    <w:rsid w:val="00B25199"/>
    <w:rsid w:val="00B25AB0"/>
    <w:rsid w:val="00B2709F"/>
    <w:rsid w:val="00B2710F"/>
    <w:rsid w:val="00B278C5"/>
    <w:rsid w:val="00B33CA8"/>
    <w:rsid w:val="00B34FB7"/>
    <w:rsid w:val="00B37F32"/>
    <w:rsid w:val="00B4134F"/>
    <w:rsid w:val="00B44038"/>
    <w:rsid w:val="00B447CA"/>
    <w:rsid w:val="00B45C53"/>
    <w:rsid w:val="00B46C16"/>
    <w:rsid w:val="00B4706A"/>
    <w:rsid w:val="00B47FEF"/>
    <w:rsid w:val="00B5658F"/>
    <w:rsid w:val="00B63B9F"/>
    <w:rsid w:val="00B70E9B"/>
    <w:rsid w:val="00B715DC"/>
    <w:rsid w:val="00B71CEE"/>
    <w:rsid w:val="00B92A48"/>
    <w:rsid w:val="00B955F6"/>
    <w:rsid w:val="00BA1297"/>
    <w:rsid w:val="00BA1C2D"/>
    <w:rsid w:val="00BA489D"/>
    <w:rsid w:val="00BA5453"/>
    <w:rsid w:val="00BA6B38"/>
    <w:rsid w:val="00BB1A4C"/>
    <w:rsid w:val="00BB3010"/>
    <w:rsid w:val="00BB456A"/>
    <w:rsid w:val="00BB534C"/>
    <w:rsid w:val="00BC03C0"/>
    <w:rsid w:val="00BC24EC"/>
    <w:rsid w:val="00BC45BC"/>
    <w:rsid w:val="00BD0462"/>
    <w:rsid w:val="00BD09F7"/>
    <w:rsid w:val="00BD60B5"/>
    <w:rsid w:val="00BD7058"/>
    <w:rsid w:val="00BE1B0A"/>
    <w:rsid w:val="00BE5C20"/>
    <w:rsid w:val="00BF0DCB"/>
    <w:rsid w:val="00BF46D1"/>
    <w:rsid w:val="00BF6EB2"/>
    <w:rsid w:val="00BF7D1C"/>
    <w:rsid w:val="00C028D7"/>
    <w:rsid w:val="00C03E77"/>
    <w:rsid w:val="00C045D1"/>
    <w:rsid w:val="00C07FEB"/>
    <w:rsid w:val="00C102D8"/>
    <w:rsid w:val="00C13B62"/>
    <w:rsid w:val="00C27A6F"/>
    <w:rsid w:val="00C30621"/>
    <w:rsid w:val="00C320C1"/>
    <w:rsid w:val="00C32AC9"/>
    <w:rsid w:val="00C41A3F"/>
    <w:rsid w:val="00C440F0"/>
    <w:rsid w:val="00C465DE"/>
    <w:rsid w:val="00C473A1"/>
    <w:rsid w:val="00C50E50"/>
    <w:rsid w:val="00C536D6"/>
    <w:rsid w:val="00C56A64"/>
    <w:rsid w:val="00C60FDA"/>
    <w:rsid w:val="00C61537"/>
    <w:rsid w:val="00C62734"/>
    <w:rsid w:val="00C632CF"/>
    <w:rsid w:val="00C64B53"/>
    <w:rsid w:val="00C67477"/>
    <w:rsid w:val="00C70322"/>
    <w:rsid w:val="00C7105E"/>
    <w:rsid w:val="00C718EC"/>
    <w:rsid w:val="00C76CAB"/>
    <w:rsid w:val="00C77922"/>
    <w:rsid w:val="00C80146"/>
    <w:rsid w:val="00C80623"/>
    <w:rsid w:val="00C81A8C"/>
    <w:rsid w:val="00C85FBD"/>
    <w:rsid w:val="00C9173D"/>
    <w:rsid w:val="00C94548"/>
    <w:rsid w:val="00C94E84"/>
    <w:rsid w:val="00C94F01"/>
    <w:rsid w:val="00C97109"/>
    <w:rsid w:val="00C972D5"/>
    <w:rsid w:val="00CA3B61"/>
    <w:rsid w:val="00CB1CA7"/>
    <w:rsid w:val="00CB35A1"/>
    <w:rsid w:val="00CC0E27"/>
    <w:rsid w:val="00CC327E"/>
    <w:rsid w:val="00CC5E5D"/>
    <w:rsid w:val="00CD0EB3"/>
    <w:rsid w:val="00CD47AC"/>
    <w:rsid w:val="00CD4C7B"/>
    <w:rsid w:val="00CE1189"/>
    <w:rsid w:val="00CE17F6"/>
    <w:rsid w:val="00CE439B"/>
    <w:rsid w:val="00CF0A54"/>
    <w:rsid w:val="00CF1CF0"/>
    <w:rsid w:val="00CF5161"/>
    <w:rsid w:val="00CF532F"/>
    <w:rsid w:val="00CF5FE6"/>
    <w:rsid w:val="00D0097A"/>
    <w:rsid w:val="00D01C97"/>
    <w:rsid w:val="00D02FAA"/>
    <w:rsid w:val="00D03731"/>
    <w:rsid w:val="00D0465D"/>
    <w:rsid w:val="00D04DF6"/>
    <w:rsid w:val="00D0764E"/>
    <w:rsid w:val="00D125F8"/>
    <w:rsid w:val="00D13C4A"/>
    <w:rsid w:val="00D147B2"/>
    <w:rsid w:val="00D1544D"/>
    <w:rsid w:val="00D2725E"/>
    <w:rsid w:val="00D37BC5"/>
    <w:rsid w:val="00D40A89"/>
    <w:rsid w:val="00D41355"/>
    <w:rsid w:val="00D4453B"/>
    <w:rsid w:val="00D4520C"/>
    <w:rsid w:val="00D46ECC"/>
    <w:rsid w:val="00D50269"/>
    <w:rsid w:val="00D51D39"/>
    <w:rsid w:val="00D57C3F"/>
    <w:rsid w:val="00D6057D"/>
    <w:rsid w:val="00D60C19"/>
    <w:rsid w:val="00D60C70"/>
    <w:rsid w:val="00D622AC"/>
    <w:rsid w:val="00D6232E"/>
    <w:rsid w:val="00D653C8"/>
    <w:rsid w:val="00D66307"/>
    <w:rsid w:val="00D722E1"/>
    <w:rsid w:val="00D72765"/>
    <w:rsid w:val="00D729FD"/>
    <w:rsid w:val="00D76EA0"/>
    <w:rsid w:val="00D801F3"/>
    <w:rsid w:val="00D80413"/>
    <w:rsid w:val="00D816B0"/>
    <w:rsid w:val="00D966D1"/>
    <w:rsid w:val="00D96A3D"/>
    <w:rsid w:val="00D96A45"/>
    <w:rsid w:val="00DA35B3"/>
    <w:rsid w:val="00DA3B2C"/>
    <w:rsid w:val="00DA51A5"/>
    <w:rsid w:val="00DB0C72"/>
    <w:rsid w:val="00DB370B"/>
    <w:rsid w:val="00DB371A"/>
    <w:rsid w:val="00DB774D"/>
    <w:rsid w:val="00DC72DB"/>
    <w:rsid w:val="00DC7D3B"/>
    <w:rsid w:val="00DD1748"/>
    <w:rsid w:val="00DD1C55"/>
    <w:rsid w:val="00DD6E7B"/>
    <w:rsid w:val="00DD7569"/>
    <w:rsid w:val="00DE0472"/>
    <w:rsid w:val="00DE0AE4"/>
    <w:rsid w:val="00DE3E09"/>
    <w:rsid w:val="00DE4837"/>
    <w:rsid w:val="00DE518E"/>
    <w:rsid w:val="00DE526A"/>
    <w:rsid w:val="00DE7CC5"/>
    <w:rsid w:val="00DF106D"/>
    <w:rsid w:val="00DF2940"/>
    <w:rsid w:val="00DF2A72"/>
    <w:rsid w:val="00DF42DB"/>
    <w:rsid w:val="00DF736A"/>
    <w:rsid w:val="00DF7EFF"/>
    <w:rsid w:val="00E0200C"/>
    <w:rsid w:val="00E04136"/>
    <w:rsid w:val="00E04DA7"/>
    <w:rsid w:val="00E07090"/>
    <w:rsid w:val="00E115DA"/>
    <w:rsid w:val="00E15B85"/>
    <w:rsid w:val="00E2080E"/>
    <w:rsid w:val="00E20A40"/>
    <w:rsid w:val="00E22D20"/>
    <w:rsid w:val="00E22E12"/>
    <w:rsid w:val="00E23E73"/>
    <w:rsid w:val="00E2473B"/>
    <w:rsid w:val="00E2701F"/>
    <w:rsid w:val="00E318F4"/>
    <w:rsid w:val="00E34660"/>
    <w:rsid w:val="00E35306"/>
    <w:rsid w:val="00E51378"/>
    <w:rsid w:val="00E51BE7"/>
    <w:rsid w:val="00E5416F"/>
    <w:rsid w:val="00E60CFF"/>
    <w:rsid w:val="00E640C6"/>
    <w:rsid w:val="00E64B8C"/>
    <w:rsid w:val="00E713D4"/>
    <w:rsid w:val="00E719EF"/>
    <w:rsid w:val="00E82CF6"/>
    <w:rsid w:val="00E8383A"/>
    <w:rsid w:val="00E83E24"/>
    <w:rsid w:val="00E843BE"/>
    <w:rsid w:val="00E84FF6"/>
    <w:rsid w:val="00E865B5"/>
    <w:rsid w:val="00E93FB6"/>
    <w:rsid w:val="00E960F3"/>
    <w:rsid w:val="00E977CB"/>
    <w:rsid w:val="00EA1BBA"/>
    <w:rsid w:val="00EB10BC"/>
    <w:rsid w:val="00EB72DE"/>
    <w:rsid w:val="00EC7685"/>
    <w:rsid w:val="00EC7AE9"/>
    <w:rsid w:val="00ED18D4"/>
    <w:rsid w:val="00ED3641"/>
    <w:rsid w:val="00ED3C06"/>
    <w:rsid w:val="00ED5FBF"/>
    <w:rsid w:val="00EE17E6"/>
    <w:rsid w:val="00EE3F37"/>
    <w:rsid w:val="00EE6F21"/>
    <w:rsid w:val="00EF25A7"/>
    <w:rsid w:val="00EF34BC"/>
    <w:rsid w:val="00EF49F7"/>
    <w:rsid w:val="00EF6492"/>
    <w:rsid w:val="00EF6A0E"/>
    <w:rsid w:val="00F0077D"/>
    <w:rsid w:val="00F040A7"/>
    <w:rsid w:val="00F05B77"/>
    <w:rsid w:val="00F05F0E"/>
    <w:rsid w:val="00F07C12"/>
    <w:rsid w:val="00F07C5C"/>
    <w:rsid w:val="00F07CD2"/>
    <w:rsid w:val="00F13A05"/>
    <w:rsid w:val="00F157A8"/>
    <w:rsid w:val="00F16F24"/>
    <w:rsid w:val="00F2128F"/>
    <w:rsid w:val="00F244B1"/>
    <w:rsid w:val="00F25506"/>
    <w:rsid w:val="00F279EE"/>
    <w:rsid w:val="00F3002A"/>
    <w:rsid w:val="00F31CA7"/>
    <w:rsid w:val="00F31F3F"/>
    <w:rsid w:val="00F330C4"/>
    <w:rsid w:val="00F33846"/>
    <w:rsid w:val="00F41DAF"/>
    <w:rsid w:val="00F47B3F"/>
    <w:rsid w:val="00F51D8D"/>
    <w:rsid w:val="00F563B2"/>
    <w:rsid w:val="00F5797C"/>
    <w:rsid w:val="00F60F17"/>
    <w:rsid w:val="00F63EF7"/>
    <w:rsid w:val="00F649F3"/>
    <w:rsid w:val="00F674D0"/>
    <w:rsid w:val="00F675CF"/>
    <w:rsid w:val="00F70809"/>
    <w:rsid w:val="00F72783"/>
    <w:rsid w:val="00F74CA6"/>
    <w:rsid w:val="00F74EF6"/>
    <w:rsid w:val="00F804A4"/>
    <w:rsid w:val="00F80D56"/>
    <w:rsid w:val="00F82333"/>
    <w:rsid w:val="00F8321C"/>
    <w:rsid w:val="00F84995"/>
    <w:rsid w:val="00F90931"/>
    <w:rsid w:val="00F920FE"/>
    <w:rsid w:val="00F93D24"/>
    <w:rsid w:val="00F94078"/>
    <w:rsid w:val="00F94223"/>
    <w:rsid w:val="00F96B9D"/>
    <w:rsid w:val="00FA20AD"/>
    <w:rsid w:val="00FA3EAD"/>
    <w:rsid w:val="00FB0DAF"/>
    <w:rsid w:val="00FB544C"/>
    <w:rsid w:val="00FB6ED9"/>
    <w:rsid w:val="00FC21B3"/>
    <w:rsid w:val="00FC3BA1"/>
    <w:rsid w:val="00FD07AF"/>
    <w:rsid w:val="00FD129F"/>
    <w:rsid w:val="00FD31BF"/>
    <w:rsid w:val="00FD48E4"/>
    <w:rsid w:val="00FD7CBA"/>
    <w:rsid w:val="00FE46D2"/>
    <w:rsid w:val="00FE53E5"/>
    <w:rsid w:val="00FE572A"/>
    <w:rsid w:val="00FE6FDB"/>
    <w:rsid w:val="00FF2AC6"/>
    <w:rsid w:val="00FF6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74F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DE"/>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rsid w:val="00C465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65DE"/>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ALTS FOOTNOTE,fn,Footnote Text Char1,Footnote Text Char2 Char,Footnote Text Char1 Char Char,Footnote Text Char Char Char Char,Footnote Text Char1 Char Char Char Char1,Footnote Text Char Char Char Char Char Char1,fn Ch,Footnote Text Char,f"/>
    <w:basedOn w:val="Normal"/>
    <w:link w:val="FootnoteTextChar2"/>
    <w:rsid w:val="00C94E84"/>
    <w:pPr>
      <w:tabs>
        <w:tab w:val="left" w:pos="180"/>
        <w:tab w:val="left" w:pos="720"/>
        <w:tab w:val="left" w:pos="1440"/>
        <w:tab w:val="left" w:pos="2160"/>
      </w:tabs>
      <w:spacing w:after="120"/>
      <w:jc w:val="both"/>
    </w:pPr>
    <w:rPr>
      <w:rFonts w:ascii="Times New Roman" w:hAnsi="Times New Roman"/>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3,FR,Style 17,Style 6,Footnote Reference/"/>
    <w:basedOn w:val="DefaultParagraphFont"/>
    <w:rsid w:val="005B6953"/>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2">
    <w:name w:val="Footnote Text Char2"/>
    <w:aliases w:val="ALTS FOOTNOTE Char,fn Char,Footnote Text Char1 Char,Footnote Text Char2 Char Char,Footnote Text Char1 Char Char Char,Footnote Text Char Char Char Char Char,Footnote Text Char1 Char Char Char Char1 Char,fn Ch Char,f Char"/>
    <w:link w:val="FootnoteText"/>
    <w:locked/>
    <w:rsid w:val="00C94E84"/>
    <w:rPr>
      <w:rFonts w:eastAsiaTheme="minorHAnsi" w:cstheme="minorBidi"/>
      <w:szCs w:val="22"/>
    </w:rPr>
  </w:style>
  <w:style w:type="character" w:styleId="CommentReference">
    <w:name w:val="annotation reference"/>
    <w:basedOn w:val="DefaultParagraphFont"/>
    <w:uiPriority w:val="99"/>
    <w:semiHidden/>
    <w:unhideWhenUsed/>
    <w:rsid w:val="0020591D"/>
    <w:rPr>
      <w:sz w:val="16"/>
      <w:szCs w:val="16"/>
    </w:rPr>
  </w:style>
  <w:style w:type="paragraph" w:styleId="CommentText">
    <w:name w:val="annotation text"/>
    <w:basedOn w:val="Normal"/>
    <w:link w:val="CommentTextChar"/>
    <w:uiPriority w:val="99"/>
    <w:unhideWhenUsed/>
    <w:rsid w:val="0020591D"/>
    <w:rPr>
      <w:sz w:val="20"/>
    </w:rPr>
  </w:style>
  <w:style w:type="character" w:customStyle="1" w:styleId="CommentTextChar">
    <w:name w:val="Comment Text Char"/>
    <w:basedOn w:val="DefaultParagraphFont"/>
    <w:link w:val="CommentText"/>
    <w:uiPriority w:val="99"/>
    <w:rsid w:val="0020591D"/>
  </w:style>
  <w:style w:type="paragraph" w:styleId="CommentSubject">
    <w:name w:val="annotation subject"/>
    <w:basedOn w:val="CommentText"/>
    <w:next w:val="CommentText"/>
    <w:link w:val="CommentSubjectChar"/>
    <w:uiPriority w:val="99"/>
    <w:semiHidden/>
    <w:unhideWhenUsed/>
    <w:rsid w:val="0020591D"/>
    <w:rPr>
      <w:b/>
      <w:bCs/>
    </w:rPr>
  </w:style>
  <w:style w:type="character" w:customStyle="1" w:styleId="CommentSubjectChar">
    <w:name w:val="Comment Subject Char"/>
    <w:basedOn w:val="CommentTextChar"/>
    <w:link w:val="CommentSubject"/>
    <w:uiPriority w:val="99"/>
    <w:semiHidden/>
    <w:rsid w:val="0020591D"/>
    <w:rPr>
      <w:b/>
      <w:bCs/>
    </w:rPr>
  </w:style>
  <w:style w:type="paragraph" w:styleId="BalloonText">
    <w:name w:val="Balloon Text"/>
    <w:basedOn w:val="Normal"/>
    <w:link w:val="BalloonTextChar"/>
    <w:uiPriority w:val="99"/>
    <w:semiHidden/>
    <w:unhideWhenUsed/>
    <w:rsid w:val="0020591D"/>
    <w:rPr>
      <w:rFonts w:ascii="Tahoma" w:hAnsi="Tahoma" w:cs="Tahoma"/>
      <w:sz w:val="16"/>
      <w:szCs w:val="16"/>
    </w:rPr>
  </w:style>
  <w:style w:type="character" w:customStyle="1" w:styleId="BalloonTextChar">
    <w:name w:val="Balloon Text Char"/>
    <w:basedOn w:val="DefaultParagraphFont"/>
    <w:link w:val="BalloonText"/>
    <w:uiPriority w:val="99"/>
    <w:semiHidden/>
    <w:rsid w:val="0020591D"/>
    <w:rPr>
      <w:rFonts w:ascii="Tahoma" w:hAnsi="Tahoma" w:cs="Tahoma"/>
      <w:sz w:val="16"/>
      <w:szCs w:val="16"/>
    </w:rPr>
  </w:style>
  <w:style w:type="character" w:styleId="Hyperlink">
    <w:name w:val="Hyperlink"/>
    <w:rsid w:val="00070FC7"/>
    <w:rPr>
      <w:color w:val="0000FF"/>
      <w:u w:val="single"/>
    </w:rPr>
  </w:style>
  <w:style w:type="paragraph" w:styleId="Revision">
    <w:name w:val="Revision"/>
    <w:hidden/>
    <w:uiPriority w:val="99"/>
    <w:semiHidden/>
    <w:rsid w:val="005B6953"/>
    <w:rPr>
      <w:sz w:val="22"/>
    </w:rPr>
  </w:style>
  <w:style w:type="paragraph" w:styleId="NoSpacing">
    <w:name w:val="No Spacing"/>
    <w:uiPriority w:val="1"/>
    <w:qFormat/>
    <w:rsid w:val="00C61537"/>
    <w:rPr>
      <w:sz w:val="22"/>
    </w:rPr>
  </w:style>
  <w:style w:type="character" w:customStyle="1" w:styleId="FootnoteTextChar1Char3Char">
    <w:name w:val="Footnote Text Char1 Char3 Char"/>
    <w:aliases w:val="Footnote Text Char1 Char Char Char Char,Footnote Text Char2 Char Char Char Char Char,Footnote Text Char Char Char Char Char Char Char"/>
    <w:locked/>
    <w:rsid w:val="004A1A45"/>
  </w:style>
  <w:style w:type="character" w:customStyle="1" w:styleId="ParaNumChar">
    <w:name w:val="ParaNum Char"/>
    <w:link w:val="ParaNum"/>
    <w:locked/>
    <w:rsid w:val="004A1A45"/>
    <w:rPr>
      <w:sz w:val="22"/>
    </w:rPr>
  </w:style>
  <w:style w:type="character" w:customStyle="1" w:styleId="HeaderChar">
    <w:name w:val="Header Char"/>
    <w:basedOn w:val="DefaultParagraphFont"/>
    <w:link w:val="Header"/>
    <w:rsid w:val="00673F0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DE"/>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rsid w:val="00C465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65DE"/>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ALTS FOOTNOTE,fn,Footnote Text Char1,Footnote Text Char2 Char,Footnote Text Char1 Char Char,Footnote Text Char Char Char Char,Footnote Text Char1 Char Char Char Char1,Footnote Text Char Char Char Char Char Char1,fn Ch,Footnote Text Char,f"/>
    <w:basedOn w:val="Normal"/>
    <w:link w:val="FootnoteTextChar2"/>
    <w:rsid w:val="00C94E84"/>
    <w:pPr>
      <w:tabs>
        <w:tab w:val="left" w:pos="180"/>
        <w:tab w:val="left" w:pos="720"/>
        <w:tab w:val="left" w:pos="1440"/>
        <w:tab w:val="left" w:pos="2160"/>
      </w:tabs>
      <w:spacing w:after="120"/>
      <w:jc w:val="both"/>
    </w:pPr>
    <w:rPr>
      <w:rFonts w:ascii="Times New Roman" w:hAnsi="Times New Roman"/>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3,FR,Style 17,Style 6,Footnote Reference/"/>
    <w:basedOn w:val="DefaultParagraphFont"/>
    <w:rsid w:val="005B6953"/>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FootnoteTextChar2">
    <w:name w:val="Footnote Text Char2"/>
    <w:aliases w:val="ALTS FOOTNOTE Char,fn Char,Footnote Text Char1 Char,Footnote Text Char2 Char Char,Footnote Text Char1 Char Char Char,Footnote Text Char Char Char Char Char,Footnote Text Char1 Char Char Char Char1 Char,fn Ch Char,f Char"/>
    <w:link w:val="FootnoteText"/>
    <w:locked/>
    <w:rsid w:val="00C94E84"/>
    <w:rPr>
      <w:rFonts w:eastAsiaTheme="minorHAnsi" w:cstheme="minorBidi"/>
      <w:szCs w:val="22"/>
    </w:rPr>
  </w:style>
  <w:style w:type="character" w:styleId="CommentReference">
    <w:name w:val="annotation reference"/>
    <w:basedOn w:val="DefaultParagraphFont"/>
    <w:uiPriority w:val="99"/>
    <w:semiHidden/>
    <w:unhideWhenUsed/>
    <w:rsid w:val="0020591D"/>
    <w:rPr>
      <w:sz w:val="16"/>
      <w:szCs w:val="16"/>
    </w:rPr>
  </w:style>
  <w:style w:type="paragraph" w:styleId="CommentText">
    <w:name w:val="annotation text"/>
    <w:basedOn w:val="Normal"/>
    <w:link w:val="CommentTextChar"/>
    <w:uiPriority w:val="99"/>
    <w:unhideWhenUsed/>
    <w:rsid w:val="0020591D"/>
    <w:rPr>
      <w:sz w:val="20"/>
    </w:rPr>
  </w:style>
  <w:style w:type="character" w:customStyle="1" w:styleId="CommentTextChar">
    <w:name w:val="Comment Text Char"/>
    <w:basedOn w:val="DefaultParagraphFont"/>
    <w:link w:val="CommentText"/>
    <w:uiPriority w:val="99"/>
    <w:rsid w:val="0020591D"/>
  </w:style>
  <w:style w:type="paragraph" w:styleId="CommentSubject">
    <w:name w:val="annotation subject"/>
    <w:basedOn w:val="CommentText"/>
    <w:next w:val="CommentText"/>
    <w:link w:val="CommentSubjectChar"/>
    <w:uiPriority w:val="99"/>
    <w:semiHidden/>
    <w:unhideWhenUsed/>
    <w:rsid w:val="0020591D"/>
    <w:rPr>
      <w:b/>
      <w:bCs/>
    </w:rPr>
  </w:style>
  <w:style w:type="character" w:customStyle="1" w:styleId="CommentSubjectChar">
    <w:name w:val="Comment Subject Char"/>
    <w:basedOn w:val="CommentTextChar"/>
    <w:link w:val="CommentSubject"/>
    <w:uiPriority w:val="99"/>
    <w:semiHidden/>
    <w:rsid w:val="0020591D"/>
    <w:rPr>
      <w:b/>
      <w:bCs/>
    </w:rPr>
  </w:style>
  <w:style w:type="paragraph" w:styleId="BalloonText">
    <w:name w:val="Balloon Text"/>
    <w:basedOn w:val="Normal"/>
    <w:link w:val="BalloonTextChar"/>
    <w:uiPriority w:val="99"/>
    <w:semiHidden/>
    <w:unhideWhenUsed/>
    <w:rsid w:val="0020591D"/>
    <w:rPr>
      <w:rFonts w:ascii="Tahoma" w:hAnsi="Tahoma" w:cs="Tahoma"/>
      <w:sz w:val="16"/>
      <w:szCs w:val="16"/>
    </w:rPr>
  </w:style>
  <w:style w:type="character" w:customStyle="1" w:styleId="BalloonTextChar">
    <w:name w:val="Balloon Text Char"/>
    <w:basedOn w:val="DefaultParagraphFont"/>
    <w:link w:val="BalloonText"/>
    <w:uiPriority w:val="99"/>
    <w:semiHidden/>
    <w:rsid w:val="0020591D"/>
    <w:rPr>
      <w:rFonts w:ascii="Tahoma" w:hAnsi="Tahoma" w:cs="Tahoma"/>
      <w:sz w:val="16"/>
      <w:szCs w:val="16"/>
    </w:rPr>
  </w:style>
  <w:style w:type="character" w:styleId="Hyperlink">
    <w:name w:val="Hyperlink"/>
    <w:rsid w:val="00070FC7"/>
    <w:rPr>
      <w:color w:val="0000FF"/>
      <w:u w:val="single"/>
    </w:rPr>
  </w:style>
  <w:style w:type="paragraph" w:styleId="Revision">
    <w:name w:val="Revision"/>
    <w:hidden/>
    <w:uiPriority w:val="99"/>
    <w:semiHidden/>
    <w:rsid w:val="005B6953"/>
    <w:rPr>
      <w:sz w:val="22"/>
    </w:rPr>
  </w:style>
  <w:style w:type="paragraph" w:styleId="NoSpacing">
    <w:name w:val="No Spacing"/>
    <w:uiPriority w:val="1"/>
    <w:qFormat/>
    <w:rsid w:val="00C61537"/>
    <w:rPr>
      <w:sz w:val="22"/>
    </w:rPr>
  </w:style>
  <w:style w:type="character" w:customStyle="1" w:styleId="FootnoteTextChar1Char3Char">
    <w:name w:val="Footnote Text Char1 Char3 Char"/>
    <w:aliases w:val="Footnote Text Char1 Char Char Char Char,Footnote Text Char2 Char Char Char Char Char,Footnote Text Char Char Char Char Char Char Char"/>
    <w:locked/>
    <w:rsid w:val="004A1A45"/>
  </w:style>
  <w:style w:type="character" w:customStyle="1" w:styleId="ParaNumChar">
    <w:name w:val="ParaNum Char"/>
    <w:link w:val="ParaNum"/>
    <w:locked/>
    <w:rsid w:val="004A1A45"/>
    <w:rPr>
      <w:sz w:val="22"/>
    </w:rPr>
  </w:style>
  <w:style w:type="character" w:customStyle="1" w:styleId="HeaderChar">
    <w:name w:val="Header Char"/>
    <w:basedOn w:val="DefaultParagraphFont"/>
    <w:link w:val="Header"/>
    <w:rsid w:val="00673F0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C0B0B0-FCF9-4D99-BF00-AB7061DD8E30}">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2220</Words>
  <Characters>12494</Characters>
  <Application>Microsoft Office Word</Application>
  <DocSecurity>0</DocSecurity>
  <Lines>205</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2016-11-15T19:31:00Z</dcterms:created>
  <dcterms:modified xsi:type="dcterms:W3CDTF">2016-11-15T19:31:00Z</dcterms:modified>
  <cp:category> </cp:category>
  <cp:contentStatus> </cp:contentStatus>
</cp:coreProperties>
</file>