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1996" w14:textId="19A22090" w:rsidR="00D47505" w:rsidRPr="00221CD3" w:rsidRDefault="00811A46" w:rsidP="00221CD3">
      <w:pPr>
        <w:spacing w:before="120"/>
        <w:jc w:val="right"/>
        <w:rPr>
          <w:b/>
          <w:szCs w:val="22"/>
        </w:rPr>
      </w:pPr>
      <w:bookmarkStart w:id="0" w:name="_GoBack"/>
      <w:bookmarkEnd w:id="0"/>
      <w:r w:rsidRPr="00221CD3">
        <w:rPr>
          <w:b/>
          <w:szCs w:val="22"/>
        </w:rPr>
        <w:t xml:space="preserve">DA </w:t>
      </w:r>
      <w:r w:rsidR="00E37528" w:rsidRPr="00221CD3">
        <w:rPr>
          <w:b/>
          <w:szCs w:val="22"/>
        </w:rPr>
        <w:t>16-</w:t>
      </w:r>
      <w:r w:rsidR="00221CD3" w:rsidRPr="00221CD3">
        <w:rPr>
          <w:b/>
          <w:szCs w:val="22"/>
        </w:rPr>
        <w:t>1279</w:t>
      </w:r>
    </w:p>
    <w:p w14:paraId="543A3003" w14:textId="3A48E1F4" w:rsidR="00D47505" w:rsidRPr="00221CD3" w:rsidRDefault="00B338A9" w:rsidP="00D47505">
      <w:pPr>
        <w:spacing w:before="60"/>
        <w:jc w:val="right"/>
        <w:rPr>
          <w:b/>
          <w:szCs w:val="22"/>
        </w:rPr>
      </w:pPr>
      <w:r w:rsidRPr="00221CD3">
        <w:rPr>
          <w:b/>
          <w:szCs w:val="22"/>
        </w:rPr>
        <w:t xml:space="preserve">Released:  </w:t>
      </w:r>
      <w:r w:rsidR="00E37528" w:rsidRPr="00221CD3">
        <w:rPr>
          <w:b/>
          <w:szCs w:val="22"/>
        </w:rPr>
        <w:t xml:space="preserve">November </w:t>
      </w:r>
      <w:r w:rsidR="00221CD3" w:rsidRPr="00221CD3">
        <w:rPr>
          <w:b/>
          <w:szCs w:val="22"/>
        </w:rPr>
        <w:t>15</w:t>
      </w:r>
      <w:r w:rsidR="00E37528" w:rsidRPr="00221CD3">
        <w:rPr>
          <w:b/>
          <w:szCs w:val="22"/>
        </w:rPr>
        <w:t>, 2016</w:t>
      </w:r>
    </w:p>
    <w:p w14:paraId="5750B67C" w14:textId="1A4C061E" w:rsidR="00D47505" w:rsidRPr="00221CD3" w:rsidRDefault="00D47505" w:rsidP="00D47505">
      <w:pPr>
        <w:jc w:val="right"/>
        <w:rPr>
          <w:szCs w:val="22"/>
        </w:rPr>
      </w:pPr>
    </w:p>
    <w:p w14:paraId="4E759341" w14:textId="6186B0A2" w:rsidR="0031182F" w:rsidRPr="00221CD3" w:rsidRDefault="0031182F" w:rsidP="001A4DA7">
      <w:pPr>
        <w:jc w:val="center"/>
        <w:rPr>
          <w:b/>
          <w:szCs w:val="22"/>
        </w:rPr>
      </w:pPr>
      <w:r w:rsidRPr="00221CD3">
        <w:rPr>
          <w:b/>
          <w:szCs w:val="22"/>
        </w:rPr>
        <w:t xml:space="preserve">WIRELINE COMPETITION BUREAU ANNOUNCES </w:t>
      </w:r>
      <w:r w:rsidR="00EE03EB" w:rsidRPr="00221CD3">
        <w:rPr>
          <w:b/>
          <w:szCs w:val="22"/>
        </w:rPr>
        <w:t xml:space="preserve">POSTING OF </w:t>
      </w:r>
      <w:r w:rsidR="00851F00" w:rsidRPr="00221CD3">
        <w:rPr>
          <w:b/>
          <w:szCs w:val="22"/>
        </w:rPr>
        <w:t xml:space="preserve">ADJUSTMENTS </w:t>
      </w:r>
      <w:r w:rsidR="000549AF" w:rsidRPr="00221CD3">
        <w:rPr>
          <w:b/>
          <w:szCs w:val="22"/>
        </w:rPr>
        <w:t xml:space="preserve">TO </w:t>
      </w:r>
      <w:r w:rsidR="007B0FB6" w:rsidRPr="00221CD3">
        <w:rPr>
          <w:b/>
          <w:szCs w:val="22"/>
        </w:rPr>
        <w:t xml:space="preserve">INFORMATION REGARDING </w:t>
      </w:r>
      <w:r w:rsidR="000549AF" w:rsidRPr="00221CD3">
        <w:rPr>
          <w:b/>
          <w:szCs w:val="22"/>
        </w:rPr>
        <w:t xml:space="preserve">STUDY AREA DENSITY, DEPLOYMENT PERCENTAGES, OPERATING EXPENSE LIMITATIONS, AND </w:t>
      </w:r>
      <w:r w:rsidR="002C0B63" w:rsidRPr="00221CD3">
        <w:rPr>
          <w:b/>
          <w:szCs w:val="22"/>
        </w:rPr>
        <w:t>DE</w:t>
      </w:r>
      <w:r w:rsidR="00FA03D8" w:rsidRPr="00221CD3">
        <w:rPr>
          <w:b/>
          <w:szCs w:val="22"/>
        </w:rPr>
        <w:t>PLOYMENT OBLIGATION</w:t>
      </w:r>
      <w:r w:rsidR="007B0FB6" w:rsidRPr="00221CD3">
        <w:rPr>
          <w:b/>
          <w:szCs w:val="22"/>
        </w:rPr>
        <w:t>S</w:t>
      </w:r>
      <w:r w:rsidR="00FA03D8" w:rsidRPr="00221CD3">
        <w:rPr>
          <w:b/>
          <w:szCs w:val="22"/>
        </w:rPr>
        <w:t xml:space="preserve"> </w:t>
      </w:r>
      <w:r w:rsidR="002C0B63" w:rsidRPr="00221CD3">
        <w:rPr>
          <w:b/>
          <w:szCs w:val="22"/>
        </w:rPr>
        <w:t xml:space="preserve">FOR </w:t>
      </w:r>
      <w:r w:rsidR="00A8745B" w:rsidRPr="00221CD3">
        <w:rPr>
          <w:b/>
          <w:szCs w:val="22"/>
        </w:rPr>
        <w:t xml:space="preserve">A LIMITED NUMBER OF </w:t>
      </w:r>
      <w:r w:rsidR="002C0B63" w:rsidRPr="00221CD3">
        <w:rPr>
          <w:b/>
          <w:szCs w:val="22"/>
        </w:rPr>
        <w:t>INCUMBENT RATE-OF-RETURN CARRIERS</w:t>
      </w:r>
    </w:p>
    <w:p w14:paraId="0F9F0726" w14:textId="77777777" w:rsidR="0031182F" w:rsidRPr="00221CD3" w:rsidRDefault="0031182F" w:rsidP="0031182F">
      <w:pPr>
        <w:jc w:val="center"/>
        <w:rPr>
          <w:b/>
          <w:szCs w:val="22"/>
        </w:rPr>
      </w:pPr>
    </w:p>
    <w:p w14:paraId="62E1EACF" w14:textId="77777777" w:rsidR="00D47505" w:rsidRPr="00221CD3" w:rsidRDefault="0031182F" w:rsidP="00D47505">
      <w:pPr>
        <w:jc w:val="center"/>
        <w:rPr>
          <w:b/>
          <w:szCs w:val="22"/>
        </w:rPr>
      </w:pPr>
      <w:r w:rsidRPr="00221CD3">
        <w:rPr>
          <w:b/>
          <w:szCs w:val="22"/>
        </w:rPr>
        <w:t>WC Docket No. 10-90</w:t>
      </w:r>
    </w:p>
    <w:p w14:paraId="0FF9F546" w14:textId="77777777" w:rsidR="0031182F" w:rsidRPr="00221CD3" w:rsidRDefault="0031182F" w:rsidP="00D47505">
      <w:pPr>
        <w:jc w:val="center"/>
        <w:rPr>
          <w:b/>
          <w:szCs w:val="22"/>
        </w:rPr>
      </w:pPr>
    </w:p>
    <w:p w14:paraId="0CCAC661" w14:textId="5A2C4E95" w:rsidR="005A3D86" w:rsidRPr="00221CD3" w:rsidRDefault="002C0B63" w:rsidP="005A3D86">
      <w:pPr>
        <w:autoSpaceDE w:val="0"/>
        <w:autoSpaceDN w:val="0"/>
        <w:adjustRightInd w:val="0"/>
        <w:spacing w:after="120"/>
        <w:ind w:firstLine="720"/>
        <w:rPr>
          <w:szCs w:val="22"/>
        </w:rPr>
      </w:pPr>
      <w:r w:rsidRPr="00221CD3">
        <w:rPr>
          <w:szCs w:val="22"/>
        </w:rPr>
        <w:t xml:space="preserve">The Wireline Competition Bureau </w:t>
      </w:r>
      <w:r w:rsidR="00C84366" w:rsidRPr="00221CD3">
        <w:rPr>
          <w:szCs w:val="22"/>
        </w:rPr>
        <w:t xml:space="preserve">(Bureau) </w:t>
      </w:r>
      <w:r w:rsidRPr="00221CD3">
        <w:rPr>
          <w:szCs w:val="22"/>
        </w:rPr>
        <w:t xml:space="preserve">announces the posting of </w:t>
      </w:r>
      <w:r w:rsidR="005A3D86" w:rsidRPr="00221CD3">
        <w:rPr>
          <w:szCs w:val="22"/>
        </w:rPr>
        <w:t xml:space="preserve">revised </w:t>
      </w:r>
      <w:r w:rsidR="002B6DC8" w:rsidRPr="00221CD3">
        <w:rPr>
          <w:szCs w:val="22"/>
        </w:rPr>
        <w:t xml:space="preserve">information </w:t>
      </w:r>
      <w:r w:rsidR="00851F00" w:rsidRPr="00221CD3">
        <w:rPr>
          <w:szCs w:val="22"/>
        </w:rPr>
        <w:t xml:space="preserve">regarding the application of </w:t>
      </w:r>
      <w:r w:rsidR="005A3D86" w:rsidRPr="00221CD3">
        <w:rPr>
          <w:szCs w:val="22"/>
        </w:rPr>
        <w:t xml:space="preserve">the operating expense limits and deployment obligations </w:t>
      </w:r>
      <w:r w:rsidR="002B6DC8" w:rsidRPr="00221CD3">
        <w:rPr>
          <w:szCs w:val="22"/>
        </w:rPr>
        <w:t xml:space="preserve">for certain rate-of-return carriers </w:t>
      </w:r>
      <w:r w:rsidR="005A3D86" w:rsidRPr="00221CD3">
        <w:rPr>
          <w:szCs w:val="22"/>
        </w:rPr>
        <w:t xml:space="preserve">under the </w:t>
      </w:r>
      <w:r w:rsidR="00677EB3" w:rsidRPr="00221CD3">
        <w:rPr>
          <w:szCs w:val="22"/>
        </w:rPr>
        <w:t xml:space="preserve">high-cost </w:t>
      </w:r>
      <w:r w:rsidR="002B6DC8" w:rsidRPr="00221CD3">
        <w:rPr>
          <w:szCs w:val="22"/>
        </w:rPr>
        <w:t xml:space="preserve">universal service support legacy funding mechanisms.  </w:t>
      </w:r>
      <w:r w:rsidR="005A3D86" w:rsidRPr="00221CD3">
        <w:rPr>
          <w:szCs w:val="22"/>
        </w:rPr>
        <w:t>A number of carriers have brought issues to the attention of the Bureau and/or submitted revised Form 477 deployment information.</w:t>
      </w:r>
      <w:r w:rsidR="005A3D86" w:rsidRPr="00221CD3">
        <w:rPr>
          <w:rStyle w:val="FootnoteReference"/>
          <w:sz w:val="22"/>
          <w:szCs w:val="22"/>
        </w:rPr>
        <w:footnoteReference w:id="2"/>
      </w:r>
      <w:r w:rsidR="005A3D86" w:rsidRPr="00221CD3">
        <w:rPr>
          <w:szCs w:val="22"/>
        </w:rPr>
        <w:t xml:space="preserve">  The Bureau has made corrections to those carriers’ data where the issue raised was caused by an error or omission made by the Bureau.</w:t>
      </w:r>
      <w:r w:rsidR="007276AE" w:rsidRPr="00221CD3">
        <w:rPr>
          <w:rStyle w:val="FootnoteReference"/>
          <w:sz w:val="22"/>
          <w:szCs w:val="22"/>
        </w:rPr>
        <w:footnoteReference w:id="3"/>
      </w:r>
      <w:r w:rsidR="005A3D86" w:rsidRPr="00221CD3">
        <w:rPr>
          <w:szCs w:val="22"/>
        </w:rPr>
        <w:t xml:space="preserve">  </w:t>
      </w:r>
    </w:p>
    <w:p w14:paraId="6C527D56" w14:textId="412847EA" w:rsidR="00BD57F3" w:rsidRPr="00221CD3" w:rsidRDefault="002B6DC8" w:rsidP="0031182F">
      <w:pPr>
        <w:autoSpaceDE w:val="0"/>
        <w:autoSpaceDN w:val="0"/>
        <w:adjustRightInd w:val="0"/>
        <w:spacing w:after="120"/>
        <w:ind w:firstLine="720"/>
        <w:rPr>
          <w:szCs w:val="22"/>
        </w:rPr>
      </w:pPr>
      <w:r w:rsidRPr="00221CD3">
        <w:rPr>
          <w:szCs w:val="22"/>
        </w:rPr>
        <w:t xml:space="preserve">The revised </w:t>
      </w:r>
      <w:r w:rsidR="00BD57F3" w:rsidRPr="00221CD3">
        <w:rPr>
          <w:szCs w:val="22"/>
        </w:rPr>
        <w:t xml:space="preserve">density </w:t>
      </w:r>
      <w:r w:rsidRPr="00221CD3">
        <w:rPr>
          <w:szCs w:val="22"/>
        </w:rPr>
        <w:t xml:space="preserve">information for these carriers </w:t>
      </w:r>
      <w:r w:rsidR="00BD57F3" w:rsidRPr="00221CD3">
        <w:rPr>
          <w:szCs w:val="22"/>
        </w:rPr>
        <w:t>is as follows:</w:t>
      </w:r>
    </w:p>
    <w:tbl>
      <w:tblPr>
        <w:tblpPr w:leftFromText="180" w:rightFromText="180" w:vertAnchor="text" w:horzAnchor="margin" w:tblpXSpec="center" w:tblpY="135"/>
        <w:tblW w:w="7740" w:type="dxa"/>
        <w:tblLook w:val="04A0" w:firstRow="1" w:lastRow="0" w:firstColumn="1" w:lastColumn="0" w:noHBand="0" w:noVBand="1"/>
      </w:tblPr>
      <w:tblGrid>
        <w:gridCol w:w="1440"/>
        <w:gridCol w:w="3060"/>
        <w:gridCol w:w="1559"/>
        <w:gridCol w:w="1681"/>
      </w:tblGrid>
      <w:tr w:rsidR="00BD57F3" w:rsidRPr="00221CD3" w14:paraId="25965934" w14:textId="77777777" w:rsidTr="00221CD3">
        <w:trPr>
          <w:trHeight w:val="288"/>
        </w:trPr>
        <w:tc>
          <w:tcPr>
            <w:tcW w:w="7740" w:type="dxa"/>
            <w:gridSpan w:val="4"/>
            <w:tcBorders>
              <w:top w:val="nil"/>
              <w:left w:val="nil"/>
              <w:bottom w:val="nil"/>
              <w:right w:val="nil"/>
            </w:tcBorders>
            <w:shd w:val="clear" w:color="auto" w:fill="auto"/>
            <w:noWrap/>
            <w:vAlign w:val="center"/>
            <w:hideMark/>
          </w:tcPr>
          <w:p w14:paraId="2117B563" w14:textId="401EF180" w:rsidR="00BD57F3" w:rsidRPr="00221CD3" w:rsidRDefault="00BD57F3" w:rsidP="00221CD3">
            <w:pPr>
              <w:widowControl/>
              <w:jc w:val="center"/>
              <w:rPr>
                <w:b/>
                <w:snapToGrid/>
                <w:color w:val="000000"/>
                <w:kern w:val="0"/>
                <w:szCs w:val="22"/>
              </w:rPr>
            </w:pPr>
            <w:r w:rsidRPr="00221CD3">
              <w:rPr>
                <w:b/>
                <w:snapToGrid/>
                <w:color w:val="000000"/>
                <w:kern w:val="0"/>
                <w:szCs w:val="22"/>
              </w:rPr>
              <w:t>Revised Density Values</w:t>
            </w:r>
          </w:p>
        </w:tc>
      </w:tr>
      <w:tr w:rsidR="00BD57F3" w:rsidRPr="00221CD3" w14:paraId="08A95831" w14:textId="77777777" w:rsidTr="00221CD3">
        <w:trPr>
          <w:trHeight w:val="288"/>
        </w:trPr>
        <w:tc>
          <w:tcPr>
            <w:tcW w:w="1440" w:type="dxa"/>
            <w:tcBorders>
              <w:top w:val="nil"/>
              <w:left w:val="nil"/>
              <w:bottom w:val="nil"/>
              <w:right w:val="nil"/>
            </w:tcBorders>
            <w:shd w:val="clear" w:color="auto" w:fill="auto"/>
            <w:vAlign w:val="center"/>
            <w:hideMark/>
          </w:tcPr>
          <w:p w14:paraId="13E8E940" w14:textId="77777777" w:rsidR="00BD57F3" w:rsidRPr="00221CD3" w:rsidRDefault="00BD57F3" w:rsidP="00221CD3">
            <w:pPr>
              <w:widowControl/>
              <w:jc w:val="center"/>
              <w:rPr>
                <w:b/>
                <w:snapToGrid/>
                <w:color w:val="000000"/>
                <w:kern w:val="0"/>
                <w:szCs w:val="22"/>
              </w:rPr>
            </w:pPr>
            <w:r w:rsidRPr="00221CD3">
              <w:rPr>
                <w:b/>
                <w:noProof/>
                <w:snapToGrid/>
                <w:color w:val="000000"/>
                <w:kern w:val="0"/>
                <w:szCs w:val="22"/>
              </w:rPr>
              <w:drawing>
                <wp:anchor distT="0" distB="0" distL="114300" distR="114300" simplePos="0" relativeHeight="251659264" behindDoc="0" locked="0" layoutInCell="1" allowOverlap="1" wp14:anchorId="4B4CC609" wp14:editId="5B56290D">
                  <wp:simplePos x="0" y="0"/>
                  <wp:positionH relativeFrom="column">
                    <wp:posOffset>0</wp:posOffset>
                  </wp:positionH>
                  <wp:positionV relativeFrom="paragraph">
                    <wp:posOffset>0</wp:posOffset>
                  </wp:positionV>
                  <wp:extent cx="190500" cy="142875"/>
                  <wp:effectExtent l="0" t="0" r="0" b="9525"/>
                  <wp:wrapNone/>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pic:spPr>
                      </pic:pic>
                    </a:graphicData>
                  </a:graphic>
                  <wp14:sizeRelH relativeFrom="page">
                    <wp14:pctWidth>0</wp14:pctWidth>
                  </wp14:sizeRelH>
                  <wp14:sizeRelV relativeFrom="page">
                    <wp14:pctHeight>0</wp14:pctHeight>
                  </wp14:sizeRelV>
                </wp:anchor>
              </w:drawing>
            </w:r>
            <w:r w:rsidRPr="00221CD3">
              <w:rPr>
                <w:b/>
                <w:snapToGrid/>
                <w:color w:val="000000"/>
                <w:kern w:val="0"/>
                <w:szCs w:val="22"/>
              </w:rPr>
              <w:t>SAC</w:t>
            </w:r>
          </w:p>
        </w:tc>
        <w:tc>
          <w:tcPr>
            <w:tcW w:w="3060" w:type="dxa"/>
            <w:tcBorders>
              <w:top w:val="nil"/>
              <w:left w:val="nil"/>
              <w:bottom w:val="nil"/>
              <w:right w:val="nil"/>
            </w:tcBorders>
            <w:shd w:val="clear" w:color="auto" w:fill="auto"/>
            <w:vAlign w:val="center"/>
            <w:hideMark/>
          </w:tcPr>
          <w:p w14:paraId="6948E90E" w14:textId="77777777" w:rsidR="00BD57F3" w:rsidRPr="00221CD3" w:rsidRDefault="00BD57F3" w:rsidP="00221CD3">
            <w:pPr>
              <w:widowControl/>
              <w:jc w:val="center"/>
              <w:rPr>
                <w:b/>
                <w:snapToGrid/>
                <w:color w:val="000000"/>
                <w:kern w:val="0"/>
                <w:szCs w:val="22"/>
              </w:rPr>
            </w:pPr>
            <w:r w:rsidRPr="00221CD3">
              <w:rPr>
                <w:b/>
                <w:snapToGrid/>
                <w:color w:val="000000"/>
                <w:kern w:val="0"/>
                <w:szCs w:val="22"/>
              </w:rPr>
              <w:t>Study Area</w:t>
            </w:r>
          </w:p>
        </w:tc>
        <w:tc>
          <w:tcPr>
            <w:tcW w:w="1559" w:type="dxa"/>
            <w:tcBorders>
              <w:top w:val="nil"/>
              <w:left w:val="nil"/>
              <w:bottom w:val="nil"/>
              <w:right w:val="nil"/>
            </w:tcBorders>
            <w:shd w:val="clear" w:color="auto" w:fill="auto"/>
            <w:vAlign w:val="center"/>
            <w:hideMark/>
          </w:tcPr>
          <w:p w14:paraId="2D21AFC1" w14:textId="77777777" w:rsidR="00BD57F3" w:rsidRPr="00221CD3" w:rsidRDefault="00BD57F3" w:rsidP="00221CD3">
            <w:pPr>
              <w:widowControl/>
              <w:jc w:val="center"/>
              <w:rPr>
                <w:b/>
                <w:snapToGrid/>
                <w:color w:val="000000"/>
                <w:kern w:val="0"/>
                <w:szCs w:val="22"/>
              </w:rPr>
            </w:pPr>
            <w:r w:rsidRPr="00221CD3">
              <w:rPr>
                <w:b/>
                <w:snapToGrid/>
                <w:color w:val="000000"/>
                <w:kern w:val="0"/>
                <w:szCs w:val="22"/>
              </w:rPr>
              <w:t>Housing Units</w:t>
            </w:r>
          </w:p>
        </w:tc>
        <w:tc>
          <w:tcPr>
            <w:tcW w:w="1681" w:type="dxa"/>
            <w:tcBorders>
              <w:top w:val="nil"/>
              <w:left w:val="nil"/>
              <w:bottom w:val="nil"/>
              <w:right w:val="nil"/>
            </w:tcBorders>
            <w:shd w:val="clear" w:color="auto" w:fill="auto"/>
            <w:vAlign w:val="center"/>
            <w:hideMark/>
          </w:tcPr>
          <w:p w14:paraId="006047A6" w14:textId="77777777" w:rsidR="00BD57F3" w:rsidRPr="00221CD3" w:rsidRDefault="00BD57F3" w:rsidP="00221CD3">
            <w:pPr>
              <w:widowControl/>
              <w:jc w:val="center"/>
              <w:rPr>
                <w:b/>
                <w:snapToGrid/>
                <w:color w:val="000000"/>
                <w:kern w:val="0"/>
                <w:szCs w:val="22"/>
              </w:rPr>
            </w:pPr>
            <w:r w:rsidRPr="00221CD3">
              <w:rPr>
                <w:b/>
                <w:snapToGrid/>
                <w:color w:val="000000"/>
                <w:kern w:val="0"/>
                <w:szCs w:val="22"/>
              </w:rPr>
              <w:t>Density</w:t>
            </w:r>
          </w:p>
        </w:tc>
      </w:tr>
      <w:tr w:rsidR="00BD57F3" w:rsidRPr="00221CD3" w14:paraId="1404C998" w14:textId="77777777" w:rsidTr="00221CD3">
        <w:trPr>
          <w:trHeight w:val="288"/>
        </w:trPr>
        <w:tc>
          <w:tcPr>
            <w:tcW w:w="1440" w:type="dxa"/>
            <w:tcBorders>
              <w:top w:val="nil"/>
              <w:left w:val="nil"/>
              <w:bottom w:val="nil"/>
              <w:right w:val="nil"/>
            </w:tcBorders>
            <w:shd w:val="clear" w:color="auto" w:fill="auto"/>
            <w:vAlign w:val="bottom"/>
            <w:hideMark/>
          </w:tcPr>
          <w:p w14:paraId="63A8FBB5" w14:textId="77777777" w:rsidR="00BD57F3" w:rsidRPr="00221CD3" w:rsidRDefault="00BD57F3" w:rsidP="00221CD3">
            <w:pPr>
              <w:widowControl/>
              <w:jc w:val="center"/>
              <w:rPr>
                <w:snapToGrid/>
                <w:color w:val="000000"/>
                <w:kern w:val="0"/>
                <w:szCs w:val="22"/>
              </w:rPr>
            </w:pPr>
            <w:r w:rsidRPr="00221CD3">
              <w:rPr>
                <w:snapToGrid/>
                <w:color w:val="000000"/>
                <w:kern w:val="0"/>
                <w:szCs w:val="22"/>
              </w:rPr>
              <w:t>230491</w:t>
            </w:r>
          </w:p>
        </w:tc>
        <w:tc>
          <w:tcPr>
            <w:tcW w:w="3060" w:type="dxa"/>
            <w:tcBorders>
              <w:top w:val="nil"/>
              <w:left w:val="nil"/>
              <w:bottom w:val="nil"/>
              <w:right w:val="nil"/>
            </w:tcBorders>
            <w:shd w:val="clear" w:color="auto" w:fill="auto"/>
            <w:vAlign w:val="bottom"/>
            <w:hideMark/>
          </w:tcPr>
          <w:p w14:paraId="64CD47E7" w14:textId="05C53DAD" w:rsidR="00BD57F3" w:rsidRPr="00221CD3" w:rsidRDefault="00BD57F3" w:rsidP="00786FF7">
            <w:pPr>
              <w:widowControl/>
              <w:jc w:val="center"/>
              <w:rPr>
                <w:snapToGrid/>
                <w:color w:val="000000"/>
                <w:kern w:val="0"/>
                <w:szCs w:val="22"/>
              </w:rPr>
            </w:pPr>
            <w:r w:rsidRPr="00221CD3">
              <w:rPr>
                <w:snapToGrid/>
                <w:color w:val="000000"/>
                <w:kern w:val="0"/>
                <w:szCs w:val="22"/>
              </w:rPr>
              <w:t>N.</w:t>
            </w:r>
            <w:r w:rsidR="00786FF7">
              <w:rPr>
                <w:snapToGrid/>
                <w:color w:val="000000"/>
                <w:kern w:val="0"/>
                <w:szCs w:val="22"/>
              </w:rPr>
              <w:t xml:space="preserve"> </w:t>
            </w:r>
            <w:r w:rsidRPr="00221CD3">
              <w:rPr>
                <w:snapToGrid/>
                <w:color w:val="000000"/>
                <w:kern w:val="0"/>
                <w:szCs w:val="22"/>
              </w:rPr>
              <w:t xml:space="preserve">ST. </w:t>
            </w:r>
            <w:r w:rsidR="00786FF7">
              <w:rPr>
                <w:snapToGrid/>
                <w:color w:val="000000"/>
                <w:kern w:val="0"/>
                <w:szCs w:val="22"/>
              </w:rPr>
              <w:t>d/b/a</w:t>
            </w:r>
            <w:r w:rsidRPr="00221CD3">
              <w:rPr>
                <w:snapToGrid/>
                <w:color w:val="000000"/>
                <w:kern w:val="0"/>
                <w:szCs w:val="22"/>
              </w:rPr>
              <w:t xml:space="preserve"> N. ST.COMM</w:t>
            </w:r>
          </w:p>
        </w:tc>
        <w:tc>
          <w:tcPr>
            <w:tcW w:w="1559" w:type="dxa"/>
            <w:tcBorders>
              <w:top w:val="nil"/>
              <w:left w:val="nil"/>
              <w:bottom w:val="nil"/>
              <w:right w:val="nil"/>
            </w:tcBorders>
            <w:shd w:val="clear" w:color="auto" w:fill="auto"/>
            <w:vAlign w:val="bottom"/>
            <w:hideMark/>
          </w:tcPr>
          <w:p w14:paraId="324C4ED2" w14:textId="77777777" w:rsidR="00BD57F3" w:rsidRPr="00221CD3" w:rsidRDefault="00BD57F3" w:rsidP="00221CD3">
            <w:pPr>
              <w:widowControl/>
              <w:jc w:val="center"/>
              <w:rPr>
                <w:snapToGrid/>
                <w:color w:val="000000"/>
                <w:kern w:val="0"/>
                <w:szCs w:val="22"/>
              </w:rPr>
            </w:pPr>
            <w:r w:rsidRPr="00221CD3">
              <w:rPr>
                <w:snapToGrid/>
                <w:color w:val="000000"/>
                <w:kern w:val="0"/>
                <w:szCs w:val="22"/>
              </w:rPr>
              <w:t>86,900.86</w:t>
            </w:r>
          </w:p>
        </w:tc>
        <w:tc>
          <w:tcPr>
            <w:tcW w:w="1681" w:type="dxa"/>
            <w:tcBorders>
              <w:top w:val="nil"/>
              <w:left w:val="nil"/>
              <w:bottom w:val="nil"/>
              <w:right w:val="nil"/>
            </w:tcBorders>
            <w:shd w:val="clear" w:color="auto" w:fill="auto"/>
            <w:vAlign w:val="bottom"/>
            <w:hideMark/>
          </w:tcPr>
          <w:p w14:paraId="3478A954" w14:textId="77777777" w:rsidR="00BD57F3" w:rsidRPr="00221CD3" w:rsidRDefault="00BD57F3" w:rsidP="00221CD3">
            <w:pPr>
              <w:widowControl/>
              <w:jc w:val="center"/>
              <w:rPr>
                <w:snapToGrid/>
                <w:color w:val="000000"/>
                <w:kern w:val="0"/>
                <w:szCs w:val="22"/>
              </w:rPr>
            </w:pPr>
            <w:r w:rsidRPr="00221CD3">
              <w:rPr>
                <w:snapToGrid/>
                <w:color w:val="000000"/>
                <w:kern w:val="0"/>
                <w:szCs w:val="22"/>
              </w:rPr>
              <w:t>284.03</w:t>
            </w:r>
          </w:p>
        </w:tc>
      </w:tr>
      <w:tr w:rsidR="00BD57F3" w:rsidRPr="00221CD3" w14:paraId="2AAA25D0" w14:textId="77777777" w:rsidTr="00221CD3">
        <w:trPr>
          <w:trHeight w:val="288"/>
        </w:trPr>
        <w:tc>
          <w:tcPr>
            <w:tcW w:w="1440" w:type="dxa"/>
            <w:tcBorders>
              <w:top w:val="nil"/>
              <w:left w:val="nil"/>
              <w:bottom w:val="nil"/>
              <w:right w:val="nil"/>
            </w:tcBorders>
            <w:shd w:val="clear" w:color="auto" w:fill="auto"/>
            <w:vAlign w:val="bottom"/>
            <w:hideMark/>
          </w:tcPr>
          <w:p w14:paraId="16B68A0A" w14:textId="77777777" w:rsidR="00BD57F3" w:rsidRPr="00221CD3" w:rsidRDefault="00BD57F3" w:rsidP="00221CD3">
            <w:pPr>
              <w:widowControl/>
              <w:jc w:val="center"/>
              <w:rPr>
                <w:snapToGrid/>
                <w:color w:val="000000"/>
                <w:kern w:val="0"/>
                <w:szCs w:val="22"/>
              </w:rPr>
            </w:pPr>
            <w:r w:rsidRPr="00221CD3">
              <w:rPr>
                <w:snapToGrid/>
                <w:color w:val="000000"/>
                <w:kern w:val="0"/>
                <w:szCs w:val="22"/>
              </w:rPr>
              <w:t>371540</w:t>
            </w:r>
          </w:p>
        </w:tc>
        <w:tc>
          <w:tcPr>
            <w:tcW w:w="3060" w:type="dxa"/>
            <w:tcBorders>
              <w:top w:val="nil"/>
              <w:left w:val="nil"/>
              <w:bottom w:val="nil"/>
              <w:right w:val="nil"/>
            </w:tcBorders>
            <w:shd w:val="clear" w:color="auto" w:fill="auto"/>
            <w:vAlign w:val="bottom"/>
            <w:hideMark/>
          </w:tcPr>
          <w:p w14:paraId="73DA4F7C" w14:textId="77777777" w:rsidR="00BD57F3" w:rsidRPr="00221CD3" w:rsidRDefault="00BD57F3" w:rsidP="00221CD3">
            <w:pPr>
              <w:widowControl/>
              <w:jc w:val="center"/>
              <w:rPr>
                <w:snapToGrid/>
                <w:color w:val="000000"/>
                <w:kern w:val="0"/>
                <w:szCs w:val="22"/>
              </w:rPr>
            </w:pPr>
            <w:r w:rsidRPr="00221CD3">
              <w:rPr>
                <w:snapToGrid/>
                <w:color w:val="000000"/>
                <w:kern w:val="0"/>
                <w:szCs w:val="22"/>
              </w:rPr>
              <w:t>DILLER TEL CO</w:t>
            </w:r>
          </w:p>
        </w:tc>
        <w:tc>
          <w:tcPr>
            <w:tcW w:w="1559" w:type="dxa"/>
            <w:tcBorders>
              <w:top w:val="nil"/>
              <w:left w:val="nil"/>
              <w:bottom w:val="nil"/>
              <w:right w:val="nil"/>
            </w:tcBorders>
            <w:shd w:val="clear" w:color="auto" w:fill="auto"/>
            <w:vAlign w:val="bottom"/>
            <w:hideMark/>
          </w:tcPr>
          <w:p w14:paraId="19284E8C" w14:textId="77777777" w:rsidR="00BD57F3" w:rsidRPr="00221CD3" w:rsidRDefault="00BD57F3" w:rsidP="00221CD3">
            <w:pPr>
              <w:widowControl/>
              <w:jc w:val="center"/>
              <w:rPr>
                <w:snapToGrid/>
                <w:color w:val="000000"/>
                <w:kern w:val="0"/>
                <w:szCs w:val="22"/>
              </w:rPr>
            </w:pPr>
            <w:r w:rsidRPr="00221CD3">
              <w:rPr>
                <w:snapToGrid/>
                <w:color w:val="000000"/>
                <w:kern w:val="0"/>
                <w:szCs w:val="22"/>
              </w:rPr>
              <w:t>852.49</w:t>
            </w:r>
          </w:p>
        </w:tc>
        <w:tc>
          <w:tcPr>
            <w:tcW w:w="1681" w:type="dxa"/>
            <w:tcBorders>
              <w:top w:val="nil"/>
              <w:left w:val="nil"/>
              <w:bottom w:val="nil"/>
              <w:right w:val="nil"/>
            </w:tcBorders>
            <w:shd w:val="clear" w:color="auto" w:fill="auto"/>
            <w:vAlign w:val="bottom"/>
            <w:hideMark/>
          </w:tcPr>
          <w:p w14:paraId="3A5A0622" w14:textId="77777777" w:rsidR="00BD57F3" w:rsidRPr="00221CD3" w:rsidRDefault="00BD57F3" w:rsidP="00221CD3">
            <w:pPr>
              <w:widowControl/>
              <w:jc w:val="center"/>
              <w:rPr>
                <w:snapToGrid/>
                <w:color w:val="000000"/>
                <w:kern w:val="0"/>
                <w:szCs w:val="22"/>
              </w:rPr>
            </w:pPr>
            <w:r w:rsidRPr="00221CD3">
              <w:rPr>
                <w:snapToGrid/>
                <w:color w:val="000000"/>
                <w:kern w:val="0"/>
                <w:szCs w:val="22"/>
              </w:rPr>
              <w:t>3.12</w:t>
            </w:r>
          </w:p>
        </w:tc>
      </w:tr>
      <w:tr w:rsidR="00BD57F3" w:rsidRPr="00221CD3" w14:paraId="54C3585A" w14:textId="77777777" w:rsidTr="00221CD3">
        <w:trPr>
          <w:trHeight w:val="288"/>
        </w:trPr>
        <w:tc>
          <w:tcPr>
            <w:tcW w:w="1440" w:type="dxa"/>
            <w:tcBorders>
              <w:top w:val="nil"/>
              <w:left w:val="nil"/>
              <w:bottom w:val="nil"/>
              <w:right w:val="nil"/>
            </w:tcBorders>
            <w:shd w:val="clear" w:color="auto" w:fill="auto"/>
            <w:vAlign w:val="bottom"/>
            <w:hideMark/>
          </w:tcPr>
          <w:p w14:paraId="5C795FC6" w14:textId="77777777" w:rsidR="00BD57F3" w:rsidRPr="00221CD3" w:rsidRDefault="00BD57F3" w:rsidP="00221CD3">
            <w:pPr>
              <w:widowControl/>
              <w:jc w:val="center"/>
              <w:rPr>
                <w:snapToGrid/>
                <w:color w:val="000000"/>
                <w:kern w:val="0"/>
                <w:szCs w:val="22"/>
              </w:rPr>
            </w:pPr>
            <w:r w:rsidRPr="00221CD3">
              <w:rPr>
                <w:snapToGrid/>
                <w:color w:val="000000"/>
                <w:kern w:val="0"/>
                <w:szCs w:val="22"/>
              </w:rPr>
              <w:t>411764</w:t>
            </w:r>
          </w:p>
        </w:tc>
        <w:tc>
          <w:tcPr>
            <w:tcW w:w="3060" w:type="dxa"/>
            <w:tcBorders>
              <w:top w:val="nil"/>
              <w:left w:val="nil"/>
              <w:bottom w:val="nil"/>
              <w:right w:val="nil"/>
            </w:tcBorders>
            <w:shd w:val="clear" w:color="auto" w:fill="auto"/>
            <w:vAlign w:val="bottom"/>
            <w:hideMark/>
          </w:tcPr>
          <w:p w14:paraId="375C0626" w14:textId="77777777" w:rsidR="00BD57F3" w:rsidRPr="00221CD3" w:rsidRDefault="00BD57F3" w:rsidP="00221CD3">
            <w:pPr>
              <w:widowControl/>
              <w:jc w:val="center"/>
              <w:rPr>
                <w:snapToGrid/>
                <w:color w:val="000000"/>
                <w:kern w:val="0"/>
                <w:szCs w:val="22"/>
              </w:rPr>
            </w:pPr>
            <w:r w:rsidRPr="00221CD3">
              <w:rPr>
                <w:snapToGrid/>
                <w:color w:val="000000"/>
                <w:kern w:val="0"/>
                <w:szCs w:val="22"/>
              </w:rPr>
              <w:t>ELKHART TEL CO INC</w:t>
            </w:r>
          </w:p>
        </w:tc>
        <w:tc>
          <w:tcPr>
            <w:tcW w:w="1559" w:type="dxa"/>
            <w:tcBorders>
              <w:top w:val="nil"/>
              <w:left w:val="nil"/>
              <w:bottom w:val="nil"/>
              <w:right w:val="nil"/>
            </w:tcBorders>
            <w:shd w:val="clear" w:color="auto" w:fill="auto"/>
            <w:vAlign w:val="bottom"/>
            <w:hideMark/>
          </w:tcPr>
          <w:p w14:paraId="6064A3C3"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1,132.27</w:t>
            </w:r>
          </w:p>
        </w:tc>
        <w:tc>
          <w:tcPr>
            <w:tcW w:w="1681" w:type="dxa"/>
            <w:tcBorders>
              <w:top w:val="nil"/>
              <w:left w:val="nil"/>
              <w:bottom w:val="nil"/>
              <w:right w:val="nil"/>
            </w:tcBorders>
            <w:shd w:val="clear" w:color="auto" w:fill="auto"/>
            <w:vAlign w:val="bottom"/>
            <w:hideMark/>
          </w:tcPr>
          <w:p w14:paraId="0FEB6661" w14:textId="77777777" w:rsidR="00BD57F3" w:rsidRPr="00221CD3" w:rsidRDefault="00BD57F3" w:rsidP="00221CD3">
            <w:pPr>
              <w:widowControl/>
              <w:jc w:val="center"/>
              <w:rPr>
                <w:snapToGrid/>
                <w:color w:val="000000"/>
                <w:kern w:val="0"/>
                <w:szCs w:val="22"/>
              </w:rPr>
            </w:pPr>
            <w:r w:rsidRPr="00221CD3">
              <w:rPr>
                <w:snapToGrid/>
                <w:color w:val="000000"/>
                <w:kern w:val="0"/>
                <w:szCs w:val="22"/>
              </w:rPr>
              <w:t>5.00</w:t>
            </w:r>
          </w:p>
        </w:tc>
      </w:tr>
      <w:tr w:rsidR="00BD57F3" w:rsidRPr="00221CD3" w14:paraId="791C1564" w14:textId="77777777" w:rsidTr="00221CD3">
        <w:trPr>
          <w:trHeight w:val="288"/>
        </w:trPr>
        <w:tc>
          <w:tcPr>
            <w:tcW w:w="1440" w:type="dxa"/>
            <w:tcBorders>
              <w:top w:val="nil"/>
              <w:left w:val="nil"/>
              <w:bottom w:val="nil"/>
              <w:right w:val="nil"/>
            </w:tcBorders>
            <w:shd w:val="clear" w:color="auto" w:fill="auto"/>
            <w:vAlign w:val="bottom"/>
            <w:hideMark/>
          </w:tcPr>
          <w:p w14:paraId="6521489D" w14:textId="77777777" w:rsidR="00BD57F3" w:rsidRPr="00221CD3" w:rsidRDefault="00BD57F3" w:rsidP="00221CD3">
            <w:pPr>
              <w:widowControl/>
              <w:jc w:val="center"/>
              <w:rPr>
                <w:snapToGrid/>
                <w:color w:val="000000"/>
                <w:kern w:val="0"/>
                <w:szCs w:val="22"/>
              </w:rPr>
            </w:pPr>
            <w:r w:rsidRPr="00221CD3">
              <w:rPr>
                <w:snapToGrid/>
                <w:color w:val="000000"/>
                <w:kern w:val="0"/>
                <w:szCs w:val="22"/>
              </w:rPr>
              <w:t>411833</w:t>
            </w:r>
          </w:p>
        </w:tc>
        <w:tc>
          <w:tcPr>
            <w:tcW w:w="3060" w:type="dxa"/>
            <w:tcBorders>
              <w:top w:val="nil"/>
              <w:left w:val="nil"/>
              <w:bottom w:val="nil"/>
              <w:right w:val="nil"/>
            </w:tcBorders>
            <w:shd w:val="clear" w:color="auto" w:fill="auto"/>
            <w:vAlign w:val="bottom"/>
            <w:hideMark/>
          </w:tcPr>
          <w:p w14:paraId="48EB99A8" w14:textId="77777777" w:rsidR="00BD57F3" w:rsidRPr="00221CD3" w:rsidRDefault="00BD57F3" w:rsidP="00221CD3">
            <w:pPr>
              <w:widowControl/>
              <w:jc w:val="center"/>
              <w:rPr>
                <w:snapToGrid/>
                <w:color w:val="000000"/>
                <w:kern w:val="0"/>
                <w:szCs w:val="22"/>
              </w:rPr>
            </w:pPr>
            <w:r w:rsidRPr="00221CD3">
              <w:rPr>
                <w:snapToGrid/>
                <w:color w:val="000000"/>
                <w:kern w:val="0"/>
                <w:szCs w:val="22"/>
              </w:rPr>
              <w:t>SOUTHERN KANSAS TEL</w:t>
            </w:r>
          </w:p>
        </w:tc>
        <w:tc>
          <w:tcPr>
            <w:tcW w:w="1559" w:type="dxa"/>
            <w:tcBorders>
              <w:top w:val="nil"/>
              <w:left w:val="nil"/>
              <w:bottom w:val="nil"/>
              <w:right w:val="nil"/>
            </w:tcBorders>
            <w:shd w:val="clear" w:color="auto" w:fill="auto"/>
            <w:vAlign w:val="bottom"/>
            <w:hideMark/>
          </w:tcPr>
          <w:p w14:paraId="1172AE15" w14:textId="77777777" w:rsidR="00BD57F3" w:rsidRPr="00221CD3" w:rsidRDefault="00BD57F3" w:rsidP="00221CD3">
            <w:pPr>
              <w:widowControl/>
              <w:jc w:val="center"/>
              <w:rPr>
                <w:snapToGrid/>
                <w:color w:val="000000"/>
                <w:kern w:val="0"/>
                <w:szCs w:val="22"/>
              </w:rPr>
            </w:pPr>
            <w:r w:rsidRPr="00221CD3">
              <w:rPr>
                <w:snapToGrid/>
                <w:color w:val="000000"/>
                <w:kern w:val="0"/>
                <w:szCs w:val="22"/>
              </w:rPr>
              <w:t>4,591.40</w:t>
            </w:r>
          </w:p>
        </w:tc>
        <w:tc>
          <w:tcPr>
            <w:tcW w:w="1681" w:type="dxa"/>
            <w:tcBorders>
              <w:top w:val="nil"/>
              <w:left w:val="nil"/>
              <w:bottom w:val="nil"/>
              <w:right w:val="nil"/>
            </w:tcBorders>
            <w:shd w:val="clear" w:color="auto" w:fill="auto"/>
            <w:vAlign w:val="bottom"/>
            <w:hideMark/>
          </w:tcPr>
          <w:p w14:paraId="778D0C41" w14:textId="77777777" w:rsidR="00BD57F3" w:rsidRPr="00221CD3" w:rsidRDefault="00BD57F3" w:rsidP="00221CD3">
            <w:pPr>
              <w:widowControl/>
              <w:jc w:val="center"/>
              <w:rPr>
                <w:snapToGrid/>
                <w:color w:val="000000"/>
                <w:kern w:val="0"/>
                <w:szCs w:val="22"/>
              </w:rPr>
            </w:pPr>
            <w:r w:rsidRPr="00221CD3">
              <w:rPr>
                <w:snapToGrid/>
                <w:color w:val="000000"/>
                <w:kern w:val="0"/>
                <w:szCs w:val="22"/>
              </w:rPr>
              <w:t>3.18</w:t>
            </w:r>
          </w:p>
        </w:tc>
      </w:tr>
      <w:tr w:rsidR="00BD57F3" w:rsidRPr="00221CD3" w14:paraId="101E3C4B" w14:textId="77777777" w:rsidTr="00221CD3">
        <w:trPr>
          <w:trHeight w:val="288"/>
        </w:trPr>
        <w:tc>
          <w:tcPr>
            <w:tcW w:w="1440" w:type="dxa"/>
            <w:tcBorders>
              <w:top w:val="nil"/>
              <w:left w:val="nil"/>
              <w:bottom w:val="nil"/>
              <w:right w:val="nil"/>
            </w:tcBorders>
            <w:shd w:val="clear" w:color="auto" w:fill="auto"/>
            <w:vAlign w:val="bottom"/>
            <w:hideMark/>
          </w:tcPr>
          <w:p w14:paraId="456DA03A" w14:textId="77777777" w:rsidR="00BD57F3" w:rsidRPr="00221CD3" w:rsidRDefault="00BD57F3" w:rsidP="00221CD3">
            <w:pPr>
              <w:widowControl/>
              <w:jc w:val="center"/>
              <w:rPr>
                <w:snapToGrid/>
                <w:color w:val="000000"/>
                <w:kern w:val="0"/>
                <w:szCs w:val="22"/>
              </w:rPr>
            </w:pPr>
            <w:r w:rsidRPr="00221CD3">
              <w:rPr>
                <w:snapToGrid/>
                <w:color w:val="000000"/>
                <w:kern w:val="0"/>
                <w:szCs w:val="22"/>
              </w:rPr>
              <w:t>442130</w:t>
            </w:r>
          </w:p>
        </w:tc>
        <w:tc>
          <w:tcPr>
            <w:tcW w:w="3060" w:type="dxa"/>
            <w:tcBorders>
              <w:top w:val="nil"/>
              <w:left w:val="nil"/>
              <w:bottom w:val="nil"/>
              <w:right w:val="nil"/>
            </w:tcBorders>
            <w:shd w:val="clear" w:color="auto" w:fill="auto"/>
            <w:vAlign w:val="bottom"/>
            <w:hideMark/>
          </w:tcPr>
          <w:p w14:paraId="19A8B780" w14:textId="413C2E9E" w:rsidR="00BD57F3" w:rsidRPr="00221CD3" w:rsidRDefault="00BD57F3" w:rsidP="00221CD3">
            <w:pPr>
              <w:widowControl/>
              <w:jc w:val="center"/>
              <w:rPr>
                <w:snapToGrid/>
                <w:color w:val="000000"/>
                <w:kern w:val="0"/>
                <w:szCs w:val="22"/>
              </w:rPr>
            </w:pPr>
            <w:r w:rsidRPr="00221CD3">
              <w:rPr>
                <w:snapToGrid/>
                <w:color w:val="000000"/>
                <w:kern w:val="0"/>
                <w:szCs w:val="22"/>
              </w:rPr>
              <w:t>PEOPLES TEL CO</w:t>
            </w:r>
            <w:r w:rsidR="00786FF7">
              <w:rPr>
                <w:snapToGrid/>
                <w:color w:val="000000"/>
                <w:kern w:val="0"/>
                <w:szCs w:val="22"/>
              </w:rPr>
              <w:t>-</w:t>
            </w:r>
            <w:r w:rsidRPr="00221CD3">
              <w:rPr>
                <w:snapToGrid/>
                <w:color w:val="000000"/>
                <w:kern w:val="0"/>
                <w:szCs w:val="22"/>
              </w:rPr>
              <w:t>OP</w:t>
            </w:r>
            <w:r w:rsidR="00786FF7">
              <w:rPr>
                <w:snapToGrid/>
                <w:color w:val="000000"/>
                <w:kern w:val="0"/>
                <w:szCs w:val="22"/>
              </w:rPr>
              <w:t xml:space="preserve">  ̶  </w:t>
            </w:r>
            <w:r w:rsidRPr="00221CD3">
              <w:rPr>
                <w:snapToGrid/>
                <w:color w:val="000000"/>
                <w:kern w:val="0"/>
                <w:szCs w:val="22"/>
              </w:rPr>
              <w:t>TX</w:t>
            </w:r>
          </w:p>
        </w:tc>
        <w:tc>
          <w:tcPr>
            <w:tcW w:w="1559" w:type="dxa"/>
            <w:tcBorders>
              <w:top w:val="nil"/>
              <w:left w:val="nil"/>
              <w:bottom w:val="nil"/>
              <w:right w:val="nil"/>
            </w:tcBorders>
            <w:shd w:val="clear" w:color="auto" w:fill="auto"/>
            <w:vAlign w:val="bottom"/>
            <w:hideMark/>
          </w:tcPr>
          <w:p w14:paraId="78946896"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13,882.71</w:t>
            </w:r>
          </w:p>
        </w:tc>
        <w:tc>
          <w:tcPr>
            <w:tcW w:w="1681" w:type="dxa"/>
            <w:tcBorders>
              <w:top w:val="nil"/>
              <w:left w:val="nil"/>
              <w:bottom w:val="nil"/>
              <w:right w:val="nil"/>
            </w:tcBorders>
            <w:shd w:val="clear" w:color="auto" w:fill="auto"/>
            <w:vAlign w:val="bottom"/>
            <w:hideMark/>
          </w:tcPr>
          <w:p w14:paraId="707D4072"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17.26</w:t>
            </w:r>
          </w:p>
        </w:tc>
      </w:tr>
      <w:tr w:rsidR="00BD57F3" w:rsidRPr="00221CD3" w14:paraId="4F51C145" w14:textId="77777777" w:rsidTr="00221CD3">
        <w:trPr>
          <w:trHeight w:val="288"/>
        </w:trPr>
        <w:tc>
          <w:tcPr>
            <w:tcW w:w="1440" w:type="dxa"/>
            <w:tcBorders>
              <w:top w:val="nil"/>
              <w:left w:val="nil"/>
              <w:bottom w:val="nil"/>
              <w:right w:val="nil"/>
            </w:tcBorders>
            <w:shd w:val="clear" w:color="auto" w:fill="auto"/>
            <w:vAlign w:val="bottom"/>
            <w:hideMark/>
          </w:tcPr>
          <w:p w14:paraId="72FBCBDB" w14:textId="77777777" w:rsidR="00BD57F3" w:rsidRPr="00221CD3" w:rsidRDefault="00BD57F3" w:rsidP="00221CD3">
            <w:pPr>
              <w:widowControl/>
              <w:jc w:val="center"/>
              <w:rPr>
                <w:snapToGrid/>
                <w:color w:val="000000"/>
                <w:kern w:val="0"/>
                <w:szCs w:val="22"/>
              </w:rPr>
            </w:pPr>
            <w:r w:rsidRPr="00221CD3">
              <w:rPr>
                <w:snapToGrid/>
                <w:color w:val="000000"/>
                <w:kern w:val="0"/>
                <w:szCs w:val="22"/>
              </w:rPr>
              <w:t>442151</w:t>
            </w:r>
          </w:p>
        </w:tc>
        <w:tc>
          <w:tcPr>
            <w:tcW w:w="3060" w:type="dxa"/>
            <w:tcBorders>
              <w:top w:val="nil"/>
              <w:left w:val="nil"/>
              <w:bottom w:val="nil"/>
              <w:right w:val="nil"/>
            </w:tcBorders>
            <w:shd w:val="clear" w:color="auto" w:fill="auto"/>
            <w:vAlign w:val="bottom"/>
            <w:hideMark/>
          </w:tcPr>
          <w:p w14:paraId="40C87CC1" w14:textId="77777777" w:rsidR="00BD57F3" w:rsidRPr="00221CD3" w:rsidRDefault="00BD57F3" w:rsidP="00221CD3">
            <w:pPr>
              <w:widowControl/>
              <w:jc w:val="center"/>
              <w:rPr>
                <w:snapToGrid/>
                <w:color w:val="000000"/>
                <w:kern w:val="0"/>
                <w:szCs w:val="22"/>
              </w:rPr>
            </w:pPr>
            <w:r w:rsidRPr="00221CD3">
              <w:rPr>
                <w:snapToGrid/>
                <w:color w:val="000000"/>
                <w:kern w:val="0"/>
                <w:szCs w:val="22"/>
              </w:rPr>
              <w:t>TAYLOR TEL CO-OP INC</w:t>
            </w:r>
          </w:p>
        </w:tc>
        <w:tc>
          <w:tcPr>
            <w:tcW w:w="1559" w:type="dxa"/>
            <w:tcBorders>
              <w:top w:val="nil"/>
              <w:left w:val="nil"/>
              <w:bottom w:val="nil"/>
              <w:right w:val="nil"/>
            </w:tcBorders>
            <w:shd w:val="clear" w:color="auto" w:fill="auto"/>
            <w:vAlign w:val="bottom"/>
            <w:hideMark/>
          </w:tcPr>
          <w:p w14:paraId="6666DD0A" w14:textId="77777777" w:rsidR="00BD57F3" w:rsidRPr="00221CD3" w:rsidRDefault="00BD57F3" w:rsidP="00221CD3">
            <w:pPr>
              <w:widowControl/>
              <w:jc w:val="center"/>
              <w:rPr>
                <w:snapToGrid/>
                <w:color w:val="000000"/>
                <w:kern w:val="0"/>
                <w:szCs w:val="22"/>
              </w:rPr>
            </w:pPr>
            <w:r w:rsidRPr="00221CD3">
              <w:rPr>
                <w:snapToGrid/>
                <w:color w:val="000000"/>
                <w:kern w:val="0"/>
                <w:szCs w:val="22"/>
              </w:rPr>
              <w:t>7,623.68</w:t>
            </w:r>
          </w:p>
        </w:tc>
        <w:tc>
          <w:tcPr>
            <w:tcW w:w="1681" w:type="dxa"/>
            <w:tcBorders>
              <w:top w:val="nil"/>
              <w:left w:val="nil"/>
              <w:bottom w:val="nil"/>
              <w:right w:val="nil"/>
            </w:tcBorders>
            <w:shd w:val="clear" w:color="auto" w:fill="auto"/>
            <w:vAlign w:val="bottom"/>
            <w:hideMark/>
          </w:tcPr>
          <w:p w14:paraId="133ABC2D" w14:textId="77777777" w:rsidR="00BD57F3" w:rsidRPr="00221CD3" w:rsidRDefault="00BD57F3" w:rsidP="00221CD3">
            <w:pPr>
              <w:widowControl/>
              <w:jc w:val="center"/>
              <w:rPr>
                <w:snapToGrid/>
                <w:color w:val="000000"/>
                <w:kern w:val="0"/>
                <w:szCs w:val="22"/>
              </w:rPr>
            </w:pPr>
            <w:r w:rsidRPr="00221CD3">
              <w:rPr>
                <w:snapToGrid/>
                <w:color w:val="000000"/>
                <w:kern w:val="0"/>
                <w:szCs w:val="22"/>
              </w:rPr>
              <w:t>3.86</w:t>
            </w:r>
          </w:p>
        </w:tc>
      </w:tr>
      <w:tr w:rsidR="00BD57F3" w:rsidRPr="00221CD3" w14:paraId="6E39AB0A" w14:textId="77777777" w:rsidTr="00221CD3">
        <w:trPr>
          <w:trHeight w:val="288"/>
        </w:trPr>
        <w:tc>
          <w:tcPr>
            <w:tcW w:w="1440" w:type="dxa"/>
            <w:tcBorders>
              <w:top w:val="nil"/>
              <w:left w:val="nil"/>
              <w:bottom w:val="nil"/>
              <w:right w:val="nil"/>
            </w:tcBorders>
            <w:shd w:val="clear" w:color="auto" w:fill="auto"/>
            <w:vAlign w:val="bottom"/>
            <w:hideMark/>
          </w:tcPr>
          <w:p w14:paraId="0E705361" w14:textId="77777777" w:rsidR="00BD57F3" w:rsidRPr="00221CD3" w:rsidRDefault="00BD57F3" w:rsidP="00221CD3">
            <w:pPr>
              <w:widowControl/>
              <w:jc w:val="center"/>
              <w:rPr>
                <w:snapToGrid/>
                <w:color w:val="000000"/>
                <w:kern w:val="0"/>
                <w:szCs w:val="22"/>
              </w:rPr>
            </w:pPr>
            <w:r w:rsidRPr="00221CD3">
              <w:rPr>
                <w:snapToGrid/>
                <w:color w:val="000000"/>
                <w:kern w:val="0"/>
                <w:szCs w:val="22"/>
              </w:rPr>
              <w:t>512251</w:t>
            </w:r>
          </w:p>
        </w:tc>
        <w:tc>
          <w:tcPr>
            <w:tcW w:w="3060" w:type="dxa"/>
            <w:tcBorders>
              <w:top w:val="nil"/>
              <w:left w:val="nil"/>
              <w:bottom w:val="nil"/>
              <w:right w:val="nil"/>
            </w:tcBorders>
            <w:shd w:val="clear" w:color="auto" w:fill="auto"/>
            <w:vAlign w:val="bottom"/>
            <w:hideMark/>
          </w:tcPr>
          <w:p w14:paraId="063B6584" w14:textId="20ED56E6" w:rsidR="00BD57F3" w:rsidRPr="00221CD3" w:rsidRDefault="00BD57F3" w:rsidP="00786FF7">
            <w:pPr>
              <w:widowControl/>
              <w:jc w:val="center"/>
              <w:rPr>
                <w:snapToGrid/>
                <w:color w:val="000000"/>
                <w:kern w:val="0"/>
                <w:szCs w:val="22"/>
              </w:rPr>
            </w:pPr>
            <w:r w:rsidRPr="00221CD3">
              <w:rPr>
                <w:snapToGrid/>
                <w:color w:val="000000"/>
                <w:kern w:val="0"/>
                <w:szCs w:val="22"/>
              </w:rPr>
              <w:t>RANGE TEL COOP</w:t>
            </w:r>
            <w:r w:rsidR="00786FF7">
              <w:rPr>
                <w:snapToGrid/>
                <w:color w:val="000000"/>
                <w:kern w:val="0"/>
                <w:szCs w:val="22"/>
              </w:rPr>
              <w:t xml:space="preserve">  ̶  </w:t>
            </w:r>
            <w:r w:rsidRPr="00221CD3">
              <w:rPr>
                <w:snapToGrid/>
                <w:color w:val="000000"/>
                <w:kern w:val="0"/>
                <w:szCs w:val="22"/>
              </w:rPr>
              <w:t>WY</w:t>
            </w:r>
          </w:p>
        </w:tc>
        <w:tc>
          <w:tcPr>
            <w:tcW w:w="1559" w:type="dxa"/>
            <w:tcBorders>
              <w:top w:val="nil"/>
              <w:left w:val="nil"/>
              <w:bottom w:val="nil"/>
              <w:right w:val="nil"/>
            </w:tcBorders>
            <w:shd w:val="clear" w:color="auto" w:fill="auto"/>
            <w:vAlign w:val="bottom"/>
            <w:hideMark/>
          </w:tcPr>
          <w:p w14:paraId="2FB2320D"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17,167.25</w:t>
            </w:r>
          </w:p>
        </w:tc>
        <w:tc>
          <w:tcPr>
            <w:tcW w:w="1681" w:type="dxa"/>
            <w:tcBorders>
              <w:top w:val="nil"/>
              <w:left w:val="nil"/>
              <w:bottom w:val="nil"/>
              <w:right w:val="nil"/>
            </w:tcBorders>
            <w:shd w:val="clear" w:color="auto" w:fill="auto"/>
            <w:vAlign w:val="bottom"/>
            <w:hideMark/>
          </w:tcPr>
          <w:p w14:paraId="6236DFEE"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1.33</w:t>
            </w:r>
          </w:p>
        </w:tc>
      </w:tr>
      <w:tr w:rsidR="00BD57F3" w:rsidRPr="00221CD3" w14:paraId="1527BDDE" w14:textId="77777777" w:rsidTr="00221CD3">
        <w:trPr>
          <w:trHeight w:val="288"/>
        </w:trPr>
        <w:tc>
          <w:tcPr>
            <w:tcW w:w="1440" w:type="dxa"/>
            <w:tcBorders>
              <w:top w:val="nil"/>
              <w:left w:val="nil"/>
              <w:bottom w:val="nil"/>
              <w:right w:val="nil"/>
            </w:tcBorders>
            <w:shd w:val="clear" w:color="auto" w:fill="auto"/>
            <w:vAlign w:val="bottom"/>
            <w:hideMark/>
          </w:tcPr>
          <w:p w14:paraId="356388F5" w14:textId="77777777" w:rsidR="00BD57F3" w:rsidRPr="00221CD3" w:rsidRDefault="00BD57F3" w:rsidP="00221CD3">
            <w:pPr>
              <w:widowControl/>
              <w:jc w:val="center"/>
              <w:rPr>
                <w:snapToGrid/>
                <w:color w:val="000000"/>
                <w:kern w:val="0"/>
                <w:szCs w:val="22"/>
              </w:rPr>
            </w:pPr>
            <w:r w:rsidRPr="00221CD3">
              <w:rPr>
                <w:snapToGrid/>
                <w:color w:val="000000"/>
                <w:kern w:val="0"/>
                <w:szCs w:val="22"/>
              </w:rPr>
              <w:t>522404</w:t>
            </w:r>
          </w:p>
        </w:tc>
        <w:tc>
          <w:tcPr>
            <w:tcW w:w="3060" w:type="dxa"/>
            <w:tcBorders>
              <w:top w:val="nil"/>
              <w:left w:val="nil"/>
              <w:bottom w:val="nil"/>
              <w:right w:val="nil"/>
            </w:tcBorders>
            <w:shd w:val="clear" w:color="auto" w:fill="auto"/>
            <w:vAlign w:val="bottom"/>
            <w:hideMark/>
          </w:tcPr>
          <w:p w14:paraId="4689EF41" w14:textId="5A30EF20" w:rsidR="00BD57F3" w:rsidRPr="00221CD3" w:rsidRDefault="00BD57F3" w:rsidP="00221CD3">
            <w:pPr>
              <w:widowControl/>
              <w:jc w:val="center"/>
              <w:rPr>
                <w:snapToGrid/>
                <w:color w:val="000000"/>
                <w:kern w:val="0"/>
                <w:szCs w:val="22"/>
              </w:rPr>
            </w:pPr>
            <w:r w:rsidRPr="00221CD3">
              <w:rPr>
                <w:snapToGrid/>
                <w:color w:val="000000"/>
                <w:kern w:val="0"/>
                <w:szCs w:val="22"/>
              </w:rPr>
              <w:t>ASOTIN TEL</w:t>
            </w:r>
            <w:r w:rsidR="00786FF7">
              <w:rPr>
                <w:snapToGrid/>
                <w:color w:val="000000"/>
                <w:kern w:val="0"/>
                <w:szCs w:val="22"/>
              </w:rPr>
              <w:t xml:space="preserve">  ̶  </w:t>
            </w:r>
            <w:r w:rsidRPr="00221CD3">
              <w:rPr>
                <w:snapToGrid/>
                <w:color w:val="000000"/>
                <w:kern w:val="0"/>
                <w:szCs w:val="22"/>
              </w:rPr>
              <w:t>WA</w:t>
            </w:r>
          </w:p>
        </w:tc>
        <w:tc>
          <w:tcPr>
            <w:tcW w:w="1559" w:type="dxa"/>
            <w:tcBorders>
              <w:top w:val="nil"/>
              <w:left w:val="nil"/>
              <w:bottom w:val="nil"/>
              <w:right w:val="nil"/>
            </w:tcBorders>
            <w:shd w:val="clear" w:color="auto" w:fill="auto"/>
            <w:vAlign w:val="bottom"/>
            <w:hideMark/>
          </w:tcPr>
          <w:p w14:paraId="34AC58B2"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1,221.40</w:t>
            </w:r>
          </w:p>
        </w:tc>
        <w:tc>
          <w:tcPr>
            <w:tcW w:w="1681" w:type="dxa"/>
            <w:tcBorders>
              <w:top w:val="nil"/>
              <w:left w:val="nil"/>
              <w:bottom w:val="nil"/>
              <w:right w:val="nil"/>
            </w:tcBorders>
            <w:shd w:val="clear" w:color="auto" w:fill="auto"/>
            <w:vAlign w:val="bottom"/>
            <w:hideMark/>
          </w:tcPr>
          <w:p w14:paraId="52D37476" w14:textId="77777777" w:rsidR="00BD57F3" w:rsidRPr="00221CD3" w:rsidRDefault="00BD57F3" w:rsidP="00221CD3">
            <w:pPr>
              <w:widowControl/>
              <w:jc w:val="center"/>
              <w:rPr>
                <w:snapToGrid/>
                <w:color w:val="000000"/>
                <w:kern w:val="0"/>
                <w:szCs w:val="22"/>
              </w:rPr>
            </w:pPr>
            <w:r w:rsidRPr="00221CD3">
              <w:rPr>
                <w:snapToGrid/>
                <w:color w:val="000000"/>
                <w:kern w:val="0"/>
                <w:szCs w:val="22"/>
              </w:rPr>
              <w:t>3.90</w:t>
            </w:r>
          </w:p>
        </w:tc>
      </w:tr>
      <w:tr w:rsidR="00BD57F3" w:rsidRPr="00221CD3" w14:paraId="316B9E26" w14:textId="77777777" w:rsidTr="00221CD3">
        <w:trPr>
          <w:trHeight w:val="288"/>
        </w:trPr>
        <w:tc>
          <w:tcPr>
            <w:tcW w:w="1440" w:type="dxa"/>
            <w:tcBorders>
              <w:top w:val="nil"/>
              <w:left w:val="nil"/>
              <w:bottom w:val="nil"/>
              <w:right w:val="nil"/>
            </w:tcBorders>
            <w:shd w:val="clear" w:color="auto" w:fill="auto"/>
            <w:vAlign w:val="bottom"/>
            <w:hideMark/>
          </w:tcPr>
          <w:p w14:paraId="30ABAFD0" w14:textId="77777777" w:rsidR="00BD57F3" w:rsidRPr="00221CD3" w:rsidRDefault="00BD57F3" w:rsidP="00221CD3">
            <w:pPr>
              <w:widowControl/>
              <w:jc w:val="center"/>
              <w:rPr>
                <w:snapToGrid/>
                <w:color w:val="000000"/>
                <w:kern w:val="0"/>
                <w:szCs w:val="22"/>
              </w:rPr>
            </w:pPr>
            <w:r w:rsidRPr="00221CD3">
              <w:rPr>
                <w:snapToGrid/>
                <w:color w:val="000000"/>
                <w:kern w:val="0"/>
                <w:szCs w:val="22"/>
              </w:rPr>
              <w:t>552356</w:t>
            </w:r>
          </w:p>
        </w:tc>
        <w:tc>
          <w:tcPr>
            <w:tcW w:w="3060" w:type="dxa"/>
            <w:tcBorders>
              <w:top w:val="nil"/>
              <w:left w:val="nil"/>
              <w:bottom w:val="nil"/>
              <w:right w:val="nil"/>
            </w:tcBorders>
            <w:shd w:val="clear" w:color="auto" w:fill="auto"/>
            <w:vAlign w:val="bottom"/>
            <w:hideMark/>
          </w:tcPr>
          <w:p w14:paraId="458480F3" w14:textId="77777777" w:rsidR="00BD57F3" w:rsidRPr="00221CD3" w:rsidRDefault="00BD57F3" w:rsidP="00221CD3">
            <w:pPr>
              <w:widowControl/>
              <w:jc w:val="center"/>
              <w:rPr>
                <w:snapToGrid/>
                <w:color w:val="000000"/>
                <w:kern w:val="0"/>
                <w:szCs w:val="22"/>
              </w:rPr>
            </w:pPr>
            <w:r w:rsidRPr="00221CD3">
              <w:rPr>
                <w:snapToGrid/>
                <w:color w:val="000000"/>
                <w:kern w:val="0"/>
                <w:szCs w:val="22"/>
              </w:rPr>
              <w:t>RIO VIRGIN TEL CO</w:t>
            </w:r>
          </w:p>
        </w:tc>
        <w:tc>
          <w:tcPr>
            <w:tcW w:w="1559" w:type="dxa"/>
            <w:tcBorders>
              <w:top w:val="nil"/>
              <w:left w:val="nil"/>
              <w:bottom w:val="nil"/>
              <w:right w:val="nil"/>
            </w:tcBorders>
            <w:shd w:val="clear" w:color="auto" w:fill="auto"/>
            <w:vAlign w:val="bottom"/>
            <w:hideMark/>
          </w:tcPr>
          <w:p w14:paraId="0753C193"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11,455.04</w:t>
            </w:r>
          </w:p>
        </w:tc>
        <w:tc>
          <w:tcPr>
            <w:tcW w:w="1681" w:type="dxa"/>
            <w:tcBorders>
              <w:top w:val="nil"/>
              <w:left w:val="nil"/>
              <w:bottom w:val="nil"/>
              <w:right w:val="nil"/>
            </w:tcBorders>
            <w:shd w:val="clear" w:color="auto" w:fill="auto"/>
            <w:vAlign w:val="bottom"/>
            <w:hideMark/>
          </w:tcPr>
          <w:p w14:paraId="3335C8F8" w14:textId="77777777" w:rsidR="00BD57F3" w:rsidRPr="00221CD3" w:rsidRDefault="00BD57F3" w:rsidP="00221CD3">
            <w:pPr>
              <w:widowControl/>
              <w:jc w:val="center"/>
              <w:rPr>
                <w:snapToGrid/>
                <w:color w:val="000000"/>
                <w:kern w:val="0"/>
                <w:szCs w:val="22"/>
              </w:rPr>
            </w:pPr>
            <w:r w:rsidRPr="00221CD3">
              <w:rPr>
                <w:snapToGrid/>
                <w:color w:val="000000"/>
                <w:kern w:val="0"/>
                <w:szCs w:val="22"/>
              </w:rPr>
              <w:t>17.43</w:t>
            </w:r>
          </w:p>
        </w:tc>
      </w:tr>
      <w:tr w:rsidR="00BD57F3" w:rsidRPr="00221CD3" w14:paraId="323F8E8F" w14:textId="77777777" w:rsidTr="00221CD3">
        <w:trPr>
          <w:trHeight w:val="288"/>
        </w:trPr>
        <w:tc>
          <w:tcPr>
            <w:tcW w:w="1440" w:type="dxa"/>
            <w:tcBorders>
              <w:top w:val="nil"/>
              <w:left w:val="nil"/>
              <w:bottom w:val="nil"/>
              <w:right w:val="nil"/>
            </w:tcBorders>
            <w:shd w:val="clear" w:color="auto" w:fill="auto"/>
            <w:vAlign w:val="bottom"/>
            <w:hideMark/>
          </w:tcPr>
          <w:p w14:paraId="089ED94C" w14:textId="77777777" w:rsidR="00BD57F3" w:rsidRPr="00221CD3" w:rsidRDefault="00BD57F3" w:rsidP="00221CD3">
            <w:pPr>
              <w:widowControl/>
              <w:jc w:val="center"/>
              <w:rPr>
                <w:snapToGrid/>
                <w:color w:val="000000"/>
                <w:kern w:val="0"/>
                <w:szCs w:val="22"/>
              </w:rPr>
            </w:pPr>
            <w:r w:rsidRPr="00221CD3">
              <w:rPr>
                <w:snapToGrid/>
                <w:color w:val="000000"/>
                <w:kern w:val="0"/>
                <w:szCs w:val="22"/>
              </w:rPr>
              <w:t>613015</w:t>
            </w:r>
          </w:p>
        </w:tc>
        <w:tc>
          <w:tcPr>
            <w:tcW w:w="3060" w:type="dxa"/>
            <w:tcBorders>
              <w:top w:val="nil"/>
              <w:left w:val="nil"/>
              <w:bottom w:val="nil"/>
              <w:right w:val="nil"/>
            </w:tcBorders>
            <w:shd w:val="clear" w:color="auto" w:fill="auto"/>
            <w:vAlign w:val="bottom"/>
            <w:hideMark/>
          </w:tcPr>
          <w:p w14:paraId="5102E2A5" w14:textId="77777777" w:rsidR="00BD57F3" w:rsidRPr="00221CD3" w:rsidRDefault="00BD57F3" w:rsidP="00221CD3">
            <w:pPr>
              <w:widowControl/>
              <w:jc w:val="center"/>
              <w:rPr>
                <w:snapToGrid/>
                <w:color w:val="000000"/>
                <w:kern w:val="0"/>
                <w:szCs w:val="22"/>
              </w:rPr>
            </w:pPr>
            <w:r w:rsidRPr="00221CD3">
              <w:rPr>
                <w:snapToGrid/>
                <w:color w:val="000000"/>
                <w:kern w:val="0"/>
                <w:szCs w:val="22"/>
              </w:rPr>
              <w:t>MATANUSKA TEL ASSOC</w:t>
            </w:r>
          </w:p>
        </w:tc>
        <w:tc>
          <w:tcPr>
            <w:tcW w:w="1559" w:type="dxa"/>
            <w:tcBorders>
              <w:top w:val="nil"/>
              <w:left w:val="nil"/>
              <w:bottom w:val="nil"/>
              <w:right w:val="nil"/>
            </w:tcBorders>
            <w:shd w:val="clear" w:color="auto" w:fill="auto"/>
            <w:vAlign w:val="bottom"/>
            <w:hideMark/>
          </w:tcPr>
          <w:p w14:paraId="76BDA9F5" w14:textId="77777777" w:rsidR="00BD57F3" w:rsidRPr="00221CD3" w:rsidRDefault="00BD57F3" w:rsidP="00221CD3">
            <w:pPr>
              <w:widowControl/>
              <w:jc w:val="center"/>
              <w:rPr>
                <w:snapToGrid/>
                <w:color w:val="000000"/>
                <w:kern w:val="0"/>
                <w:szCs w:val="22"/>
              </w:rPr>
            </w:pPr>
            <w:r w:rsidRPr="00221CD3">
              <w:rPr>
                <w:snapToGrid/>
                <w:color w:val="000000"/>
                <w:kern w:val="0"/>
                <w:szCs w:val="22"/>
              </w:rPr>
              <w:t>54,046.97</w:t>
            </w:r>
          </w:p>
        </w:tc>
        <w:tc>
          <w:tcPr>
            <w:tcW w:w="1681" w:type="dxa"/>
            <w:tcBorders>
              <w:top w:val="nil"/>
              <w:left w:val="nil"/>
              <w:bottom w:val="nil"/>
              <w:right w:val="nil"/>
            </w:tcBorders>
            <w:shd w:val="clear" w:color="auto" w:fill="auto"/>
            <w:vAlign w:val="bottom"/>
            <w:hideMark/>
          </w:tcPr>
          <w:p w14:paraId="652E09EC" w14:textId="77777777" w:rsidR="00BD57F3" w:rsidRPr="00221CD3" w:rsidRDefault="00BD57F3" w:rsidP="00221CD3">
            <w:pPr>
              <w:widowControl/>
              <w:jc w:val="center"/>
              <w:rPr>
                <w:snapToGrid/>
                <w:color w:val="000000"/>
                <w:kern w:val="0"/>
                <w:szCs w:val="22"/>
              </w:rPr>
            </w:pPr>
            <w:r w:rsidRPr="00221CD3">
              <w:rPr>
                <w:snapToGrid/>
                <w:color w:val="000000"/>
                <w:kern w:val="0"/>
                <w:szCs w:val="22"/>
              </w:rPr>
              <w:t>6.20</w:t>
            </w:r>
          </w:p>
        </w:tc>
      </w:tr>
    </w:tbl>
    <w:p w14:paraId="5691CB39" w14:textId="77777777" w:rsidR="00221CD3" w:rsidRPr="00221CD3" w:rsidRDefault="00221CD3" w:rsidP="0031182F">
      <w:pPr>
        <w:autoSpaceDE w:val="0"/>
        <w:autoSpaceDN w:val="0"/>
        <w:adjustRightInd w:val="0"/>
        <w:spacing w:after="120"/>
        <w:ind w:firstLine="720"/>
        <w:rPr>
          <w:szCs w:val="22"/>
        </w:rPr>
      </w:pPr>
    </w:p>
    <w:p w14:paraId="748C3F3C" w14:textId="3D00F802" w:rsidR="00415AC8" w:rsidRPr="00221CD3" w:rsidRDefault="00C43147" w:rsidP="0031182F">
      <w:pPr>
        <w:autoSpaceDE w:val="0"/>
        <w:autoSpaceDN w:val="0"/>
        <w:adjustRightInd w:val="0"/>
        <w:spacing w:after="120"/>
        <w:ind w:firstLine="720"/>
        <w:rPr>
          <w:szCs w:val="22"/>
        </w:rPr>
      </w:pPr>
      <w:r w:rsidRPr="00221CD3">
        <w:rPr>
          <w:szCs w:val="22"/>
        </w:rPr>
        <w:t>The previously released spreadsheet</w:t>
      </w:r>
      <w:r w:rsidR="002B6DC8" w:rsidRPr="00221CD3">
        <w:rPr>
          <w:szCs w:val="22"/>
        </w:rPr>
        <w:t xml:space="preserve"> containing </w:t>
      </w:r>
      <w:r w:rsidR="0016312E" w:rsidRPr="00221CD3">
        <w:rPr>
          <w:szCs w:val="22"/>
        </w:rPr>
        <w:t xml:space="preserve">deployment obligation </w:t>
      </w:r>
      <w:r w:rsidR="002B6DC8" w:rsidRPr="00221CD3">
        <w:rPr>
          <w:szCs w:val="22"/>
        </w:rPr>
        <w:t>information for all rate-of-</w:t>
      </w:r>
      <w:r w:rsidR="002B6DC8" w:rsidRPr="00221CD3">
        <w:rPr>
          <w:szCs w:val="22"/>
        </w:rPr>
        <w:lastRenderedPageBreak/>
        <w:t xml:space="preserve">return carriers will be replaced with </w:t>
      </w:r>
      <w:r w:rsidRPr="00221CD3">
        <w:rPr>
          <w:szCs w:val="22"/>
        </w:rPr>
        <w:t>a corrected version</w:t>
      </w:r>
      <w:r w:rsidR="002B6DC8" w:rsidRPr="00221CD3">
        <w:rPr>
          <w:szCs w:val="22"/>
        </w:rPr>
        <w:t>.</w:t>
      </w:r>
      <w:r w:rsidR="001B5E0E" w:rsidRPr="00221CD3">
        <w:rPr>
          <w:rStyle w:val="FootnoteReference"/>
          <w:sz w:val="22"/>
          <w:szCs w:val="22"/>
        </w:rPr>
        <w:footnoteReference w:id="4"/>
      </w:r>
      <w:r w:rsidR="002B6DC8" w:rsidRPr="00221CD3">
        <w:rPr>
          <w:szCs w:val="22"/>
        </w:rPr>
        <w:t xml:space="preserve">  In addition, </w:t>
      </w:r>
      <w:r w:rsidR="0016312E" w:rsidRPr="00221CD3">
        <w:rPr>
          <w:szCs w:val="22"/>
        </w:rPr>
        <w:t>the revised</w:t>
      </w:r>
      <w:r w:rsidR="002B6DC8" w:rsidRPr="00221CD3">
        <w:rPr>
          <w:szCs w:val="22"/>
        </w:rPr>
        <w:t xml:space="preserve"> information can be used by these carriers to calculate their </w:t>
      </w:r>
      <w:r w:rsidR="00BD57F3" w:rsidRPr="00221CD3">
        <w:rPr>
          <w:szCs w:val="22"/>
        </w:rPr>
        <w:t xml:space="preserve">Operating Expense Limitation and </w:t>
      </w:r>
      <w:r w:rsidR="002B6DC8" w:rsidRPr="00221CD3">
        <w:rPr>
          <w:szCs w:val="22"/>
        </w:rPr>
        <w:t xml:space="preserve">Capital Investment Allowance with the resources available on </w:t>
      </w:r>
      <w:r w:rsidR="002B6DC8" w:rsidRPr="00221CD3">
        <w:rPr>
          <w:rFonts w:eastAsia="Calibri"/>
          <w:szCs w:val="22"/>
        </w:rPr>
        <w:t>the Universal Service Administrative Company’s (USAC)</w:t>
      </w:r>
      <w:r w:rsidR="002B6DC8" w:rsidRPr="00221CD3">
        <w:rPr>
          <w:szCs w:val="22"/>
        </w:rPr>
        <w:t xml:space="preserve"> website.</w:t>
      </w:r>
      <w:r w:rsidR="002B6DC8" w:rsidRPr="00221CD3">
        <w:rPr>
          <w:rStyle w:val="FootnoteReference"/>
          <w:sz w:val="22"/>
          <w:szCs w:val="22"/>
        </w:rPr>
        <w:footnoteReference w:id="5"/>
      </w:r>
      <w:r w:rsidR="002B6DC8" w:rsidRPr="00221CD3">
        <w:rPr>
          <w:szCs w:val="22"/>
        </w:rPr>
        <w:t xml:space="preserve"> </w:t>
      </w:r>
      <w:r w:rsidR="00531045" w:rsidRPr="00221CD3">
        <w:rPr>
          <w:szCs w:val="22"/>
        </w:rPr>
        <w:t xml:space="preserve"> </w:t>
      </w:r>
    </w:p>
    <w:p w14:paraId="733060C2" w14:textId="36D9F438" w:rsidR="00A75AFC" w:rsidRPr="00221CD3" w:rsidRDefault="00BD57F3" w:rsidP="0031182F">
      <w:pPr>
        <w:autoSpaceDE w:val="0"/>
        <w:autoSpaceDN w:val="0"/>
        <w:adjustRightInd w:val="0"/>
        <w:spacing w:after="120"/>
        <w:ind w:firstLine="720"/>
        <w:rPr>
          <w:szCs w:val="22"/>
        </w:rPr>
      </w:pPr>
      <w:r w:rsidRPr="00221CD3">
        <w:rPr>
          <w:szCs w:val="22"/>
        </w:rPr>
        <w:t>In contrast, n</w:t>
      </w:r>
      <w:r w:rsidR="00C00949" w:rsidRPr="00221CD3">
        <w:rPr>
          <w:szCs w:val="22"/>
        </w:rPr>
        <w:t xml:space="preserve">o correction </w:t>
      </w:r>
      <w:r w:rsidR="005E3CA3" w:rsidRPr="00221CD3">
        <w:rPr>
          <w:szCs w:val="22"/>
        </w:rPr>
        <w:t xml:space="preserve">will be </w:t>
      </w:r>
      <w:r w:rsidR="00C00949" w:rsidRPr="00221CD3">
        <w:rPr>
          <w:szCs w:val="22"/>
        </w:rPr>
        <w:t xml:space="preserve">made to a carrier’s </w:t>
      </w:r>
      <w:r w:rsidR="00531045" w:rsidRPr="00221CD3">
        <w:rPr>
          <w:szCs w:val="22"/>
        </w:rPr>
        <w:t xml:space="preserve">Connect America Fund Broadband Loop Support </w:t>
      </w:r>
      <w:r w:rsidR="00851F00" w:rsidRPr="00221CD3">
        <w:rPr>
          <w:szCs w:val="22"/>
        </w:rPr>
        <w:t xml:space="preserve">deployment </w:t>
      </w:r>
      <w:r w:rsidR="00C00949" w:rsidRPr="00221CD3">
        <w:rPr>
          <w:szCs w:val="22"/>
        </w:rPr>
        <w:t>obligations or operating expense limitation</w:t>
      </w:r>
      <w:r w:rsidR="00851F00" w:rsidRPr="00221CD3">
        <w:rPr>
          <w:szCs w:val="22"/>
        </w:rPr>
        <w:t xml:space="preserve"> </w:t>
      </w:r>
      <w:r w:rsidR="00A8745B" w:rsidRPr="00221CD3">
        <w:rPr>
          <w:szCs w:val="22"/>
        </w:rPr>
        <w:t xml:space="preserve">for 2017 </w:t>
      </w:r>
      <w:r w:rsidR="00851F00" w:rsidRPr="00221CD3">
        <w:rPr>
          <w:szCs w:val="22"/>
        </w:rPr>
        <w:t>in situations where the carrier has submitted revised December 2015 FCC Form 477 data</w:t>
      </w:r>
      <w:r w:rsidR="00C00949" w:rsidRPr="00221CD3">
        <w:rPr>
          <w:szCs w:val="22"/>
        </w:rPr>
        <w:t xml:space="preserve">.  </w:t>
      </w:r>
      <w:r w:rsidR="007742F4" w:rsidRPr="00221CD3">
        <w:rPr>
          <w:szCs w:val="22"/>
        </w:rPr>
        <w:t xml:space="preserve">The December 2015 Form 477 data was due to be filed by March 1, 2016.  The image of the data set used in the calculation of the broadband deployment obligations was taken on August 29, 2016; thus, carriers had six </w:t>
      </w:r>
      <w:r w:rsidR="00E37528" w:rsidRPr="00221CD3">
        <w:rPr>
          <w:szCs w:val="22"/>
        </w:rPr>
        <w:t xml:space="preserve">(6) </w:t>
      </w:r>
      <w:r w:rsidR="007742F4" w:rsidRPr="00221CD3">
        <w:rPr>
          <w:szCs w:val="22"/>
        </w:rPr>
        <w:t>months to revise their data.</w:t>
      </w:r>
      <w:r w:rsidR="005E3CA3" w:rsidRPr="00221CD3">
        <w:rPr>
          <w:szCs w:val="22"/>
        </w:rPr>
        <w:t xml:space="preserve">  It is necessary to impose administrative closure on the data set </w:t>
      </w:r>
      <w:r w:rsidR="00531045" w:rsidRPr="00221CD3">
        <w:rPr>
          <w:szCs w:val="22"/>
        </w:rPr>
        <w:t>used to perform required calculations under these rules so that implementation can proceed</w:t>
      </w:r>
      <w:r w:rsidR="00E37528" w:rsidRPr="00221CD3">
        <w:rPr>
          <w:szCs w:val="22"/>
        </w:rPr>
        <w:t xml:space="preserve"> efficiently, and</w:t>
      </w:r>
      <w:r w:rsidR="00531045" w:rsidRPr="00221CD3">
        <w:rPr>
          <w:szCs w:val="22"/>
        </w:rPr>
        <w:t xml:space="preserve"> with transparency for all parties regarding the impact of these reforms</w:t>
      </w:r>
      <w:r w:rsidR="005E3CA3" w:rsidRPr="00221CD3">
        <w:rPr>
          <w:szCs w:val="22"/>
        </w:rPr>
        <w:t xml:space="preserve">.  </w:t>
      </w:r>
      <w:r w:rsidR="00415AC8" w:rsidRPr="00221CD3">
        <w:rPr>
          <w:szCs w:val="22"/>
        </w:rPr>
        <w:t xml:space="preserve">The calculations for the methodologies for determining the operating expense limitation and the mandatory deployment obligations for rate-of-return carriers </w:t>
      </w:r>
      <w:r w:rsidR="00A8745B" w:rsidRPr="00221CD3">
        <w:rPr>
          <w:szCs w:val="22"/>
        </w:rPr>
        <w:t>utilize</w:t>
      </w:r>
      <w:r w:rsidR="00415AC8" w:rsidRPr="00221CD3">
        <w:rPr>
          <w:szCs w:val="22"/>
        </w:rPr>
        <w:t xml:space="preserve"> carrier data</w:t>
      </w:r>
      <w:r w:rsidR="00A8745B" w:rsidRPr="00221CD3">
        <w:rPr>
          <w:szCs w:val="22"/>
        </w:rPr>
        <w:t xml:space="preserve"> for all rate-of-return carriers</w:t>
      </w:r>
      <w:r w:rsidR="00415AC8" w:rsidRPr="00221CD3">
        <w:rPr>
          <w:szCs w:val="22"/>
        </w:rPr>
        <w:t xml:space="preserve">.  </w:t>
      </w:r>
      <w:r w:rsidR="00A8745B" w:rsidRPr="00221CD3">
        <w:rPr>
          <w:szCs w:val="22"/>
        </w:rPr>
        <w:t>A</w:t>
      </w:r>
      <w:r w:rsidR="00415AC8" w:rsidRPr="00221CD3">
        <w:rPr>
          <w:szCs w:val="22"/>
        </w:rPr>
        <w:t>llowing a</w:t>
      </w:r>
      <w:r w:rsidR="00531045" w:rsidRPr="00221CD3">
        <w:rPr>
          <w:szCs w:val="22"/>
        </w:rPr>
        <w:t>dditional</w:t>
      </w:r>
      <w:r w:rsidR="00415AC8" w:rsidRPr="00221CD3">
        <w:rPr>
          <w:szCs w:val="22"/>
        </w:rPr>
        <w:t xml:space="preserve"> carrier</w:t>
      </w:r>
      <w:r w:rsidR="00531045" w:rsidRPr="00221CD3">
        <w:rPr>
          <w:szCs w:val="22"/>
        </w:rPr>
        <w:t>s</w:t>
      </w:r>
      <w:r w:rsidR="00415AC8" w:rsidRPr="00221CD3">
        <w:rPr>
          <w:szCs w:val="22"/>
        </w:rPr>
        <w:t xml:space="preserve"> to change their deployment information </w:t>
      </w:r>
      <w:r w:rsidR="005E3CA3" w:rsidRPr="00221CD3">
        <w:rPr>
          <w:szCs w:val="22"/>
        </w:rPr>
        <w:t xml:space="preserve">now </w:t>
      </w:r>
      <w:r w:rsidR="00415AC8" w:rsidRPr="00221CD3">
        <w:rPr>
          <w:szCs w:val="22"/>
        </w:rPr>
        <w:t>would result in a need to recalculate carrier operating expense limitations and deployment obligations</w:t>
      </w:r>
      <w:r w:rsidR="00A8745B" w:rsidRPr="00221CD3">
        <w:rPr>
          <w:szCs w:val="22"/>
        </w:rPr>
        <w:t xml:space="preserve"> for all rate-of-return carriers, which would be detrimental to the overall objective of providing </w:t>
      </w:r>
      <w:r w:rsidR="00531045" w:rsidRPr="00221CD3">
        <w:rPr>
          <w:szCs w:val="22"/>
        </w:rPr>
        <w:t xml:space="preserve">all </w:t>
      </w:r>
      <w:r w:rsidR="00A8745B" w:rsidRPr="00221CD3">
        <w:rPr>
          <w:szCs w:val="22"/>
        </w:rPr>
        <w:t>carriers advance notice of their obligations under the legacy mechanisms prior to implementation of these reforms in 2017</w:t>
      </w:r>
      <w:r w:rsidR="00415AC8" w:rsidRPr="00221CD3">
        <w:rPr>
          <w:szCs w:val="22"/>
        </w:rPr>
        <w:t>.</w:t>
      </w:r>
      <w:r w:rsidR="00531045" w:rsidRPr="00221CD3">
        <w:rPr>
          <w:rStyle w:val="FootnoteReference"/>
          <w:sz w:val="22"/>
          <w:szCs w:val="22"/>
        </w:rPr>
        <w:footnoteReference w:id="6"/>
      </w:r>
      <w:r w:rsidR="00415AC8" w:rsidRPr="00221CD3">
        <w:rPr>
          <w:szCs w:val="22"/>
        </w:rPr>
        <w:t xml:space="preserve">    </w:t>
      </w:r>
    </w:p>
    <w:p w14:paraId="48C34A7E" w14:textId="412029DE" w:rsidR="0031182F" w:rsidRPr="00221CD3" w:rsidRDefault="0031182F" w:rsidP="0031182F">
      <w:pPr>
        <w:ind w:firstLine="720"/>
        <w:rPr>
          <w:szCs w:val="22"/>
        </w:rPr>
      </w:pPr>
      <w:r w:rsidRPr="00221CD3">
        <w:rPr>
          <w:szCs w:val="22"/>
        </w:rPr>
        <w:t xml:space="preserve">For additional information about this Public Notice, please contact Suzanne Yelen at (202) 418-0626 or </w:t>
      </w:r>
      <w:hyperlink r:id="rId9" w:history="1">
        <w:r w:rsidRPr="00221CD3">
          <w:rPr>
            <w:rStyle w:val="Hyperlink"/>
            <w:szCs w:val="22"/>
          </w:rPr>
          <w:t>Suzanne.Yelen@fcc.gov</w:t>
        </w:r>
      </w:hyperlink>
      <w:r w:rsidRPr="00221CD3">
        <w:rPr>
          <w:szCs w:val="22"/>
        </w:rPr>
        <w:t>.</w:t>
      </w:r>
    </w:p>
    <w:p w14:paraId="67685F68" w14:textId="14876FBA" w:rsidR="006A1F49" w:rsidRPr="00221CD3" w:rsidRDefault="0031182F" w:rsidP="00DF69EC">
      <w:pPr>
        <w:jc w:val="center"/>
        <w:rPr>
          <w:szCs w:val="22"/>
        </w:rPr>
      </w:pPr>
      <w:r w:rsidRPr="00221CD3">
        <w:rPr>
          <w:b/>
          <w:szCs w:val="22"/>
        </w:rPr>
        <w:t>- FCC -</w:t>
      </w:r>
    </w:p>
    <w:sectPr w:rsidR="006A1F49" w:rsidRPr="00221CD3"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F7F72" w14:textId="77777777" w:rsidR="006679FC" w:rsidRDefault="006679FC">
      <w:pPr>
        <w:spacing w:line="20" w:lineRule="exact"/>
      </w:pPr>
    </w:p>
  </w:endnote>
  <w:endnote w:type="continuationSeparator" w:id="0">
    <w:p w14:paraId="733E9169" w14:textId="77777777" w:rsidR="006679FC" w:rsidRDefault="006679FC">
      <w:r>
        <w:t xml:space="preserve"> </w:t>
      </w:r>
    </w:p>
  </w:endnote>
  <w:endnote w:type="continuationNotice" w:id="1">
    <w:p w14:paraId="126066F2" w14:textId="77777777" w:rsidR="006679FC" w:rsidRDefault="006679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8ACC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DA3EB7" w14:textId="77777777" w:rsidR="00D25FB5" w:rsidRDefault="00D25FB5">
    <w:pPr>
      <w:pStyle w:val="Footer"/>
    </w:pPr>
  </w:p>
  <w:p w14:paraId="2FA4D131"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0662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968CF">
      <w:rPr>
        <w:noProof/>
      </w:rPr>
      <w:t>2</w:t>
    </w:r>
    <w:r>
      <w:fldChar w:fldCharType="end"/>
    </w:r>
  </w:p>
  <w:p w14:paraId="19FBA662"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A43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931CC" w14:textId="77777777" w:rsidR="006679FC" w:rsidRDefault="006679FC">
      <w:r>
        <w:separator/>
      </w:r>
    </w:p>
  </w:footnote>
  <w:footnote w:type="continuationSeparator" w:id="0">
    <w:p w14:paraId="3F3FA693" w14:textId="77777777" w:rsidR="006679FC" w:rsidRDefault="006679FC" w:rsidP="00C721AC">
      <w:pPr>
        <w:spacing w:before="120"/>
        <w:rPr>
          <w:sz w:val="20"/>
        </w:rPr>
      </w:pPr>
      <w:r>
        <w:rPr>
          <w:sz w:val="20"/>
        </w:rPr>
        <w:t xml:space="preserve">(Continued from previous page)  </w:t>
      </w:r>
      <w:r>
        <w:rPr>
          <w:sz w:val="20"/>
        </w:rPr>
        <w:separator/>
      </w:r>
    </w:p>
  </w:footnote>
  <w:footnote w:type="continuationNotice" w:id="1">
    <w:p w14:paraId="21901326" w14:textId="77777777" w:rsidR="006679FC" w:rsidRDefault="006679FC" w:rsidP="00C721AC">
      <w:pPr>
        <w:jc w:val="right"/>
        <w:rPr>
          <w:sz w:val="20"/>
        </w:rPr>
      </w:pPr>
      <w:r>
        <w:rPr>
          <w:sz w:val="20"/>
        </w:rPr>
        <w:t>(continued….)</w:t>
      </w:r>
    </w:p>
  </w:footnote>
  <w:footnote w:id="2">
    <w:p w14:paraId="06B72B6A" w14:textId="3A39B16F" w:rsidR="007276AE" w:rsidRPr="00221CD3" w:rsidRDefault="005A3D86" w:rsidP="00BD57F3">
      <w:pPr>
        <w:spacing w:after="120" w:line="200" w:lineRule="atLeast"/>
        <w:rPr>
          <w:sz w:val="20"/>
        </w:rPr>
      </w:pPr>
      <w:r w:rsidRPr="00221CD3">
        <w:rPr>
          <w:rStyle w:val="FootnoteReference"/>
        </w:rPr>
        <w:footnoteRef/>
      </w:r>
      <w:r w:rsidRPr="00221CD3">
        <w:rPr>
          <w:sz w:val="20"/>
        </w:rPr>
        <w:t xml:space="preserve"> In a Public Notice announcing the posting of each rate-of-return carrier’s deployment obligation, the Bureau stated that it would consider corrections submitted by October 7, 2016.  </w:t>
      </w:r>
      <w:r w:rsidRPr="00221CD3">
        <w:rPr>
          <w:i/>
          <w:sz w:val="20"/>
        </w:rPr>
        <w:t xml:space="preserve">Wireline Competition Bureau Announces Posting </w:t>
      </w:r>
      <w:r w:rsidR="00BD57F3" w:rsidRPr="00221CD3">
        <w:rPr>
          <w:i/>
          <w:sz w:val="20"/>
        </w:rPr>
        <w:t xml:space="preserve">of </w:t>
      </w:r>
      <w:r w:rsidRPr="00221CD3">
        <w:rPr>
          <w:i/>
          <w:sz w:val="20"/>
        </w:rPr>
        <w:t>Census Blocks In Rate-</w:t>
      </w:r>
      <w:r w:rsidR="00BD57F3" w:rsidRPr="00221CD3">
        <w:rPr>
          <w:i/>
          <w:sz w:val="20"/>
        </w:rPr>
        <w:t>of</w:t>
      </w:r>
      <w:r w:rsidRPr="00221CD3">
        <w:rPr>
          <w:i/>
          <w:sz w:val="20"/>
        </w:rPr>
        <w:t xml:space="preserve">-Return Study Areas with Deployment by an Unsubsidized Competitor; Revises Individual Carrier Broadband Deployment Percentages for Rate-of-Return Carriers Reporting Updates; and Sets Deadline </w:t>
      </w:r>
      <w:r w:rsidR="00BD57F3" w:rsidRPr="00221CD3">
        <w:rPr>
          <w:i/>
          <w:sz w:val="20"/>
        </w:rPr>
        <w:t xml:space="preserve">for </w:t>
      </w:r>
      <w:r w:rsidRPr="00221CD3">
        <w:rPr>
          <w:i/>
          <w:sz w:val="20"/>
        </w:rPr>
        <w:t>Submission of Further Corrections for Use in 2017 Program Year</w:t>
      </w:r>
      <w:r w:rsidRPr="00221CD3">
        <w:rPr>
          <w:sz w:val="20"/>
        </w:rPr>
        <w:t xml:space="preserve">, WC Docket No. 10-90, </w:t>
      </w:r>
      <w:r w:rsidR="00E37528" w:rsidRPr="00221CD3">
        <w:rPr>
          <w:sz w:val="20"/>
        </w:rPr>
        <w:t xml:space="preserve">Public Notice, </w:t>
      </w:r>
      <w:r w:rsidRPr="00221CD3">
        <w:rPr>
          <w:sz w:val="20"/>
        </w:rPr>
        <w:t>DA 16-1123 (WCB 2016).</w:t>
      </w:r>
    </w:p>
  </w:footnote>
  <w:footnote w:id="3">
    <w:p w14:paraId="70CFA2FC" w14:textId="1850E4D2" w:rsidR="007276AE" w:rsidRPr="00221CD3" w:rsidRDefault="007276AE" w:rsidP="00BD57F3">
      <w:pPr>
        <w:pStyle w:val="FootnoteText"/>
        <w:spacing w:line="200" w:lineRule="atLeast"/>
      </w:pPr>
      <w:r w:rsidRPr="00221CD3">
        <w:rPr>
          <w:rStyle w:val="FootnoteReference"/>
        </w:rPr>
        <w:footnoteRef/>
      </w:r>
      <w:r w:rsidRPr="00221CD3">
        <w:t xml:space="preserve"> </w:t>
      </w:r>
      <w:r w:rsidR="0099191B" w:rsidRPr="00221CD3">
        <w:t xml:space="preserve">Only </w:t>
      </w:r>
      <w:r w:rsidR="002D5F03" w:rsidRPr="00221CD3">
        <w:t xml:space="preserve">ten </w:t>
      </w:r>
      <w:r w:rsidR="00221CD3" w:rsidRPr="00221CD3">
        <w:t xml:space="preserve">(10) </w:t>
      </w:r>
      <w:r w:rsidR="0099191B" w:rsidRPr="00221CD3">
        <w:t xml:space="preserve">out of more than 1,000 study areas are </w:t>
      </w:r>
      <w:r w:rsidR="00221CD3" w:rsidRPr="00221CD3">
        <w:t>impacted by</w:t>
      </w:r>
      <w:r w:rsidR="0099191B" w:rsidRPr="00221CD3">
        <w:t xml:space="preserve"> these adjustments.  </w:t>
      </w:r>
      <w:r w:rsidRPr="00221CD3">
        <w:t>For example, the Bureau determined that for those carriers whose study area straddles</w:t>
      </w:r>
      <w:r w:rsidR="00221CD3" w:rsidRPr="00221CD3">
        <w:t xml:space="preserve"> the border of</w:t>
      </w:r>
      <w:r w:rsidRPr="00221CD3">
        <w:t xml:space="preserve"> two states, if one state filed study area boundaries on behalf of the carriers in its state, the portion of the study area in the other state may have been inadvertently overridden by the state filing.</w:t>
      </w:r>
    </w:p>
  </w:footnote>
  <w:footnote w:id="4">
    <w:p w14:paraId="2168DB97" w14:textId="6D251ADC" w:rsidR="001B5E0E" w:rsidRPr="00221CD3" w:rsidRDefault="001B5E0E" w:rsidP="005941DB">
      <w:pPr>
        <w:spacing w:after="120"/>
        <w:rPr>
          <w:sz w:val="20"/>
        </w:rPr>
      </w:pPr>
      <w:r w:rsidRPr="00221CD3">
        <w:rPr>
          <w:rStyle w:val="FootnoteReference"/>
        </w:rPr>
        <w:footnoteRef/>
      </w:r>
      <w:r w:rsidRPr="00221CD3">
        <w:rPr>
          <w:sz w:val="20"/>
        </w:rPr>
        <w:t xml:space="preserve"> </w:t>
      </w:r>
      <w:r w:rsidRPr="00221CD3">
        <w:rPr>
          <w:i/>
          <w:sz w:val="20"/>
        </w:rPr>
        <w:t>See</w:t>
      </w:r>
      <w:r w:rsidRPr="00221CD3">
        <w:rPr>
          <w:sz w:val="20"/>
        </w:rPr>
        <w:t xml:space="preserve"> </w:t>
      </w:r>
      <w:r w:rsidR="00221CD3" w:rsidRPr="00456A03">
        <w:rPr>
          <w:sz w:val="20"/>
        </w:rPr>
        <w:t xml:space="preserve">Federal Communications Commission, </w:t>
      </w:r>
      <w:r w:rsidRPr="00456A03">
        <w:rPr>
          <w:sz w:val="20"/>
        </w:rPr>
        <w:t>Information Regarding Deployment Obligations for Incumbent Rate-of-Return Carriers</w:t>
      </w:r>
      <w:r w:rsidR="00221CD3" w:rsidRPr="00221CD3">
        <w:rPr>
          <w:i/>
          <w:sz w:val="20"/>
        </w:rPr>
        <w:t>,</w:t>
      </w:r>
      <w:r w:rsidRPr="00221CD3">
        <w:rPr>
          <w:sz w:val="20"/>
        </w:rPr>
        <w:t xml:space="preserve"> </w:t>
      </w:r>
      <w:hyperlink r:id="rId1" w:history="1">
        <w:r w:rsidRPr="00221CD3">
          <w:rPr>
            <w:rStyle w:val="Hyperlink"/>
            <w:sz w:val="20"/>
          </w:rPr>
          <w:t>https://transition.fcc.gov/wcb/SacBuildoutSheetDisplay.xlsx</w:t>
        </w:r>
      </w:hyperlink>
      <w:r w:rsidR="00221CD3" w:rsidRPr="00221CD3">
        <w:rPr>
          <w:rStyle w:val="Hyperlink"/>
          <w:color w:val="auto"/>
          <w:sz w:val="20"/>
          <w:u w:val="none"/>
        </w:rPr>
        <w:t xml:space="preserve"> (last visited Nov. 15, 2016)</w:t>
      </w:r>
      <w:r w:rsidRPr="00221CD3">
        <w:rPr>
          <w:sz w:val="20"/>
        </w:rPr>
        <w:t>.</w:t>
      </w:r>
    </w:p>
  </w:footnote>
  <w:footnote w:id="5">
    <w:p w14:paraId="26F39B44" w14:textId="2A0069AA" w:rsidR="002B6DC8" w:rsidRPr="00221CD3" w:rsidRDefault="002B6DC8">
      <w:pPr>
        <w:pStyle w:val="FootnoteText"/>
      </w:pPr>
      <w:r w:rsidRPr="00221CD3">
        <w:rPr>
          <w:rStyle w:val="FootnoteReference"/>
        </w:rPr>
        <w:footnoteRef/>
      </w:r>
      <w:r w:rsidRPr="00221CD3">
        <w:t xml:space="preserve"> </w:t>
      </w:r>
      <w:r w:rsidRPr="00221CD3">
        <w:rPr>
          <w:rFonts w:eastAsia="Calibri"/>
        </w:rPr>
        <w:t>The illustrative results, the template, and the documentation of the methodology for calculation of the</w:t>
      </w:r>
      <w:r w:rsidR="008C0AF7" w:rsidRPr="00221CD3">
        <w:rPr>
          <w:rFonts w:eastAsia="Calibri"/>
        </w:rPr>
        <w:t xml:space="preserve"> operating expense limitation and the</w:t>
      </w:r>
      <w:r w:rsidRPr="00221CD3">
        <w:rPr>
          <w:rFonts w:eastAsia="Calibri"/>
        </w:rPr>
        <w:t xml:space="preserve"> capital </w:t>
      </w:r>
      <w:r w:rsidR="00415AC8" w:rsidRPr="00221CD3">
        <w:rPr>
          <w:rFonts w:eastAsia="Calibri"/>
        </w:rPr>
        <w:t>investment</w:t>
      </w:r>
      <w:r w:rsidRPr="00221CD3">
        <w:rPr>
          <w:rFonts w:eastAsia="Calibri"/>
        </w:rPr>
        <w:t xml:space="preserve"> allowance are available at </w:t>
      </w:r>
      <w:hyperlink r:id="rId2" w:history="1">
        <w:r w:rsidRPr="00221CD3">
          <w:rPr>
            <w:rStyle w:val="Hyperlink"/>
          </w:rPr>
          <w:t>http://www.usac.org/hc/tools/default.aspx</w:t>
        </w:r>
      </w:hyperlink>
      <w:r w:rsidR="00221CD3" w:rsidRPr="00221CD3">
        <w:rPr>
          <w:rStyle w:val="Hyperlink"/>
        </w:rPr>
        <w:t xml:space="preserve"> </w:t>
      </w:r>
      <w:r w:rsidR="00221CD3" w:rsidRPr="00221CD3">
        <w:rPr>
          <w:rStyle w:val="Hyperlink"/>
          <w:color w:val="auto"/>
          <w:u w:val="none"/>
        </w:rPr>
        <w:t xml:space="preserve"> (last visited Nov. 15, 2016)</w:t>
      </w:r>
      <w:r w:rsidR="00CC5D64" w:rsidRPr="00221CD3">
        <w:rPr>
          <w:rStyle w:val="Hyperlink"/>
          <w:color w:val="auto"/>
          <w:u w:val="none"/>
        </w:rPr>
        <w:t>.</w:t>
      </w:r>
    </w:p>
  </w:footnote>
  <w:footnote w:id="6">
    <w:p w14:paraId="04427F3D" w14:textId="134DBA3D" w:rsidR="00531045" w:rsidRPr="00221CD3" w:rsidRDefault="00531045">
      <w:pPr>
        <w:pStyle w:val="FootnoteText"/>
      </w:pPr>
      <w:r w:rsidRPr="00221CD3">
        <w:rPr>
          <w:rStyle w:val="FootnoteReference"/>
        </w:rPr>
        <w:footnoteRef/>
      </w:r>
      <w:r w:rsidRPr="00221CD3">
        <w:t xml:space="preserve"> In contrast, because there are only a small number of cases in which the Bureau made an error or omission regarding the calculation of density information </w:t>
      </w:r>
      <w:r w:rsidR="00575521" w:rsidRPr="00221CD3">
        <w:t xml:space="preserve">or deployment percentages </w:t>
      </w:r>
      <w:r w:rsidRPr="00221CD3">
        <w:t xml:space="preserve">for </w:t>
      </w:r>
      <w:r w:rsidR="00575521" w:rsidRPr="00221CD3">
        <w:t xml:space="preserve">certain </w:t>
      </w:r>
      <w:r w:rsidRPr="00221CD3">
        <w:t>carriers, making corrections to these carriers</w:t>
      </w:r>
      <w:r w:rsidR="00575521" w:rsidRPr="00221CD3">
        <w:t>’</w:t>
      </w:r>
      <w:r w:rsidRPr="00221CD3">
        <w:t xml:space="preserve"> data has minimal if any effect on the overall calculations so no changes to other carrier data are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566C7" w14:textId="77777777" w:rsidR="008F452B" w:rsidRDefault="008F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FED09" w14:textId="77777777" w:rsidR="008F452B" w:rsidRDefault="008F4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31B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B4D4DA3" wp14:editId="3FA8511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4D4DA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E4E3B6E" w14:textId="77777777" w:rsidR="00D47505" w:rsidRDefault="00D47505" w:rsidP="00D47505">
                    <w:pPr>
                      <w:rPr>
                        <w:rFonts w:ascii="Arial" w:hAnsi="Arial"/>
                        <w:b/>
                      </w:rPr>
                    </w:pPr>
                    <w:r>
                      <w:rPr>
                        <w:rFonts w:ascii="Arial" w:hAnsi="Arial"/>
                        <w:b/>
                      </w:rPr>
                      <w:t>Federal Communications Commission</w:t>
                    </w:r>
                  </w:p>
                  <w:p w14:paraId="7A4AC70B"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C2FA44"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373AAD67" wp14:editId="611B130B">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6612D02F"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66B689E6" wp14:editId="03D534E5">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29726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55ADDBB" wp14:editId="29F90CAD">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65A48E44"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968CF">
                            <w:rPr>
                              <w:rFonts w:ascii="Arial" w:hAnsi="Arial"/>
                              <w:b/>
                              <w:sz w:val="16"/>
                            </w:rPr>
                            <w:instrText>HYPERLINK "https://www.fcc.gov/"</w:instrText>
                          </w:r>
                          <w:r w:rsidR="004968C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574BA1B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0B86B222" w14:textId="65A48E44"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968CF">
                      <w:rPr>
                        <w:rFonts w:ascii="Arial" w:hAnsi="Arial"/>
                        <w:b/>
                        <w:sz w:val="16"/>
                      </w:rPr>
                      <w:instrText>HYPERLINK "https://www.fcc.gov/"</w:instrText>
                    </w:r>
                    <w:r w:rsidR="004968CF">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96C89FC"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2F"/>
    <w:rsid w:val="00010FD6"/>
    <w:rsid w:val="00036039"/>
    <w:rsid w:val="00037F90"/>
    <w:rsid w:val="00050D31"/>
    <w:rsid w:val="000549AF"/>
    <w:rsid w:val="00074B70"/>
    <w:rsid w:val="000875BF"/>
    <w:rsid w:val="00096D8C"/>
    <w:rsid w:val="000C0B65"/>
    <w:rsid w:val="000E05FE"/>
    <w:rsid w:val="000E3D42"/>
    <w:rsid w:val="00122BD5"/>
    <w:rsid w:val="00133F79"/>
    <w:rsid w:val="001459B7"/>
    <w:rsid w:val="00155A8E"/>
    <w:rsid w:val="001611A5"/>
    <w:rsid w:val="0016312E"/>
    <w:rsid w:val="0019385E"/>
    <w:rsid w:val="00194A66"/>
    <w:rsid w:val="001A4DA7"/>
    <w:rsid w:val="001B5E0E"/>
    <w:rsid w:val="001D6BCF"/>
    <w:rsid w:val="001E01CA"/>
    <w:rsid w:val="0021710D"/>
    <w:rsid w:val="00221CD3"/>
    <w:rsid w:val="002649CA"/>
    <w:rsid w:val="00275CF5"/>
    <w:rsid w:val="00282DFC"/>
    <w:rsid w:val="0028301F"/>
    <w:rsid w:val="00285017"/>
    <w:rsid w:val="002A2D2E"/>
    <w:rsid w:val="002B6DC8"/>
    <w:rsid w:val="002C00E8"/>
    <w:rsid w:val="002C0B63"/>
    <w:rsid w:val="002C5B39"/>
    <w:rsid w:val="002D342A"/>
    <w:rsid w:val="002D5F03"/>
    <w:rsid w:val="002F00EC"/>
    <w:rsid w:val="00304374"/>
    <w:rsid w:val="0031182F"/>
    <w:rsid w:val="00343749"/>
    <w:rsid w:val="00356DAC"/>
    <w:rsid w:val="003660ED"/>
    <w:rsid w:val="00375B3C"/>
    <w:rsid w:val="00397DBA"/>
    <w:rsid w:val="003A0C62"/>
    <w:rsid w:val="003A142D"/>
    <w:rsid w:val="003B0550"/>
    <w:rsid w:val="003B694F"/>
    <w:rsid w:val="003E0AA0"/>
    <w:rsid w:val="003E7702"/>
    <w:rsid w:val="003F171C"/>
    <w:rsid w:val="003F67C1"/>
    <w:rsid w:val="0040447B"/>
    <w:rsid w:val="0040750A"/>
    <w:rsid w:val="00412FC5"/>
    <w:rsid w:val="00415AC8"/>
    <w:rsid w:val="00415FF1"/>
    <w:rsid w:val="00422276"/>
    <w:rsid w:val="004242F1"/>
    <w:rsid w:val="00445A00"/>
    <w:rsid w:val="00451B0F"/>
    <w:rsid w:val="00456A03"/>
    <w:rsid w:val="00456DBA"/>
    <w:rsid w:val="004968CF"/>
    <w:rsid w:val="004C2EE3"/>
    <w:rsid w:val="004E4A22"/>
    <w:rsid w:val="00511968"/>
    <w:rsid w:val="00531045"/>
    <w:rsid w:val="0053591A"/>
    <w:rsid w:val="0055392A"/>
    <w:rsid w:val="0055614C"/>
    <w:rsid w:val="00575521"/>
    <w:rsid w:val="005941DB"/>
    <w:rsid w:val="005A3D86"/>
    <w:rsid w:val="005B02A2"/>
    <w:rsid w:val="005E14C2"/>
    <w:rsid w:val="005E3CA3"/>
    <w:rsid w:val="005E6864"/>
    <w:rsid w:val="005F4EA6"/>
    <w:rsid w:val="006055F3"/>
    <w:rsid w:val="006073B9"/>
    <w:rsid w:val="00607BA5"/>
    <w:rsid w:val="0061180A"/>
    <w:rsid w:val="006211D6"/>
    <w:rsid w:val="00622104"/>
    <w:rsid w:val="00626EB6"/>
    <w:rsid w:val="00642530"/>
    <w:rsid w:val="00655D03"/>
    <w:rsid w:val="006679FC"/>
    <w:rsid w:val="00677EB3"/>
    <w:rsid w:val="00683388"/>
    <w:rsid w:val="00683F84"/>
    <w:rsid w:val="006A1F49"/>
    <w:rsid w:val="006A6A81"/>
    <w:rsid w:val="006B1456"/>
    <w:rsid w:val="006D4EF8"/>
    <w:rsid w:val="006F2029"/>
    <w:rsid w:val="006F7393"/>
    <w:rsid w:val="0070224F"/>
    <w:rsid w:val="00705AEC"/>
    <w:rsid w:val="007115F7"/>
    <w:rsid w:val="007276AE"/>
    <w:rsid w:val="007742F4"/>
    <w:rsid w:val="00775A31"/>
    <w:rsid w:val="0077690A"/>
    <w:rsid w:val="00785689"/>
    <w:rsid w:val="00786FF7"/>
    <w:rsid w:val="0079754B"/>
    <w:rsid w:val="007A1E6D"/>
    <w:rsid w:val="007B0EB2"/>
    <w:rsid w:val="007B0FB6"/>
    <w:rsid w:val="007F413A"/>
    <w:rsid w:val="00810B6F"/>
    <w:rsid w:val="00811A46"/>
    <w:rsid w:val="00822CE0"/>
    <w:rsid w:val="00823E29"/>
    <w:rsid w:val="008305C7"/>
    <w:rsid w:val="00841AB1"/>
    <w:rsid w:val="00851F00"/>
    <w:rsid w:val="008C0AF7"/>
    <w:rsid w:val="008C655D"/>
    <w:rsid w:val="008C68F1"/>
    <w:rsid w:val="008E0EA1"/>
    <w:rsid w:val="008E4A57"/>
    <w:rsid w:val="008F452B"/>
    <w:rsid w:val="00912D36"/>
    <w:rsid w:val="0091408C"/>
    <w:rsid w:val="00920375"/>
    <w:rsid w:val="00921803"/>
    <w:rsid w:val="00926503"/>
    <w:rsid w:val="00927661"/>
    <w:rsid w:val="009726D8"/>
    <w:rsid w:val="0099191B"/>
    <w:rsid w:val="009F76DB"/>
    <w:rsid w:val="00A135BA"/>
    <w:rsid w:val="00A32C3B"/>
    <w:rsid w:val="00A45F4F"/>
    <w:rsid w:val="00A600A9"/>
    <w:rsid w:val="00A75AFC"/>
    <w:rsid w:val="00A84A1C"/>
    <w:rsid w:val="00A8745B"/>
    <w:rsid w:val="00A902B5"/>
    <w:rsid w:val="00AA55B7"/>
    <w:rsid w:val="00AA5B9E"/>
    <w:rsid w:val="00AB2407"/>
    <w:rsid w:val="00AB53DF"/>
    <w:rsid w:val="00AC20EC"/>
    <w:rsid w:val="00AC424B"/>
    <w:rsid w:val="00AF46DC"/>
    <w:rsid w:val="00B07E5C"/>
    <w:rsid w:val="00B20363"/>
    <w:rsid w:val="00B338A9"/>
    <w:rsid w:val="00B67852"/>
    <w:rsid w:val="00B679AB"/>
    <w:rsid w:val="00B76DB8"/>
    <w:rsid w:val="00B811F7"/>
    <w:rsid w:val="00BA5DC6"/>
    <w:rsid w:val="00BA6196"/>
    <w:rsid w:val="00BC088E"/>
    <w:rsid w:val="00BC6D8C"/>
    <w:rsid w:val="00BD57F3"/>
    <w:rsid w:val="00C00949"/>
    <w:rsid w:val="00C34006"/>
    <w:rsid w:val="00C426B1"/>
    <w:rsid w:val="00C43147"/>
    <w:rsid w:val="00C55B17"/>
    <w:rsid w:val="00C56037"/>
    <w:rsid w:val="00C63F98"/>
    <w:rsid w:val="00C65475"/>
    <w:rsid w:val="00C66160"/>
    <w:rsid w:val="00C721AC"/>
    <w:rsid w:val="00C84366"/>
    <w:rsid w:val="00C90D6A"/>
    <w:rsid w:val="00CA247E"/>
    <w:rsid w:val="00CB3752"/>
    <w:rsid w:val="00CC5D64"/>
    <w:rsid w:val="00CC72B6"/>
    <w:rsid w:val="00CC776F"/>
    <w:rsid w:val="00CE3952"/>
    <w:rsid w:val="00D0218D"/>
    <w:rsid w:val="00D04B33"/>
    <w:rsid w:val="00D0746C"/>
    <w:rsid w:val="00D25FB5"/>
    <w:rsid w:val="00D44223"/>
    <w:rsid w:val="00D47505"/>
    <w:rsid w:val="00D8064A"/>
    <w:rsid w:val="00D95CA4"/>
    <w:rsid w:val="00DA2529"/>
    <w:rsid w:val="00DB130A"/>
    <w:rsid w:val="00DB2EBB"/>
    <w:rsid w:val="00DB2FB2"/>
    <w:rsid w:val="00DC10A1"/>
    <w:rsid w:val="00DC5C8D"/>
    <w:rsid w:val="00DC655F"/>
    <w:rsid w:val="00DD0B59"/>
    <w:rsid w:val="00DD29D3"/>
    <w:rsid w:val="00DD7EBD"/>
    <w:rsid w:val="00DE4C8D"/>
    <w:rsid w:val="00DF0810"/>
    <w:rsid w:val="00DF1003"/>
    <w:rsid w:val="00DF62B6"/>
    <w:rsid w:val="00DF69EC"/>
    <w:rsid w:val="00E0344C"/>
    <w:rsid w:val="00E07225"/>
    <w:rsid w:val="00E1171C"/>
    <w:rsid w:val="00E234FA"/>
    <w:rsid w:val="00E37528"/>
    <w:rsid w:val="00E5409F"/>
    <w:rsid w:val="00E90CDA"/>
    <w:rsid w:val="00EB4ACC"/>
    <w:rsid w:val="00ED110B"/>
    <w:rsid w:val="00EE03EB"/>
    <w:rsid w:val="00EE3ED8"/>
    <w:rsid w:val="00EE6488"/>
    <w:rsid w:val="00EF0B7B"/>
    <w:rsid w:val="00F021FA"/>
    <w:rsid w:val="00F145CF"/>
    <w:rsid w:val="00F62E97"/>
    <w:rsid w:val="00F64209"/>
    <w:rsid w:val="00F8591E"/>
    <w:rsid w:val="00F93BF5"/>
    <w:rsid w:val="00FA03D8"/>
    <w:rsid w:val="00FB03B1"/>
    <w:rsid w:val="00FB3F6B"/>
    <w:rsid w:val="00FE2C64"/>
    <w:rsid w:val="00FE3B67"/>
    <w:rsid w:val="00FF14E0"/>
    <w:rsid w:val="00FF7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0CB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6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paragraph" w:styleId="Revision">
    <w:name w:val="Revision"/>
    <w:hidden/>
    <w:uiPriority w:val="99"/>
    <w:semiHidden/>
    <w:rsid w:val="00F145C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6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link w:val="FootnoteTextChar2"/>
    <w:rsid w:val="000E3D42"/>
    <w:pPr>
      <w:spacing w:after="120"/>
    </w:pPr>
  </w:style>
  <w:style w:type="character" w:styleId="FootnoteReference">
    <w:name w:val="footnote reference"/>
    <w:aliases w:val="Appel note de bas de p,Style 12,(NECG) Footnote Reference,Style 124,Style 13,fr,o,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paragraph" w:styleId="Revision">
    <w:name w:val="Revision"/>
    <w:hidden/>
    <w:uiPriority w:val="99"/>
    <w:semiHidden/>
    <w:rsid w:val="00F145C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563">
      <w:bodyDiv w:val="1"/>
      <w:marLeft w:val="0"/>
      <w:marRight w:val="0"/>
      <w:marTop w:val="0"/>
      <w:marBottom w:val="0"/>
      <w:divBdr>
        <w:top w:val="none" w:sz="0" w:space="0" w:color="auto"/>
        <w:left w:val="none" w:sz="0" w:space="0" w:color="auto"/>
        <w:bottom w:val="none" w:sz="0" w:space="0" w:color="auto"/>
        <w:right w:val="none" w:sz="0" w:space="0" w:color="auto"/>
      </w:divBdr>
    </w:div>
    <w:div w:id="1744790876">
      <w:bodyDiv w:val="1"/>
      <w:marLeft w:val="0"/>
      <w:marRight w:val="0"/>
      <w:marTop w:val="0"/>
      <w:marBottom w:val="0"/>
      <w:divBdr>
        <w:top w:val="none" w:sz="0" w:space="0" w:color="auto"/>
        <w:left w:val="none" w:sz="0" w:space="0" w:color="auto"/>
        <w:bottom w:val="none" w:sz="0" w:space="0" w:color="auto"/>
        <w:right w:val="none" w:sz="0" w:space="0" w:color="auto"/>
      </w:divBdr>
    </w:div>
    <w:div w:id="19853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Yele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usac.org/hc/tools/default.aspx" TargetMode="External"/><Relationship Id="rId1" Type="http://schemas.openxmlformats.org/officeDocument/2006/relationships/hyperlink" Target="https://transition.fcc.gov/wcb/SacBuildoutSheetDisplay.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481</Words>
  <Characters>2797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2016-11-15T20:34:00Z</dcterms:created>
  <dcterms:modified xsi:type="dcterms:W3CDTF">2016-11-15T20:34:00Z</dcterms:modified>
  <cp:category> </cp:category>
  <cp:contentStatus> </cp:contentStatus>
</cp:coreProperties>
</file>