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C74" w:rsidRDefault="00602C74" w:rsidP="00602C74">
      <w:pPr>
        <w:widowControl/>
        <w:jc w:val="right"/>
        <w:rPr>
          <w:b/>
          <w:snapToGrid/>
          <w:kern w:val="0"/>
          <w:szCs w:val="22"/>
        </w:rPr>
      </w:pPr>
      <w:bookmarkStart w:id="0" w:name="_GoBack"/>
      <w:bookmarkEnd w:id="0"/>
    </w:p>
    <w:p w:rsidR="00602C74" w:rsidRDefault="00602C74" w:rsidP="00602C74">
      <w:pPr>
        <w:widowControl/>
        <w:jc w:val="right"/>
        <w:rPr>
          <w:b/>
          <w:snapToGrid/>
          <w:kern w:val="0"/>
          <w:szCs w:val="22"/>
        </w:rPr>
      </w:pPr>
    </w:p>
    <w:p w:rsidR="00602C74" w:rsidRPr="00602C74" w:rsidRDefault="00591011" w:rsidP="00602C74">
      <w:pPr>
        <w:widowControl/>
        <w:jc w:val="right"/>
        <w:rPr>
          <w:b/>
          <w:snapToGrid/>
          <w:kern w:val="0"/>
          <w:szCs w:val="22"/>
        </w:rPr>
      </w:pPr>
      <w:r>
        <w:rPr>
          <w:b/>
          <w:snapToGrid/>
          <w:kern w:val="0"/>
          <w:szCs w:val="22"/>
        </w:rPr>
        <w:t>DA 16-1283</w:t>
      </w:r>
    </w:p>
    <w:p w:rsidR="00602C74" w:rsidRPr="00602C74" w:rsidRDefault="00B06B27" w:rsidP="00602C74">
      <w:pPr>
        <w:widowControl/>
        <w:jc w:val="right"/>
        <w:rPr>
          <w:b/>
          <w:snapToGrid/>
          <w:kern w:val="0"/>
          <w:szCs w:val="22"/>
        </w:rPr>
      </w:pPr>
      <w:r>
        <w:rPr>
          <w:b/>
          <w:snapToGrid/>
          <w:kern w:val="0"/>
          <w:szCs w:val="22"/>
        </w:rPr>
        <w:t>Released:  November 1</w:t>
      </w:r>
      <w:r w:rsidR="003E0D89">
        <w:rPr>
          <w:b/>
          <w:snapToGrid/>
          <w:kern w:val="0"/>
          <w:szCs w:val="22"/>
        </w:rPr>
        <w:t>6</w:t>
      </w:r>
      <w:r w:rsidR="00602C74" w:rsidRPr="00602C74">
        <w:rPr>
          <w:b/>
          <w:snapToGrid/>
          <w:kern w:val="0"/>
          <w:szCs w:val="22"/>
        </w:rPr>
        <w:t>, 2016</w:t>
      </w:r>
    </w:p>
    <w:p w:rsidR="00602C74" w:rsidRPr="00602C74" w:rsidRDefault="00602C74" w:rsidP="00602C74">
      <w:pPr>
        <w:widowControl/>
        <w:jc w:val="center"/>
        <w:rPr>
          <w:b/>
          <w:snapToGrid/>
          <w:kern w:val="0"/>
          <w:szCs w:val="22"/>
        </w:rPr>
      </w:pPr>
    </w:p>
    <w:p w:rsidR="0022731C" w:rsidRDefault="0021495D" w:rsidP="0022731C">
      <w:pPr>
        <w:widowControl/>
        <w:ind w:left="720" w:right="720"/>
        <w:jc w:val="center"/>
        <w:rPr>
          <w:b/>
          <w:snapToGrid/>
          <w:kern w:val="0"/>
          <w:szCs w:val="22"/>
        </w:rPr>
      </w:pPr>
      <w:r>
        <w:rPr>
          <w:b/>
          <w:snapToGrid/>
          <w:kern w:val="0"/>
          <w:szCs w:val="22"/>
        </w:rPr>
        <w:t xml:space="preserve">DOMESTIC SECTION 214 </w:t>
      </w:r>
      <w:r w:rsidR="00602C74" w:rsidRPr="00602C74">
        <w:rPr>
          <w:b/>
          <w:snapToGrid/>
          <w:kern w:val="0"/>
          <w:szCs w:val="22"/>
        </w:rPr>
        <w:t xml:space="preserve">APPLICATION GRANTED </w:t>
      </w:r>
    </w:p>
    <w:p w:rsidR="00E85587" w:rsidRPr="0022731C" w:rsidRDefault="00602C74" w:rsidP="0022731C">
      <w:pPr>
        <w:widowControl/>
        <w:ind w:left="720" w:right="720"/>
        <w:jc w:val="center"/>
        <w:rPr>
          <w:b/>
          <w:szCs w:val="22"/>
        </w:rPr>
      </w:pPr>
      <w:r w:rsidRPr="00602C74">
        <w:rPr>
          <w:b/>
          <w:snapToGrid/>
          <w:kern w:val="0"/>
          <w:szCs w:val="22"/>
        </w:rPr>
        <w:t xml:space="preserve">FOR THE </w:t>
      </w:r>
      <w:r w:rsidR="0022731C">
        <w:rPr>
          <w:b/>
          <w:szCs w:val="22"/>
        </w:rPr>
        <w:t xml:space="preserve">TRANSFER </w:t>
      </w:r>
      <w:r w:rsidR="00E85587" w:rsidRPr="001731B4">
        <w:rPr>
          <w:b/>
          <w:szCs w:val="22"/>
        </w:rPr>
        <w:t>OF CONTROL OF RCN TELECOM SERVICES, LLC AND</w:t>
      </w:r>
      <w:r w:rsidR="0022731C">
        <w:rPr>
          <w:b/>
          <w:szCs w:val="22"/>
        </w:rPr>
        <w:t xml:space="preserve"> </w:t>
      </w:r>
      <w:r w:rsidR="00E85587" w:rsidRPr="001731B4">
        <w:rPr>
          <w:b/>
          <w:szCs w:val="22"/>
        </w:rPr>
        <w:t>GRANDE COMMUNICATIONS NETWORKS LLC</w:t>
      </w:r>
    </w:p>
    <w:p w:rsidR="00E85587" w:rsidRPr="001731B4" w:rsidRDefault="00E85587" w:rsidP="0022731C">
      <w:pPr>
        <w:autoSpaceDE w:val="0"/>
        <w:autoSpaceDN w:val="0"/>
        <w:adjustRightInd w:val="0"/>
        <w:jc w:val="center"/>
        <w:rPr>
          <w:b/>
          <w:szCs w:val="22"/>
        </w:rPr>
      </w:pPr>
      <w:r w:rsidRPr="001731B4">
        <w:rPr>
          <w:b/>
          <w:szCs w:val="22"/>
        </w:rPr>
        <w:t>TO RADIATE HOLDINGS, L.P.</w:t>
      </w:r>
    </w:p>
    <w:p w:rsidR="00602C74" w:rsidRPr="00602C74" w:rsidRDefault="00602C74" w:rsidP="00602C74">
      <w:pPr>
        <w:widowControl/>
        <w:rPr>
          <w:b/>
          <w:snapToGrid/>
          <w:kern w:val="0"/>
          <w:szCs w:val="22"/>
        </w:rPr>
      </w:pPr>
    </w:p>
    <w:p w:rsidR="00602C74" w:rsidRPr="00602C74" w:rsidRDefault="00E85587" w:rsidP="00602C74">
      <w:pPr>
        <w:widowControl/>
        <w:jc w:val="center"/>
        <w:rPr>
          <w:b/>
          <w:snapToGrid/>
          <w:kern w:val="0"/>
          <w:szCs w:val="22"/>
        </w:rPr>
      </w:pPr>
      <w:r>
        <w:rPr>
          <w:b/>
          <w:snapToGrid/>
          <w:kern w:val="0"/>
          <w:szCs w:val="22"/>
        </w:rPr>
        <w:t>WC Docket No. 16-276</w:t>
      </w:r>
    </w:p>
    <w:p w:rsidR="00602C74" w:rsidRPr="00602C74" w:rsidRDefault="00602C74" w:rsidP="00602C74">
      <w:pPr>
        <w:widowControl/>
        <w:rPr>
          <w:b/>
          <w:snapToGrid/>
          <w:kern w:val="0"/>
          <w:szCs w:val="22"/>
        </w:rPr>
      </w:pPr>
    </w:p>
    <w:p w:rsidR="00602C74" w:rsidRPr="00FD47A0" w:rsidRDefault="0021495D" w:rsidP="00FD47A0">
      <w:pPr>
        <w:autoSpaceDE w:val="0"/>
        <w:autoSpaceDN w:val="0"/>
        <w:adjustRightInd w:val="0"/>
        <w:ind w:firstLine="720"/>
        <w:rPr>
          <w:snapToGrid/>
          <w:kern w:val="0"/>
          <w:szCs w:val="22"/>
        </w:rPr>
      </w:pPr>
      <w:r>
        <w:rPr>
          <w:snapToGrid/>
          <w:kern w:val="0"/>
        </w:rPr>
        <w:t>On September 1, 2016,</w:t>
      </w:r>
      <w:r w:rsidR="00602C74" w:rsidRPr="00602C74">
        <w:rPr>
          <w:snapToGrid/>
          <w:kern w:val="0"/>
        </w:rPr>
        <w:t xml:space="preserve"> </w:t>
      </w:r>
      <w:r w:rsidR="00E85587" w:rsidRPr="00E85587">
        <w:t>Radiate Holdings, L.P. (Radiate Holdings), Yankee Cable Partners, LLC (Yankee Partners), and Grande Investment L.P. (Grande Investment) (together</w:t>
      </w:r>
      <w:r w:rsidR="00E85587">
        <w:t>, Applicants)</w:t>
      </w:r>
      <w:r>
        <w:rPr>
          <w:szCs w:val="22"/>
        </w:rPr>
        <w:t xml:space="preserve"> filed an application,</w:t>
      </w:r>
      <w:r w:rsidR="00E85587" w:rsidRPr="00E85587">
        <w:rPr>
          <w:szCs w:val="22"/>
        </w:rPr>
        <w:t xml:space="preserve"> pursu</w:t>
      </w:r>
      <w:r w:rsidR="00450CD2">
        <w:rPr>
          <w:szCs w:val="22"/>
        </w:rPr>
        <w:t>ant to section 214</w:t>
      </w:r>
      <w:r w:rsidR="00E85587" w:rsidRPr="00E85587">
        <w:rPr>
          <w:szCs w:val="22"/>
        </w:rPr>
        <w:t xml:space="preserve"> of the Communications Act of 1934</w:t>
      </w:r>
      <w:r w:rsidR="00450CD2">
        <w:rPr>
          <w:szCs w:val="22"/>
        </w:rPr>
        <w:t xml:space="preserve">, as amended (Act), and section 63.04 </w:t>
      </w:r>
      <w:r w:rsidR="00E85587" w:rsidRPr="00E85587">
        <w:rPr>
          <w:szCs w:val="22"/>
        </w:rPr>
        <w:t>of the Commission’s rules,</w:t>
      </w:r>
      <w:r w:rsidR="00E85587" w:rsidRPr="00E85587">
        <w:rPr>
          <w:vertAlign w:val="superscript"/>
        </w:rPr>
        <w:footnoteReference w:id="2"/>
      </w:r>
      <w:r w:rsidR="00E85587" w:rsidRPr="00E85587">
        <w:rPr>
          <w:szCs w:val="22"/>
        </w:rPr>
        <w:t xml:space="preserve"> seeking app</w:t>
      </w:r>
      <w:r w:rsidR="002C47C5">
        <w:rPr>
          <w:szCs w:val="22"/>
        </w:rPr>
        <w:t>roval to transfer control of</w:t>
      </w:r>
      <w:r w:rsidR="00EC6C09">
        <w:rPr>
          <w:szCs w:val="22"/>
        </w:rPr>
        <w:t xml:space="preserve"> </w:t>
      </w:r>
      <w:r w:rsidRPr="00E85587">
        <w:rPr>
          <w:snapToGrid/>
          <w:kern w:val="0"/>
          <w:szCs w:val="22"/>
        </w:rPr>
        <w:t>RCN Telecom Services, LLC (RCN-TS)</w:t>
      </w:r>
      <w:r>
        <w:rPr>
          <w:snapToGrid/>
          <w:kern w:val="0"/>
          <w:szCs w:val="22"/>
        </w:rPr>
        <w:t xml:space="preserve"> an</w:t>
      </w:r>
      <w:r w:rsidR="005C2543">
        <w:rPr>
          <w:snapToGrid/>
          <w:kern w:val="0"/>
          <w:szCs w:val="22"/>
        </w:rPr>
        <w:t xml:space="preserve">d </w:t>
      </w:r>
      <w:r w:rsidRPr="00E85587">
        <w:rPr>
          <w:snapToGrid/>
          <w:kern w:val="0"/>
          <w:szCs w:val="22"/>
        </w:rPr>
        <w:t>Grande Communications Networks LLC (Grande Networks)</w:t>
      </w:r>
      <w:r w:rsidR="00EC6C09">
        <w:rPr>
          <w:szCs w:val="22"/>
        </w:rPr>
        <w:t xml:space="preserve"> from</w:t>
      </w:r>
      <w:r w:rsidR="00E85587" w:rsidRPr="00E85587">
        <w:rPr>
          <w:szCs w:val="22"/>
        </w:rPr>
        <w:t xml:space="preserve"> Yankee Partners and Grande Investment</w:t>
      </w:r>
      <w:r w:rsidR="005C2543">
        <w:rPr>
          <w:szCs w:val="22"/>
        </w:rPr>
        <w:t>, respectively,</w:t>
      </w:r>
      <w:r w:rsidR="00E85587" w:rsidRPr="00E85587">
        <w:rPr>
          <w:szCs w:val="22"/>
        </w:rPr>
        <w:t xml:space="preserve"> to Radiate Holdings.</w:t>
      </w:r>
      <w:r w:rsidR="00602C74" w:rsidRPr="00602C74">
        <w:rPr>
          <w:snapToGrid/>
          <w:kern w:val="0"/>
          <w:szCs w:val="22"/>
          <w:vertAlign w:val="superscript"/>
        </w:rPr>
        <w:footnoteReference w:id="3"/>
      </w:r>
      <w:r w:rsidR="00FC3C8D">
        <w:rPr>
          <w:snapToGrid/>
          <w:kern w:val="0"/>
          <w:szCs w:val="22"/>
        </w:rPr>
        <w:t xml:space="preserve">  No commenter opposed grant of the </w:t>
      </w:r>
      <w:r w:rsidR="00E3164D">
        <w:rPr>
          <w:snapToGrid/>
          <w:kern w:val="0"/>
          <w:szCs w:val="22"/>
        </w:rPr>
        <w:t>A</w:t>
      </w:r>
      <w:r w:rsidR="00FC3C8D">
        <w:rPr>
          <w:snapToGrid/>
          <w:kern w:val="0"/>
          <w:szCs w:val="22"/>
        </w:rPr>
        <w:t>pplication.</w:t>
      </w:r>
      <w:r w:rsidR="00602C74" w:rsidRPr="00602C74">
        <w:rPr>
          <w:snapToGrid/>
          <w:kern w:val="0"/>
          <w:szCs w:val="22"/>
        </w:rPr>
        <w:t xml:space="preserve"> </w:t>
      </w:r>
    </w:p>
    <w:p w:rsidR="00602C74" w:rsidRPr="00602C74" w:rsidRDefault="00602C74" w:rsidP="00602C74">
      <w:pPr>
        <w:widowControl/>
        <w:ind w:firstLine="720"/>
        <w:rPr>
          <w:snapToGrid/>
          <w:kern w:val="0"/>
          <w:szCs w:val="22"/>
        </w:rPr>
      </w:pPr>
    </w:p>
    <w:p w:rsidR="00602C74" w:rsidRPr="00602C74" w:rsidRDefault="00FC3C8D" w:rsidP="002B0852">
      <w:pPr>
        <w:suppressAutoHyphens/>
        <w:rPr>
          <w:snapToGrid/>
          <w:kern w:val="0"/>
          <w:szCs w:val="22"/>
        </w:rPr>
      </w:pPr>
      <w:r w:rsidRPr="00E2563D">
        <w:rPr>
          <w:szCs w:val="24"/>
        </w:rPr>
        <w:tab/>
        <w:t>The Bureau finds, upon consideration of the record, that the proposed transfer will serve the public interest, convenience</w:t>
      </w:r>
      <w:r>
        <w:rPr>
          <w:szCs w:val="24"/>
        </w:rPr>
        <w:t>,</w:t>
      </w:r>
      <w:r w:rsidRPr="00E2563D">
        <w:rPr>
          <w:szCs w:val="24"/>
        </w:rPr>
        <w:t xml:space="preserve"> and necessity and</w:t>
      </w:r>
      <w:r>
        <w:rPr>
          <w:szCs w:val="24"/>
        </w:rPr>
        <w:t>,</w:t>
      </w:r>
      <w:r w:rsidRPr="00E2563D">
        <w:rPr>
          <w:szCs w:val="24"/>
        </w:rPr>
        <w:t xml:space="preserve"> therefore</w:t>
      </w:r>
      <w:r>
        <w:rPr>
          <w:szCs w:val="24"/>
        </w:rPr>
        <w:t>,</w:t>
      </w:r>
      <w:r w:rsidRPr="00E2563D">
        <w:rPr>
          <w:szCs w:val="24"/>
        </w:rPr>
        <w:t xml:space="preserve"> grants the requested authorization.</w:t>
      </w:r>
      <w:r w:rsidRPr="00E2563D">
        <w:rPr>
          <w:rStyle w:val="FootnoteReference"/>
        </w:rPr>
        <w:footnoteReference w:id="4"/>
      </w:r>
      <w:r w:rsidRPr="00E2563D">
        <w:rPr>
          <w:szCs w:val="24"/>
        </w:rPr>
        <w:t xml:space="preserve">  Pursuant to section 1.103 of the Commission’s rules, 47 CFR § 1.103, the consent granted herein is effective upon the release of th</w:t>
      </w:r>
      <w:r w:rsidR="00E3164D">
        <w:rPr>
          <w:szCs w:val="24"/>
        </w:rPr>
        <w:t>is</w:t>
      </w:r>
      <w:r w:rsidRPr="00E2563D">
        <w:rPr>
          <w:szCs w:val="24"/>
        </w:rPr>
        <w:t xml:space="preserve"> Public Notice.  </w:t>
      </w:r>
      <w:r w:rsidRPr="00602C74">
        <w:rPr>
          <w:snapToGrid/>
          <w:kern w:val="0"/>
          <w:szCs w:val="22"/>
        </w:rPr>
        <w:t xml:space="preserve">Pursuant to sections 1.106 and 1.115 of the Commission’s rules, 47 CFR §§ 1.106, 1.115, petitions for reconsideration and applications for review may be filed within </w:t>
      </w:r>
      <w:r>
        <w:rPr>
          <w:snapToGrid/>
          <w:kern w:val="0"/>
          <w:szCs w:val="22"/>
        </w:rPr>
        <w:t>30</w:t>
      </w:r>
      <w:r w:rsidRPr="00602C74">
        <w:rPr>
          <w:snapToGrid/>
          <w:kern w:val="0"/>
          <w:szCs w:val="22"/>
        </w:rPr>
        <w:t xml:space="preserve"> days of the release of this Public Notice.</w:t>
      </w:r>
      <w:r>
        <w:rPr>
          <w:snapToGrid/>
          <w:kern w:val="0"/>
          <w:szCs w:val="22"/>
        </w:rPr>
        <w:t xml:space="preserve">  </w:t>
      </w:r>
      <w:r w:rsidRPr="00FA41B6">
        <w:rPr>
          <w:color w:val="000000"/>
          <w:szCs w:val="22"/>
        </w:rPr>
        <w:t>For purposes of computation of time when filing a petition for reconsideration or application for review, or for judicial review of the Commission’s decision, the date of “public notice” shall be the release date of this notice.</w:t>
      </w:r>
      <w:r w:rsidRPr="00FA41B6">
        <w:rPr>
          <w:color w:val="000000"/>
          <w:szCs w:val="22"/>
          <w:vertAlign w:val="superscript"/>
        </w:rPr>
        <w:footnoteReference w:id="5"/>
      </w:r>
      <w:r w:rsidRPr="00FA41B6">
        <w:rPr>
          <w:rFonts w:eastAsia="MS Mincho"/>
          <w:color w:val="4F81BD"/>
        </w:rPr>
        <w:t xml:space="preserve">  </w:t>
      </w:r>
      <w:r w:rsidRPr="00FA41B6">
        <w:rPr>
          <w:rFonts w:eastAsia="MS Mincho"/>
        </w:rPr>
        <w:t>Should no petitions for reconsideration, applications for review, or petitions for judicial review be timely filed, the proceeding listed in this Public Notice shall be terminated, and the docket will be closed.</w:t>
      </w:r>
      <w:r w:rsidRPr="00FC3C8D">
        <w:rPr>
          <w:rFonts w:eastAsia="MS Mincho"/>
          <w:color w:val="5B9BD5"/>
        </w:rPr>
        <w:t xml:space="preserve">  </w:t>
      </w:r>
      <w:r w:rsidR="00602C74" w:rsidRPr="00602C74">
        <w:rPr>
          <w:snapToGrid/>
          <w:color w:val="000000"/>
          <w:kern w:val="0"/>
          <w:szCs w:val="22"/>
        </w:rPr>
        <w:t>For further information, please contact Dennis Johnson, Competition Policy Division, Wireline Competition Bureau, at (202) 418-0809.</w:t>
      </w:r>
      <w:r w:rsidR="00602C74" w:rsidRPr="00602C74">
        <w:rPr>
          <w:snapToGrid/>
          <w:color w:val="000000"/>
          <w:kern w:val="0"/>
        </w:rPr>
        <w:t xml:space="preserve"> </w:t>
      </w:r>
    </w:p>
    <w:p w:rsidR="00602C74" w:rsidRPr="00602C74" w:rsidRDefault="00602C74" w:rsidP="00602C74">
      <w:pPr>
        <w:widowControl/>
        <w:ind w:firstLine="720"/>
        <w:rPr>
          <w:snapToGrid/>
          <w:kern w:val="0"/>
        </w:rPr>
      </w:pPr>
    </w:p>
    <w:p w:rsidR="00602C74" w:rsidRPr="00602C74" w:rsidRDefault="00602C74" w:rsidP="00602C74">
      <w:pPr>
        <w:widowControl/>
        <w:tabs>
          <w:tab w:val="left" w:pos="-720"/>
        </w:tabs>
        <w:suppressAutoHyphens/>
        <w:jc w:val="center"/>
        <w:rPr>
          <w:b/>
          <w:snapToGrid/>
          <w:kern w:val="0"/>
          <w:szCs w:val="22"/>
        </w:rPr>
      </w:pPr>
      <w:r w:rsidRPr="00602C74">
        <w:rPr>
          <w:b/>
          <w:snapToGrid/>
          <w:kern w:val="0"/>
        </w:rPr>
        <w:t>-FCC-</w:t>
      </w:r>
    </w:p>
    <w:p w:rsidR="002C00E8" w:rsidRPr="00602C74" w:rsidRDefault="002C00E8" w:rsidP="00602C74"/>
    <w:sectPr w:rsidR="002C00E8" w:rsidRPr="00602C74"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17E" w:rsidRDefault="0023417E">
      <w:pPr>
        <w:spacing w:line="20" w:lineRule="exact"/>
      </w:pPr>
    </w:p>
  </w:endnote>
  <w:endnote w:type="continuationSeparator" w:id="0">
    <w:p w:rsidR="0023417E" w:rsidRDefault="0023417E">
      <w:r>
        <w:t xml:space="preserve"> </w:t>
      </w:r>
    </w:p>
  </w:endnote>
  <w:endnote w:type="continuationNotice" w:id="1">
    <w:p w:rsidR="0023417E" w:rsidRDefault="0023417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2B0852">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17E" w:rsidRDefault="0023417E">
      <w:r>
        <w:separator/>
      </w:r>
    </w:p>
  </w:footnote>
  <w:footnote w:type="continuationSeparator" w:id="0">
    <w:p w:rsidR="0023417E" w:rsidRDefault="0023417E" w:rsidP="00C721AC">
      <w:pPr>
        <w:spacing w:before="120"/>
        <w:rPr>
          <w:sz w:val="20"/>
        </w:rPr>
      </w:pPr>
      <w:r>
        <w:rPr>
          <w:sz w:val="20"/>
        </w:rPr>
        <w:t xml:space="preserve">(Continued from previous page)  </w:t>
      </w:r>
      <w:r>
        <w:rPr>
          <w:sz w:val="20"/>
        </w:rPr>
        <w:separator/>
      </w:r>
    </w:p>
  </w:footnote>
  <w:footnote w:type="continuationNotice" w:id="1">
    <w:p w:rsidR="0023417E" w:rsidRDefault="0023417E" w:rsidP="00C721AC">
      <w:pPr>
        <w:jc w:val="right"/>
        <w:rPr>
          <w:sz w:val="20"/>
        </w:rPr>
      </w:pPr>
      <w:r>
        <w:rPr>
          <w:sz w:val="20"/>
        </w:rPr>
        <w:t>(continued….)</w:t>
      </w:r>
    </w:p>
  </w:footnote>
  <w:footnote w:id="2">
    <w:p w:rsidR="00E85587" w:rsidRPr="00954FA5" w:rsidRDefault="00E85587" w:rsidP="00E85587">
      <w:pPr>
        <w:pStyle w:val="FootnoteText"/>
        <w:tabs>
          <w:tab w:val="left" w:pos="450"/>
        </w:tabs>
      </w:pPr>
      <w:r w:rsidRPr="00954FA5">
        <w:rPr>
          <w:rStyle w:val="FootnoteReference"/>
        </w:rPr>
        <w:footnoteRef/>
      </w:r>
      <w:r w:rsidRPr="00954FA5">
        <w:t xml:space="preserve"> 47 U.S.C. §§ 214, 310(d); 47 CFR §§ 63.04, 63.18, 63.24.  Application to Transfer Control of Domestic and International Section 214 Authorizations, WC Docket No. 16-276 (filed Sept. 1, 2016)</w:t>
      </w:r>
      <w:r w:rsidR="00E3164D">
        <w:t xml:space="preserve"> (Application)</w:t>
      </w:r>
      <w:r w:rsidRPr="00954FA5">
        <w:t xml:space="preserve">.  </w:t>
      </w:r>
    </w:p>
  </w:footnote>
  <w:footnote w:id="3">
    <w:p w:rsidR="00602C74" w:rsidRPr="00641D97" w:rsidRDefault="00602C74" w:rsidP="00602C74">
      <w:pPr>
        <w:pStyle w:val="FootnoteText"/>
      </w:pPr>
      <w:r w:rsidRPr="00F9020A">
        <w:rPr>
          <w:rStyle w:val="FootnoteReference"/>
        </w:rPr>
        <w:footnoteRef/>
      </w:r>
      <w:r w:rsidRPr="00F9020A">
        <w:t xml:space="preserve"> </w:t>
      </w:r>
      <w:r w:rsidRPr="00641D97">
        <w:t>On September 2</w:t>
      </w:r>
      <w:r w:rsidR="005464B1">
        <w:t>1</w:t>
      </w:r>
      <w:r w:rsidRPr="00641D97">
        <w:t>, 2016, the Wireline Competition Bureau (Bureau)</w:t>
      </w:r>
      <w:r w:rsidR="0022731C">
        <w:t>, International Bureau, Media Bureau, and Wireless Telecommunications Bureau</w:t>
      </w:r>
      <w:r w:rsidRPr="00641D97">
        <w:t xml:space="preserve"> released a public notice accepting </w:t>
      </w:r>
      <w:r w:rsidR="00E3164D">
        <w:t>all</w:t>
      </w:r>
      <w:r w:rsidRPr="00641D97">
        <w:t xml:space="preserve"> application</w:t>
      </w:r>
      <w:r w:rsidR="0022731C">
        <w:t>s</w:t>
      </w:r>
      <w:r w:rsidRPr="00641D97">
        <w:t xml:space="preserve"> </w:t>
      </w:r>
      <w:r w:rsidR="00E3164D">
        <w:t xml:space="preserve">associated with this transaction </w:t>
      </w:r>
      <w:r w:rsidRPr="00641D97">
        <w:t>for non-streamlined processing.</w:t>
      </w:r>
      <w:r w:rsidRPr="003D0AFA">
        <w:rPr>
          <w:i/>
        </w:rPr>
        <w:t xml:space="preserve">  </w:t>
      </w:r>
      <w:r w:rsidRPr="00641D97">
        <w:rPr>
          <w:i/>
        </w:rPr>
        <w:t>Application</w:t>
      </w:r>
      <w:r w:rsidR="005464B1">
        <w:rPr>
          <w:i/>
        </w:rPr>
        <w:t>s</w:t>
      </w:r>
      <w:r w:rsidRPr="00641D97">
        <w:rPr>
          <w:i/>
        </w:rPr>
        <w:t xml:space="preserve"> Filed for the Transfer of Contro</w:t>
      </w:r>
      <w:r w:rsidR="005464B1">
        <w:rPr>
          <w:i/>
        </w:rPr>
        <w:t>l of RCN Telecom Services, LLC</w:t>
      </w:r>
      <w:r w:rsidRPr="00641D97">
        <w:rPr>
          <w:i/>
        </w:rPr>
        <w:t xml:space="preserve"> and </w:t>
      </w:r>
      <w:r w:rsidR="005464B1">
        <w:rPr>
          <w:i/>
        </w:rPr>
        <w:t>Grande Communications Networks LLC</w:t>
      </w:r>
      <w:r w:rsidRPr="00641D97">
        <w:rPr>
          <w:i/>
        </w:rPr>
        <w:t xml:space="preserve"> to </w:t>
      </w:r>
      <w:r w:rsidR="005464B1">
        <w:rPr>
          <w:i/>
        </w:rPr>
        <w:t>Radiate Holdings, L.P.</w:t>
      </w:r>
      <w:r w:rsidRPr="00641D97">
        <w:t>, Public Notice, DA 16-10</w:t>
      </w:r>
      <w:r w:rsidR="005464B1">
        <w:t>70</w:t>
      </w:r>
      <w:r w:rsidRPr="00641D97">
        <w:t xml:space="preserve"> (WCB </w:t>
      </w:r>
      <w:r w:rsidR="00852857">
        <w:t>Sept. 2</w:t>
      </w:r>
      <w:r w:rsidR="005464B1">
        <w:t>1</w:t>
      </w:r>
      <w:r w:rsidR="00852857">
        <w:t xml:space="preserve">, </w:t>
      </w:r>
      <w:r w:rsidRPr="00641D97">
        <w:t>2016).</w:t>
      </w:r>
      <w:r w:rsidR="0022731C" w:rsidRPr="0022731C">
        <w:t xml:space="preserve"> </w:t>
      </w:r>
      <w:r w:rsidR="00D84A2C">
        <w:t xml:space="preserve"> </w:t>
      </w:r>
      <w:r w:rsidR="0022731C">
        <w:t xml:space="preserve"> Any action on the domestic section 214 application is without prejudice to Commission action on the other related, pending applications.</w:t>
      </w:r>
    </w:p>
  </w:footnote>
  <w:footnote w:id="4">
    <w:p w:rsidR="00FC3C8D" w:rsidRPr="00DE0822" w:rsidRDefault="00FC3C8D" w:rsidP="00DE0822">
      <w:pPr>
        <w:spacing w:after="120"/>
        <w:rPr>
          <w:sz w:val="20"/>
        </w:rPr>
      </w:pPr>
      <w:r w:rsidRPr="00A34EAA">
        <w:rPr>
          <w:rStyle w:val="FootnoteReference"/>
        </w:rPr>
        <w:footnoteRef/>
      </w:r>
      <w:r w:rsidRPr="00A34EAA">
        <w:rPr>
          <w:sz w:val="20"/>
        </w:rPr>
        <w:t xml:space="preserve"> </w:t>
      </w:r>
      <w:r w:rsidR="001A01F0" w:rsidRPr="003E0D89">
        <w:rPr>
          <w:i/>
          <w:sz w:val="20"/>
        </w:rPr>
        <w:t>Implementation of Further Streamlining Measures for Domestic Section 214 Authorizations</w:t>
      </w:r>
      <w:r w:rsidR="001A01F0" w:rsidRPr="001A01F0">
        <w:rPr>
          <w:sz w:val="20"/>
        </w:rPr>
        <w:t xml:space="preserve">, CC Docket No. 01-150, Report and Order, 17 FCC </w:t>
      </w:r>
      <w:r w:rsidR="003E0D89">
        <w:rPr>
          <w:sz w:val="20"/>
        </w:rPr>
        <w:t>Rcd 5517, 5533, para. 29 (2002); 47 CFR § 63.03(b).</w:t>
      </w:r>
      <w:r w:rsidR="00DE0822" w:rsidRPr="00596E05">
        <w:rPr>
          <w:i/>
          <w:iCs/>
          <w:sz w:val="20"/>
        </w:rPr>
        <w:t xml:space="preserve"> </w:t>
      </w:r>
    </w:p>
  </w:footnote>
  <w:footnote w:id="5">
    <w:p w:rsidR="00FC3C8D" w:rsidRPr="00B4574B" w:rsidRDefault="00FC3C8D" w:rsidP="00FC3C8D">
      <w:pPr>
        <w:pStyle w:val="FootnoteText"/>
      </w:pPr>
      <w:r>
        <w:rPr>
          <w:rStyle w:val="FootnoteReference"/>
          <w:color w:val="000000"/>
        </w:rPr>
        <w:footnoteRef/>
      </w:r>
      <w:r>
        <w:rPr>
          <w:color w:val="000000"/>
        </w:rPr>
        <w:t xml:space="preserve">  </w:t>
      </w:r>
      <w:r>
        <w:rPr>
          <w:i/>
          <w:color w:val="000000"/>
        </w:rPr>
        <w:t>S</w:t>
      </w:r>
      <w:r w:rsidRPr="00B4574B">
        <w:rPr>
          <w:i/>
          <w:color w:val="000000"/>
        </w:rPr>
        <w:t>ee</w:t>
      </w:r>
      <w:r>
        <w:rPr>
          <w:color w:val="000000"/>
        </w:rPr>
        <w:t xml:space="preserve"> 47 CFR § 1.4 (c</w:t>
      </w:r>
      <w:r w:rsidRPr="00B4574B">
        <w:rPr>
          <w:color w:val="000000"/>
        </w:rPr>
        <w:t>omputation of time).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1E5" w:rsidRDefault="004261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602C74">
    <w:pPr>
      <w:rPr>
        <w:spacing w:val="-2"/>
      </w:rPr>
    </w:pPr>
    <w:r>
      <w:tab/>
    </w:r>
  </w:p>
  <w:p w:rsidR="00D25FB5" w:rsidRDefault="00D25FB5" w:rsidP="00602C74">
    <w:pPr>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C74" w:rsidRPr="00602C74" w:rsidRDefault="005310DE" w:rsidP="00602C74">
    <w:pPr>
      <w:widowControl/>
      <w:spacing w:before="40"/>
      <w:ind w:left="720"/>
      <w:rPr>
        <w:rFonts w:ascii="News Gothic MT" w:hAnsi="News Gothic MT"/>
        <w:b/>
        <w:snapToGrid/>
        <w:sz w:val="96"/>
      </w:rPr>
    </w:pPr>
    <w:r>
      <w:rPr>
        <w:rFonts w:ascii="News Gothic MT" w:hAnsi="News Gothic MT"/>
        <w:b/>
        <w:noProof/>
        <w:snapToGrid/>
        <w:kern w:val="0"/>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2.4pt;margin-top:8.5pt;width:41.75pt;height:41.75pt;z-index:251661312" o:allowincell="f">
          <v:imagedata r:id="rId1" o:title="fcc_logo"/>
          <w10:wrap type="topAndBottom"/>
        </v:shape>
      </w:pict>
    </w:r>
    <w:r>
      <w:rPr>
        <w:rFonts w:ascii="News Gothic MT" w:hAnsi="News Gothic MT"/>
        <w:b/>
        <w:noProof/>
        <w:snapToGrid/>
        <w:kern w:val="0"/>
        <w:sz w:val="24"/>
      </w:rPr>
      <w:pict>
        <v:shapetype id="_x0000_t202" coordsize="21600,21600" o:spt="202" path="m,l,21600r21600,l21600,xe">
          <v:stroke joinstyle="miter"/>
          <v:path gradientshapeok="t" o:connecttype="rect"/>
        </v:shapetype>
        <v:shape id="_x0000_s2051" type="#_x0000_t202" style="position:absolute;left:0;text-align:left;margin-left:47.6pt;margin-top:57.6pt;width:244.8pt;height:50.4pt;z-index:251660288" o:allowincell="f" stroked="f">
          <v:textbox style="mso-next-textbox:#_x0000_s2051">
            <w:txbxContent>
              <w:p w:rsidR="00602C74" w:rsidRDefault="00602C74" w:rsidP="00602C74">
                <w:pPr>
                  <w:rPr>
                    <w:rFonts w:ascii="Arial" w:hAnsi="Arial"/>
                    <w:b/>
                  </w:rPr>
                </w:pPr>
                <w:r>
                  <w:rPr>
                    <w:rFonts w:ascii="Arial" w:hAnsi="Arial"/>
                    <w:b/>
                  </w:rPr>
                  <w:t>Federal Communications Commission</w:t>
                </w:r>
              </w:p>
              <w:p w:rsidR="00602C74" w:rsidRDefault="00602C74" w:rsidP="00602C74">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C74" w:rsidRDefault="00602C74" w:rsidP="00602C74">
                <w:pPr>
                  <w:rPr>
                    <w:rFonts w:ascii="Arial" w:hAnsi="Arial"/>
                    <w:sz w:val="24"/>
                  </w:rPr>
                </w:pPr>
                <w:r>
                  <w:rPr>
                    <w:rFonts w:ascii="Arial" w:hAnsi="Arial"/>
                    <w:b/>
                  </w:rPr>
                  <w:t>Washington, D.C. 20554</w:t>
                </w:r>
              </w:p>
            </w:txbxContent>
          </v:textbox>
        </v:shape>
      </w:pict>
    </w:r>
    <w:r w:rsidR="00602C74">
      <w:rPr>
        <w:rFonts w:ascii="News Gothic MT" w:hAnsi="News Gothic MT"/>
        <w:b/>
        <w:snapToGrid/>
        <w:sz w:val="96"/>
      </w:rPr>
      <w:t xml:space="preserve"> </w:t>
    </w:r>
    <w:r w:rsidR="00602C74" w:rsidRPr="00602C74">
      <w:rPr>
        <w:rFonts w:ascii="News Gothic MT" w:hAnsi="News Gothic MT"/>
        <w:b/>
        <w:snapToGrid/>
        <w:sz w:val="96"/>
      </w:rPr>
      <w:t>PUBLIC NOTICE</w:t>
    </w:r>
  </w:p>
  <w:p w:rsidR="00602C74" w:rsidRDefault="005310DE" w:rsidP="00602C74">
    <w:pPr>
      <w:rPr>
        <w:b/>
      </w:rPr>
    </w:pPr>
    <w:r>
      <w:rPr>
        <w:b/>
        <w:noProof/>
        <w:snapToGrid/>
      </w:rPr>
      <w:pict>
        <v:shape id="_x0000_s2054" type="#_x0000_t202" style="position:absolute;margin-left:265.15pt;margin-top:4.3pt;width:207.95pt;height:43.2pt;z-index:251662336" stroked="f">
          <v:textbox style="mso-next-textbox:#_x0000_s2054" inset=",0,,0">
            <w:txbxContent>
              <w:p w:rsidR="00602C74" w:rsidRDefault="00602C74" w:rsidP="00602C74">
                <w:pPr>
                  <w:spacing w:before="40"/>
                  <w:jc w:val="right"/>
                  <w:rPr>
                    <w:rFonts w:ascii="Arial" w:hAnsi="Arial"/>
                    <w:b/>
                    <w:sz w:val="16"/>
                  </w:rPr>
                </w:pPr>
                <w:r>
                  <w:rPr>
                    <w:rFonts w:ascii="Arial" w:hAnsi="Arial"/>
                    <w:b/>
                    <w:sz w:val="16"/>
                  </w:rPr>
                  <w:t>News Media Information 202 / 418-0500</w:t>
                </w:r>
              </w:p>
              <w:p w:rsidR="00602C74" w:rsidRDefault="00602C74" w:rsidP="00602C74">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C74" w:rsidRDefault="00602C74" w:rsidP="00602C74">
                <w:pPr>
                  <w:jc w:val="right"/>
                  <w:rPr>
                    <w:rFonts w:ascii="Arial" w:hAnsi="Arial"/>
                    <w:b/>
                    <w:sz w:val="16"/>
                  </w:rPr>
                </w:pPr>
                <w:r>
                  <w:rPr>
                    <w:rFonts w:ascii="Arial" w:hAnsi="Arial"/>
                    <w:b/>
                    <w:sz w:val="16"/>
                  </w:rPr>
                  <w:t>TTY: 1-888-835-5322</w:t>
                </w:r>
              </w:p>
              <w:p w:rsidR="00602C74" w:rsidRDefault="00602C74" w:rsidP="00602C74">
                <w:pPr>
                  <w:jc w:val="right"/>
                </w:pPr>
              </w:p>
            </w:txbxContent>
          </v:textbox>
        </v:shape>
      </w:pict>
    </w:r>
  </w:p>
  <w:p w:rsidR="00602C74" w:rsidRDefault="00602C74" w:rsidP="00602C74">
    <w:pPr>
      <w:rPr>
        <w:b/>
      </w:rPr>
    </w:pPr>
  </w:p>
  <w:p w:rsidR="00602C74" w:rsidRDefault="00602C74" w:rsidP="00602C74">
    <w:pPr>
      <w:rPr>
        <w:b/>
      </w:rPr>
    </w:pPr>
  </w:p>
  <w:p w:rsidR="00D25FB5" w:rsidRDefault="005310DE" w:rsidP="00602C74">
    <w:pPr>
      <w:rPr>
        <w:b/>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6"/>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2C74"/>
    <w:rsid w:val="00036039"/>
    <w:rsid w:val="00037F90"/>
    <w:rsid w:val="00065E99"/>
    <w:rsid w:val="000875BF"/>
    <w:rsid w:val="00096D8C"/>
    <w:rsid w:val="000C0B65"/>
    <w:rsid w:val="000E05FE"/>
    <w:rsid w:val="000E3D42"/>
    <w:rsid w:val="00122BD5"/>
    <w:rsid w:val="00133F79"/>
    <w:rsid w:val="00194A66"/>
    <w:rsid w:val="001A01F0"/>
    <w:rsid w:val="001D6BCF"/>
    <w:rsid w:val="001E01CA"/>
    <w:rsid w:val="00213AA4"/>
    <w:rsid w:val="0021495D"/>
    <w:rsid w:val="0022731C"/>
    <w:rsid w:val="0023417E"/>
    <w:rsid w:val="0027350E"/>
    <w:rsid w:val="00275CF5"/>
    <w:rsid w:val="0028301F"/>
    <w:rsid w:val="00285017"/>
    <w:rsid w:val="002A2D2E"/>
    <w:rsid w:val="002B0852"/>
    <w:rsid w:val="002C00E8"/>
    <w:rsid w:val="002C47C5"/>
    <w:rsid w:val="00343749"/>
    <w:rsid w:val="003660ED"/>
    <w:rsid w:val="003B0550"/>
    <w:rsid w:val="003B1F1A"/>
    <w:rsid w:val="003B694F"/>
    <w:rsid w:val="003E0D89"/>
    <w:rsid w:val="003F171C"/>
    <w:rsid w:val="00412FC5"/>
    <w:rsid w:val="00422276"/>
    <w:rsid w:val="004242F1"/>
    <w:rsid w:val="004261E5"/>
    <w:rsid w:val="00443768"/>
    <w:rsid w:val="00445A00"/>
    <w:rsid w:val="00450CD2"/>
    <w:rsid w:val="00451B0F"/>
    <w:rsid w:val="00462DB4"/>
    <w:rsid w:val="00497B36"/>
    <w:rsid w:val="004C2EE3"/>
    <w:rsid w:val="004D15B6"/>
    <w:rsid w:val="004E4A22"/>
    <w:rsid w:val="004E7A68"/>
    <w:rsid w:val="00511968"/>
    <w:rsid w:val="005310DE"/>
    <w:rsid w:val="005464B1"/>
    <w:rsid w:val="0055614C"/>
    <w:rsid w:val="00591011"/>
    <w:rsid w:val="005C2543"/>
    <w:rsid w:val="005E14C2"/>
    <w:rsid w:val="00602C74"/>
    <w:rsid w:val="00607BA5"/>
    <w:rsid w:val="0061180A"/>
    <w:rsid w:val="00626EB6"/>
    <w:rsid w:val="00655D03"/>
    <w:rsid w:val="00665039"/>
    <w:rsid w:val="00683388"/>
    <w:rsid w:val="00683F84"/>
    <w:rsid w:val="006A6A81"/>
    <w:rsid w:val="006F7393"/>
    <w:rsid w:val="0070224F"/>
    <w:rsid w:val="007115F7"/>
    <w:rsid w:val="007713DD"/>
    <w:rsid w:val="00785689"/>
    <w:rsid w:val="0079754B"/>
    <w:rsid w:val="007A1E6D"/>
    <w:rsid w:val="007B0EB2"/>
    <w:rsid w:val="007C376A"/>
    <w:rsid w:val="00810B6F"/>
    <w:rsid w:val="00822CE0"/>
    <w:rsid w:val="00841AB1"/>
    <w:rsid w:val="00852857"/>
    <w:rsid w:val="00894A16"/>
    <w:rsid w:val="008A2F5C"/>
    <w:rsid w:val="008C68F1"/>
    <w:rsid w:val="00914FD1"/>
    <w:rsid w:val="00921803"/>
    <w:rsid w:val="00926503"/>
    <w:rsid w:val="009726D8"/>
    <w:rsid w:val="009F76DB"/>
    <w:rsid w:val="00A32C3B"/>
    <w:rsid w:val="00A45F4F"/>
    <w:rsid w:val="00A600A9"/>
    <w:rsid w:val="00A80A68"/>
    <w:rsid w:val="00AA2C49"/>
    <w:rsid w:val="00AA55B7"/>
    <w:rsid w:val="00AA5B9E"/>
    <w:rsid w:val="00AB2407"/>
    <w:rsid w:val="00AB53DF"/>
    <w:rsid w:val="00B06B27"/>
    <w:rsid w:val="00B07E5C"/>
    <w:rsid w:val="00B116C7"/>
    <w:rsid w:val="00B36F60"/>
    <w:rsid w:val="00B44F86"/>
    <w:rsid w:val="00B7456A"/>
    <w:rsid w:val="00B811F7"/>
    <w:rsid w:val="00BA5DC6"/>
    <w:rsid w:val="00BA6196"/>
    <w:rsid w:val="00BC6D8C"/>
    <w:rsid w:val="00BF45C7"/>
    <w:rsid w:val="00C34006"/>
    <w:rsid w:val="00C426B1"/>
    <w:rsid w:val="00C66160"/>
    <w:rsid w:val="00C721AC"/>
    <w:rsid w:val="00C90D6A"/>
    <w:rsid w:val="00CA247E"/>
    <w:rsid w:val="00CC72B6"/>
    <w:rsid w:val="00D0218D"/>
    <w:rsid w:val="00D25FB5"/>
    <w:rsid w:val="00D44223"/>
    <w:rsid w:val="00D84A2C"/>
    <w:rsid w:val="00DA2529"/>
    <w:rsid w:val="00DA5F54"/>
    <w:rsid w:val="00DB130A"/>
    <w:rsid w:val="00DB2EBB"/>
    <w:rsid w:val="00DC10A1"/>
    <w:rsid w:val="00DC655F"/>
    <w:rsid w:val="00DD0B59"/>
    <w:rsid w:val="00DD536F"/>
    <w:rsid w:val="00DD7EBD"/>
    <w:rsid w:val="00DE0822"/>
    <w:rsid w:val="00DF62B6"/>
    <w:rsid w:val="00E07225"/>
    <w:rsid w:val="00E3164D"/>
    <w:rsid w:val="00E5409F"/>
    <w:rsid w:val="00E85587"/>
    <w:rsid w:val="00EC6C09"/>
    <w:rsid w:val="00EE538D"/>
    <w:rsid w:val="00EE6488"/>
    <w:rsid w:val="00F021FA"/>
    <w:rsid w:val="00F1338A"/>
    <w:rsid w:val="00F408E6"/>
    <w:rsid w:val="00F463C8"/>
    <w:rsid w:val="00F62E97"/>
    <w:rsid w:val="00F64209"/>
    <w:rsid w:val="00F64FFA"/>
    <w:rsid w:val="00F93BF5"/>
    <w:rsid w:val="00FC3C8D"/>
    <w:rsid w:val="00FD47A0"/>
    <w:rsid w:val="00FD4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4Char">
    <w:name w:val="Footnote Text Char4 Char"/>
    <w:aliases w:val="Footnote Text Char2 Char Char,Footnote Text Char1 Char Char Char,Footnote Text Char Char Char1 Char Char,Footnote Text Char4 Char Char Char1 Char Char,Footnote Text Char1 Char Char Char Char1 Char Char"/>
    <w:rsid w:val="00602C74"/>
    <w:rPr>
      <w:snapToGrid w:val="0"/>
      <w:lang w:val="en-US" w:eastAsia="en-US" w:bidi="ar-SA"/>
    </w:rPr>
  </w:style>
  <w:style w:type="paragraph" w:styleId="BalloonText">
    <w:name w:val="Balloon Text"/>
    <w:basedOn w:val="Normal"/>
    <w:link w:val="BalloonTextChar"/>
    <w:rsid w:val="00DD536F"/>
    <w:rPr>
      <w:rFonts w:ascii="Segoe UI" w:hAnsi="Segoe UI" w:cs="Segoe UI"/>
      <w:sz w:val="18"/>
      <w:szCs w:val="18"/>
    </w:rPr>
  </w:style>
  <w:style w:type="character" w:customStyle="1" w:styleId="BalloonTextChar">
    <w:name w:val="Balloon Text Char"/>
    <w:basedOn w:val="DefaultParagraphFont"/>
    <w:link w:val="BalloonText"/>
    <w:rsid w:val="00DD536F"/>
    <w:rPr>
      <w:rFonts w:ascii="Segoe UI" w:hAnsi="Segoe UI" w:cs="Segoe UI"/>
      <w:snapToGrid w:val="0"/>
      <w:kern w:val="2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747663">
      <w:bodyDiv w:val="1"/>
      <w:marLeft w:val="0"/>
      <w:marRight w:val="0"/>
      <w:marTop w:val="0"/>
      <w:marBottom w:val="0"/>
      <w:divBdr>
        <w:top w:val="none" w:sz="0" w:space="0" w:color="auto"/>
        <w:left w:val="none" w:sz="0" w:space="0" w:color="auto"/>
        <w:bottom w:val="none" w:sz="0" w:space="0" w:color="auto"/>
        <w:right w:val="none" w:sz="0" w:space="0" w:color="auto"/>
      </w:divBdr>
      <w:divsChild>
        <w:div w:id="1912424157">
          <w:marLeft w:val="1275"/>
          <w:marRight w:val="0"/>
          <w:marTop w:val="0"/>
          <w:marBottom w:val="0"/>
          <w:divBdr>
            <w:top w:val="none" w:sz="0" w:space="0" w:color="auto"/>
            <w:left w:val="none" w:sz="0" w:space="0" w:color="auto"/>
            <w:bottom w:val="none" w:sz="0" w:space="0" w:color="auto"/>
            <w:right w:val="none" w:sz="0" w:space="0" w:color="auto"/>
          </w:divBdr>
          <w:divsChild>
            <w:div w:id="1992638698">
              <w:marLeft w:val="0"/>
              <w:marRight w:val="0"/>
              <w:marTop w:val="0"/>
              <w:marBottom w:val="0"/>
              <w:divBdr>
                <w:top w:val="none" w:sz="0" w:space="0" w:color="auto"/>
                <w:left w:val="none" w:sz="0" w:space="0" w:color="auto"/>
                <w:bottom w:val="none" w:sz="0" w:space="0" w:color="auto"/>
                <w:right w:val="none" w:sz="0" w:space="0" w:color="auto"/>
              </w:divBdr>
              <w:divsChild>
                <w:div w:id="103496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1</Pages>
  <Words>287</Words>
  <Characters>1654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1943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2016-11-16T14:48:00Z</cp:lastPrinted>
  <dcterms:created xsi:type="dcterms:W3CDTF">2016-11-16T15:28:00Z</dcterms:created>
  <dcterms:modified xsi:type="dcterms:W3CDTF">2016-11-16T15:28:00Z</dcterms:modified>
  <cp:category> </cp:category>
  <cp:contentStatus> </cp:contentStatus>
</cp:coreProperties>
</file>