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2446F" w:rsidRDefault="0032446F" w:rsidP="0032446F">
      <w:pPr>
        <w:pStyle w:val="Header"/>
        <w:tabs>
          <w:tab w:val="clear" w:pos="4320"/>
          <w:tab w:val="clear" w:pos="8640"/>
        </w:tabs>
        <w:sectPr w:rsidR="0032446F" w:rsidSect="003357FC">
          <w:footerReference w:type="default" r:id="rId14"/>
          <w:headerReference w:type="first" r:id="rId15"/>
          <w:type w:val="continuous"/>
          <w:pgSz w:w="12240" w:h="15840" w:code="1"/>
          <w:pgMar w:top="720" w:right="720" w:bottom="1440" w:left="720" w:header="720" w:footer="1440" w:gutter="0"/>
          <w:cols w:space="720"/>
          <w:titlePg/>
        </w:sectPr>
      </w:pPr>
    </w:p>
    <w:p w:rsidR="0032446F" w:rsidRPr="000A3DA3" w:rsidRDefault="0032446F" w:rsidP="0032446F">
      <w:pPr>
        <w:jc w:val="right"/>
        <w:rPr>
          <w:b/>
          <w:szCs w:val="22"/>
        </w:rPr>
      </w:pPr>
      <w:r w:rsidRPr="000A3DA3">
        <w:rPr>
          <w:b/>
          <w:szCs w:val="22"/>
        </w:rPr>
        <w:lastRenderedPageBreak/>
        <w:t>DA 16-</w:t>
      </w:r>
      <w:r w:rsidR="00423740">
        <w:rPr>
          <w:b/>
          <w:szCs w:val="22"/>
        </w:rPr>
        <w:t>129</w:t>
      </w:r>
    </w:p>
    <w:p w:rsidR="0032446F" w:rsidRPr="000A3DA3" w:rsidRDefault="0032446F" w:rsidP="0032446F">
      <w:pPr>
        <w:spacing w:before="60"/>
        <w:jc w:val="right"/>
        <w:rPr>
          <w:b/>
          <w:szCs w:val="22"/>
        </w:rPr>
      </w:pPr>
      <w:r>
        <w:rPr>
          <w:b/>
          <w:szCs w:val="22"/>
        </w:rPr>
        <w:t xml:space="preserve">Released:  </w:t>
      </w:r>
      <w:r w:rsidRPr="000A3DA3">
        <w:rPr>
          <w:b/>
          <w:szCs w:val="22"/>
        </w:rPr>
        <w:t xml:space="preserve">February </w:t>
      </w:r>
      <w:r w:rsidR="00423740">
        <w:rPr>
          <w:b/>
          <w:szCs w:val="22"/>
        </w:rPr>
        <w:t>4</w:t>
      </w:r>
      <w:r w:rsidRPr="000A3DA3">
        <w:rPr>
          <w:b/>
          <w:szCs w:val="22"/>
        </w:rPr>
        <w:t>, 2016</w:t>
      </w:r>
    </w:p>
    <w:p w:rsidR="0032446F" w:rsidRDefault="0032446F" w:rsidP="0032446F">
      <w:pPr>
        <w:jc w:val="right"/>
        <w:rPr>
          <w:sz w:val="24"/>
        </w:rPr>
      </w:pPr>
    </w:p>
    <w:p w:rsidR="0032446F" w:rsidRPr="00EF532B" w:rsidRDefault="0032446F" w:rsidP="0032446F">
      <w:pPr>
        <w:pStyle w:val="BodyText"/>
        <w:spacing w:after="0"/>
        <w:jc w:val="center"/>
        <w:rPr>
          <w:b/>
          <w:color w:val="020100"/>
          <w:szCs w:val="22"/>
        </w:rPr>
      </w:pPr>
      <w:r w:rsidRPr="00EF532B">
        <w:rPr>
          <w:b/>
          <w:color w:val="020100"/>
          <w:szCs w:val="22"/>
        </w:rPr>
        <w:t xml:space="preserve">WIRELINE COMPETITION BUREAU ANNOUNCES </w:t>
      </w:r>
      <w:r>
        <w:rPr>
          <w:b/>
          <w:color w:val="020100"/>
          <w:szCs w:val="22"/>
        </w:rPr>
        <w:t xml:space="preserve">COMMENCEMENT DATE AND PROCESS FOR </w:t>
      </w:r>
      <w:r w:rsidRPr="00EF532B">
        <w:rPr>
          <w:b/>
          <w:color w:val="020100"/>
          <w:szCs w:val="22"/>
        </w:rPr>
        <w:t>INTERCONNECTED VOIP PROVIDER</w:t>
      </w:r>
      <w:r>
        <w:rPr>
          <w:b/>
          <w:color w:val="020100"/>
          <w:szCs w:val="22"/>
        </w:rPr>
        <w:t>S</w:t>
      </w:r>
      <w:r w:rsidRPr="00EF532B">
        <w:rPr>
          <w:b/>
          <w:color w:val="020100"/>
          <w:szCs w:val="22"/>
        </w:rPr>
        <w:t xml:space="preserve"> </w:t>
      </w:r>
      <w:r>
        <w:rPr>
          <w:b/>
          <w:color w:val="020100"/>
          <w:szCs w:val="22"/>
        </w:rPr>
        <w:t xml:space="preserve">TO FILE APPLICATIONS FOR </w:t>
      </w:r>
      <w:r w:rsidRPr="00EF532B">
        <w:rPr>
          <w:b/>
          <w:color w:val="020100"/>
          <w:szCs w:val="22"/>
        </w:rPr>
        <w:t xml:space="preserve">AUTHORIZATION </w:t>
      </w:r>
      <w:r>
        <w:rPr>
          <w:b/>
          <w:color w:val="020100"/>
          <w:szCs w:val="22"/>
        </w:rPr>
        <w:t xml:space="preserve">TO OBTAIN TELEPHONE NUMBERS </w:t>
      </w:r>
    </w:p>
    <w:p w:rsidR="0032446F" w:rsidRDefault="0032446F" w:rsidP="0032446F">
      <w:pPr>
        <w:pStyle w:val="BodyText"/>
        <w:spacing w:after="0"/>
        <w:rPr>
          <w:color w:val="020100"/>
          <w:szCs w:val="22"/>
        </w:rPr>
      </w:pPr>
    </w:p>
    <w:p w:rsidR="0032446F" w:rsidRPr="00C22103" w:rsidRDefault="0032446F" w:rsidP="0032446F">
      <w:pPr>
        <w:pStyle w:val="BodyText"/>
        <w:spacing w:after="0"/>
        <w:jc w:val="center"/>
        <w:rPr>
          <w:b/>
          <w:color w:val="020100"/>
          <w:szCs w:val="22"/>
        </w:rPr>
      </w:pPr>
      <w:r w:rsidRPr="00C22103">
        <w:rPr>
          <w:b/>
          <w:color w:val="020100"/>
          <w:szCs w:val="22"/>
        </w:rPr>
        <w:t>CC Docket No</w:t>
      </w:r>
      <w:r>
        <w:rPr>
          <w:b/>
          <w:color w:val="020100"/>
          <w:szCs w:val="22"/>
        </w:rPr>
        <w:t>s</w:t>
      </w:r>
      <w:r w:rsidRPr="00C22103">
        <w:rPr>
          <w:b/>
          <w:color w:val="020100"/>
          <w:szCs w:val="22"/>
        </w:rPr>
        <w:t>. 95-116</w:t>
      </w:r>
      <w:r>
        <w:rPr>
          <w:b/>
          <w:color w:val="020100"/>
          <w:szCs w:val="22"/>
        </w:rPr>
        <w:t>, 99-200, 01-92</w:t>
      </w:r>
    </w:p>
    <w:p w:rsidR="0032446F" w:rsidRPr="00C22103" w:rsidRDefault="0032446F" w:rsidP="0032446F">
      <w:pPr>
        <w:pStyle w:val="BodyText"/>
        <w:spacing w:after="0"/>
        <w:jc w:val="center"/>
        <w:rPr>
          <w:b/>
          <w:szCs w:val="22"/>
        </w:rPr>
      </w:pPr>
      <w:r w:rsidRPr="00C22103">
        <w:rPr>
          <w:b/>
          <w:color w:val="020100"/>
          <w:szCs w:val="22"/>
        </w:rPr>
        <w:t>WC Docket No</w:t>
      </w:r>
      <w:r>
        <w:rPr>
          <w:b/>
          <w:color w:val="020100"/>
          <w:szCs w:val="22"/>
        </w:rPr>
        <w:t>s</w:t>
      </w:r>
      <w:r w:rsidRPr="00C22103">
        <w:rPr>
          <w:b/>
          <w:color w:val="020100"/>
          <w:szCs w:val="22"/>
        </w:rPr>
        <w:t>. 04-36</w:t>
      </w:r>
      <w:r>
        <w:rPr>
          <w:b/>
          <w:color w:val="020100"/>
          <w:szCs w:val="22"/>
        </w:rPr>
        <w:t>, 07-243, 10-90, 13-97</w:t>
      </w:r>
    </w:p>
    <w:p w:rsidR="0032446F" w:rsidRPr="0090170E" w:rsidRDefault="0032446F" w:rsidP="0032446F">
      <w:pPr>
        <w:pStyle w:val="BodyText"/>
        <w:spacing w:after="0"/>
        <w:ind w:left="3845"/>
        <w:rPr>
          <w:szCs w:val="22"/>
        </w:rPr>
      </w:pPr>
    </w:p>
    <w:p w:rsidR="0032446F" w:rsidRDefault="0032446F" w:rsidP="0032446F">
      <w:pPr>
        <w:pStyle w:val="BodyText"/>
        <w:spacing w:after="0"/>
        <w:ind w:firstLine="720"/>
        <w:rPr>
          <w:szCs w:val="22"/>
        </w:rPr>
      </w:pPr>
      <w:r>
        <w:rPr>
          <w:szCs w:val="22"/>
        </w:rPr>
        <w:t>By this Public Notice, the Wireline Competition Bureau (Bureau) announces that on February 18, 2016</w:t>
      </w:r>
      <w:r w:rsidRPr="000E0A9B">
        <w:rPr>
          <w:szCs w:val="22"/>
        </w:rPr>
        <w:t>,</w:t>
      </w:r>
      <w:r>
        <w:rPr>
          <w:szCs w:val="22"/>
        </w:rPr>
        <w:t xml:space="preserve"> the Federal Communications Commission will begin accepting applications from interconnected VoIP providers for authorization to obtain telephone numbers directly from the North American Numbering Plan Administrator and the Pooling Administrator (referred to herein as Numbering Administrators).  Filing procedures and information that must be included in an applicant’s filing are detailed below.  </w:t>
      </w:r>
    </w:p>
    <w:p w:rsidR="0032446F" w:rsidRDefault="0032446F" w:rsidP="0032446F">
      <w:pPr>
        <w:pStyle w:val="BodyText"/>
        <w:spacing w:after="0"/>
        <w:ind w:firstLine="720"/>
        <w:rPr>
          <w:szCs w:val="22"/>
        </w:rPr>
      </w:pPr>
    </w:p>
    <w:p w:rsidR="0032446F" w:rsidRDefault="0032446F" w:rsidP="0032446F">
      <w:pPr>
        <w:pStyle w:val="BodyText"/>
        <w:spacing w:after="0"/>
        <w:ind w:firstLine="720"/>
        <w:rPr>
          <w:spacing w:val="-7"/>
          <w:szCs w:val="22"/>
        </w:rPr>
      </w:pPr>
      <w:r>
        <w:rPr>
          <w:b/>
          <w:i/>
          <w:szCs w:val="22"/>
        </w:rPr>
        <w:t xml:space="preserve">Background. </w:t>
      </w:r>
      <w:r w:rsidRPr="004B448D">
        <w:rPr>
          <w:szCs w:val="22"/>
        </w:rPr>
        <w:t>On</w:t>
      </w:r>
      <w:r w:rsidRPr="004B448D">
        <w:rPr>
          <w:spacing w:val="-7"/>
          <w:szCs w:val="22"/>
        </w:rPr>
        <w:t xml:space="preserve"> </w:t>
      </w:r>
      <w:r w:rsidRPr="004B448D">
        <w:rPr>
          <w:szCs w:val="22"/>
        </w:rPr>
        <w:t>June 22,</w:t>
      </w:r>
      <w:r w:rsidRPr="004B448D">
        <w:rPr>
          <w:spacing w:val="-6"/>
          <w:szCs w:val="22"/>
        </w:rPr>
        <w:t xml:space="preserve"> </w:t>
      </w:r>
      <w:r w:rsidRPr="004B448D">
        <w:rPr>
          <w:szCs w:val="22"/>
        </w:rPr>
        <w:t>2015,</w:t>
      </w:r>
      <w:r w:rsidRPr="004B448D">
        <w:rPr>
          <w:spacing w:val="-7"/>
          <w:szCs w:val="22"/>
        </w:rPr>
        <w:t xml:space="preserve"> </w:t>
      </w:r>
      <w:r w:rsidRPr="004B448D">
        <w:rPr>
          <w:szCs w:val="22"/>
        </w:rPr>
        <w:t>the</w:t>
      </w:r>
      <w:r w:rsidRPr="004B448D">
        <w:rPr>
          <w:spacing w:val="-6"/>
          <w:szCs w:val="22"/>
        </w:rPr>
        <w:t xml:space="preserve"> </w:t>
      </w:r>
      <w:r w:rsidRPr="004B448D">
        <w:rPr>
          <w:szCs w:val="22"/>
        </w:rPr>
        <w:t>Commission</w:t>
      </w:r>
      <w:r w:rsidRPr="004B448D">
        <w:rPr>
          <w:spacing w:val="-7"/>
          <w:szCs w:val="22"/>
        </w:rPr>
        <w:t xml:space="preserve"> </w:t>
      </w:r>
      <w:r w:rsidRPr="004B448D">
        <w:rPr>
          <w:szCs w:val="22"/>
        </w:rPr>
        <w:t>released</w:t>
      </w:r>
      <w:r w:rsidRPr="004B448D">
        <w:rPr>
          <w:spacing w:val="-7"/>
          <w:szCs w:val="22"/>
        </w:rPr>
        <w:t xml:space="preserve"> </w:t>
      </w:r>
      <w:r>
        <w:rPr>
          <w:spacing w:val="-7"/>
          <w:szCs w:val="22"/>
        </w:rPr>
        <w:t xml:space="preserve">the </w:t>
      </w:r>
      <w:r w:rsidRPr="00C22103">
        <w:rPr>
          <w:i/>
          <w:spacing w:val="-7"/>
          <w:szCs w:val="22"/>
        </w:rPr>
        <w:t xml:space="preserve">Direct Access </w:t>
      </w:r>
      <w:r>
        <w:rPr>
          <w:i/>
          <w:spacing w:val="-7"/>
          <w:szCs w:val="22"/>
        </w:rPr>
        <w:t xml:space="preserve">Report and </w:t>
      </w:r>
      <w:r w:rsidRPr="00C22103">
        <w:rPr>
          <w:i/>
          <w:spacing w:val="-7"/>
          <w:szCs w:val="22"/>
        </w:rPr>
        <w:t>Order</w:t>
      </w:r>
      <w:r>
        <w:rPr>
          <w:spacing w:val="-7"/>
          <w:szCs w:val="22"/>
        </w:rPr>
        <w:t xml:space="preserve"> </w:t>
      </w:r>
      <w:r w:rsidRPr="004B448D">
        <w:rPr>
          <w:szCs w:val="22"/>
        </w:rPr>
        <w:t>establish</w:t>
      </w:r>
      <w:r>
        <w:rPr>
          <w:szCs w:val="22"/>
        </w:rPr>
        <w:t>ing</w:t>
      </w:r>
      <w:r w:rsidRPr="004B448D">
        <w:rPr>
          <w:szCs w:val="22"/>
        </w:rPr>
        <w:t xml:space="preserve"> </w:t>
      </w:r>
      <w:r>
        <w:rPr>
          <w:szCs w:val="22"/>
        </w:rPr>
        <w:t xml:space="preserve">a </w:t>
      </w:r>
      <w:r w:rsidRPr="004B448D">
        <w:rPr>
          <w:szCs w:val="22"/>
        </w:rPr>
        <w:t xml:space="preserve">process </w:t>
      </w:r>
      <w:r>
        <w:rPr>
          <w:szCs w:val="22"/>
        </w:rPr>
        <w:t xml:space="preserve">by which the Commission will </w:t>
      </w:r>
      <w:r w:rsidRPr="004B448D">
        <w:rPr>
          <w:szCs w:val="22"/>
        </w:rPr>
        <w:t xml:space="preserve">authorize interconnected VoIP providers to obtain telephone numbers directly from </w:t>
      </w:r>
      <w:r>
        <w:rPr>
          <w:szCs w:val="22"/>
        </w:rPr>
        <w:t xml:space="preserve">the </w:t>
      </w:r>
      <w:r w:rsidRPr="004B448D">
        <w:rPr>
          <w:szCs w:val="22"/>
        </w:rPr>
        <w:t>Numbering Administrators, rat</w:t>
      </w:r>
      <w:r>
        <w:rPr>
          <w:szCs w:val="22"/>
        </w:rPr>
        <w:t>her than through intermediaries.</w:t>
      </w:r>
      <w:r>
        <w:rPr>
          <w:rStyle w:val="FootnoteReference"/>
          <w:szCs w:val="22"/>
        </w:rPr>
        <w:footnoteReference w:id="1"/>
      </w:r>
      <w:r w:rsidRPr="004B448D">
        <w:rPr>
          <w:spacing w:val="-7"/>
          <w:szCs w:val="22"/>
        </w:rPr>
        <w:t xml:space="preserve">  </w:t>
      </w:r>
      <w:r>
        <w:rPr>
          <w:spacing w:val="-7"/>
          <w:szCs w:val="22"/>
        </w:rPr>
        <w:t>To streamline the processing of interconnected VoIP providers’ applications to obtain numbers—called “Numbering Authorization Applications”—the Commission established an electronic filing mechanism for these applications.  The Office of Management and Budget (OMB) approved the rules establishing that mechanism on January 5, 2016.</w:t>
      </w:r>
      <w:r>
        <w:rPr>
          <w:rStyle w:val="FootnoteReference"/>
          <w:spacing w:val="-7"/>
          <w:szCs w:val="22"/>
        </w:rPr>
        <w:footnoteReference w:id="2"/>
      </w:r>
      <w:r>
        <w:rPr>
          <w:spacing w:val="-7"/>
          <w:szCs w:val="22"/>
        </w:rPr>
        <w:t xml:space="preserve">  The rules became effective today upon publication of a notice of OMB’s approval in the Federal Register.</w:t>
      </w:r>
      <w:r>
        <w:rPr>
          <w:rStyle w:val="FootnoteReference"/>
          <w:spacing w:val="-7"/>
          <w:szCs w:val="22"/>
        </w:rPr>
        <w:footnoteReference w:id="3"/>
      </w:r>
    </w:p>
    <w:p w:rsidR="0032446F" w:rsidRDefault="0032446F" w:rsidP="0032446F">
      <w:pPr>
        <w:pStyle w:val="BodyText"/>
        <w:spacing w:after="0"/>
        <w:ind w:firstLine="720"/>
        <w:rPr>
          <w:spacing w:val="-7"/>
          <w:szCs w:val="22"/>
        </w:rPr>
      </w:pPr>
    </w:p>
    <w:p w:rsidR="0032446F" w:rsidRPr="00EC4FB1" w:rsidRDefault="0032446F" w:rsidP="0032446F">
      <w:pPr>
        <w:pStyle w:val="BodyText"/>
        <w:spacing w:after="0"/>
        <w:ind w:firstLine="720"/>
        <w:rPr>
          <w:szCs w:val="22"/>
        </w:rPr>
      </w:pPr>
      <w:r>
        <w:rPr>
          <w:b/>
          <w:i/>
          <w:spacing w:val="-7"/>
          <w:szCs w:val="22"/>
        </w:rPr>
        <w:t xml:space="preserve">Applicant Filing Procedures. </w:t>
      </w:r>
      <w:r>
        <w:rPr>
          <w:spacing w:val="-7"/>
          <w:szCs w:val="22"/>
        </w:rPr>
        <w:t>To obtain numbering authorization under the new Commission process, interested interconnected VoIP</w:t>
      </w:r>
      <w:r w:rsidRPr="004B448D">
        <w:rPr>
          <w:spacing w:val="-7"/>
          <w:szCs w:val="22"/>
        </w:rPr>
        <w:t xml:space="preserve"> providers </w:t>
      </w:r>
      <w:r>
        <w:rPr>
          <w:spacing w:val="-7"/>
          <w:szCs w:val="22"/>
        </w:rPr>
        <w:t xml:space="preserve">must </w:t>
      </w:r>
      <w:r w:rsidRPr="004B448D">
        <w:rPr>
          <w:szCs w:val="22"/>
        </w:rPr>
        <w:t>file</w:t>
      </w:r>
      <w:r>
        <w:rPr>
          <w:szCs w:val="22"/>
        </w:rPr>
        <w:t xml:space="preserve"> Numbering Authorization Applications</w:t>
      </w:r>
      <w:r w:rsidRPr="004B448D">
        <w:rPr>
          <w:szCs w:val="22"/>
        </w:rPr>
        <w:t xml:space="preserve"> through</w:t>
      </w:r>
      <w:r w:rsidRPr="004B448D">
        <w:rPr>
          <w:spacing w:val="-7"/>
          <w:szCs w:val="22"/>
        </w:rPr>
        <w:t xml:space="preserve"> </w:t>
      </w:r>
      <w:r w:rsidRPr="004B448D">
        <w:rPr>
          <w:szCs w:val="22"/>
        </w:rPr>
        <w:t>the</w:t>
      </w:r>
      <w:r w:rsidRPr="004B448D">
        <w:rPr>
          <w:w w:val="99"/>
          <w:szCs w:val="22"/>
        </w:rPr>
        <w:t xml:space="preserve"> </w:t>
      </w:r>
      <w:r w:rsidRPr="004B448D">
        <w:rPr>
          <w:szCs w:val="22"/>
        </w:rPr>
        <w:t>Commission’s</w:t>
      </w:r>
      <w:r w:rsidRPr="004B448D">
        <w:rPr>
          <w:spacing w:val="-7"/>
          <w:szCs w:val="22"/>
        </w:rPr>
        <w:t xml:space="preserve"> </w:t>
      </w:r>
      <w:r w:rsidRPr="004B448D">
        <w:rPr>
          <w:szCs w:val="22"/>
        </w:rPr>
        <w:t>Electronic</w:t>
      </w:r>
      <w:r w:rsidRPr="004B448D">
        <w:rPr>
          <w:spacing w:val="-7"/>
          <w:szCs w:val="22"/>
        </w:rPr>
        <w:t xml:space="preserve"> </w:t>
      </w:r>
      <w:r w:rsidRPr="004B448D">
        <w:rPr>
          <w:szCs w:val="22"/>
        </w:rPr>
        <w:t>Comment Filing</w:t>
      </w:r>
      <w:r w:rsidRPr="004B448D">
        <w:rPr>
          <w:spacing w:val="-6"/>
          <w:szCs w:val="22"/>
        </w:rPr>
        <w:t xml:space="preserve"> </w:t>
      </w:r>
      <w:r w:rsidRPr="004B448D">
        <w:rPr>
          <w:spacing w:val="-2"/>
          <w:szCs w:val="22"/>
        </w:rPr>
        <w:t>System</w:t>
      </w:r>
      <w:r w:rsidRPr="004B448D">
        <w:rPr>
          <w:spacing w:val="-7"/>
          <w:szCs w:val="22"/>
        </w:rPr>
        <w:t xml:space="preserve"> </w:t>
      </w:r>
      <w:r w:rsidRPr="004B448D">
        <w:rPr>
          <w:szCs w:val="22"/>
        </w:rPr>
        <w:t>(ECFS</w:t>
      </w:r>
      <w:r>
        <w:rPr>
          <w:szCs w:val="22"/>
        </w:rPr>
        <w:t>).</w:t>
      </w:r>
      <w:r w:rsidRPr="004B448D">
        <w:rPr>
          <w:rStyle w:val="FootnoteReference"/>
          <w:szCs w:val="22"/>
        </w:rPr>
        <w:footnoteReference w:id="4"/>
      </w:r>
      <w:r w:rsidRPr="0090170E">
        <w:rPr>
          <w:color w:val="020100"/>
          <w:position w:val="11"/>
          <w:szCs w:val="22"/>
        </w:rPr>
        <w:t xml:space="preserve"> </w:t>
      </w:r>
      <w:r>
        <w:rPr>
          <w:color w:val="020100"/>
          <w:position w:val="11"/>
          <w:szCs w:val="22"/>
        </w:rPr>
        <w:t xml:space="preserve"> </w:t>
      </w:r>
      <w:r w:rsidRPr="0090170E">
        <w:rPr>
          <w:color w:val="020100"/>
          <w:szCs w:val="22"/>
        </w:rPr>
        <w:t>When</w:t>
      </w:r>
      <w:r w:rsidRPr="0090170E">
        <w:rPr>
          <w:color w:val="020100"/>
          <w:spacing w:val="-6"/>
          <w:szCs w:val="22"/>
        </w:rPr>
        <w:t xml:space="preserve"> </w:t>
      </w:r>
      <w:r w:rsidRPr="0090170E">
        <w:rPr>
          <w:color w:val="020100"/>
          <w:szCs w:val="22"/>
        </w:rPr>
        <w:t>e-filing</w:t>
      </w:r>
      <w:r w:rsidRPr="0090170E">
        <w:rPr>
          <w:color w:val="020100"/>
          <w:spacing w:val="-7"/>
          <w:szCs w:val="22"/>
        </w:rPr>
        <w:t xml:space="preserve"> </w:t>
      </w:r>
      <w:r w:rsidRPr="0090170E">
        <w:rPr>
          <w:color w:val="020100"/>
          <w:szCs w:val="22"/>
        </w:rPr>
        <w:t xml:space="preserve">a new </w:t>
      </w:r>
      <w:r>
        <w:rPr>
          <w:color w:val="020100"/>
          <w:szCs w:val="22"/>
        </w:rPr>
        <w:t xml:space="preserve">Numbering Authorization Application, </w:t>
      </w:r>
      <w:r w:rsidRPr="0090170E">
        <w:rPr>
          <w:color w:val="020100"/>
          <w:szCs w:val="22"/>
        </w:rPr>
        <w:t>a</w:t>
      </w:r>
      <w:r w:rsidRPr="0090170E">
        <w:rPr>
          <w:color w:val="020100"/>
          <w:spacing w:val="-8"/>
          <w:szCs w:val="22"/>
        </w:rPr>
        <w:t xml:space="preserve"> </w:t>
      </w:r>
      <w:r>
        <w:rPr>
          <w:color w:val="020100"/>
          <w:spacing w:val="-8"/>
          <w:szCs w:val="22"/>
        </w:rPr>
        <w:t xml:space="preserve">filer </w:t>
      </w:r>
      <w:r w:rsidRPr="0090170E">
        <w:rPr>
          <w:color w:val="020100"/>
          <w:szCs w:val="22"/>
        </w:rPr>
        <w:t>must</w:t>
      </w:r>
      <w:r w:rsidRPr="0090170E">
        <w:rPr>
          <w:color w:val="020100"/>
          <w:spacing w:val="-7"/>
          <w:szCs w:val="22"/>
        </w:rPr>
        <w:t xml:space="preserve"> </w:t>
      </w:r>
      <w:r w:rsidRPr="0090170E">
        <w:rPr>
          <w:color w:val="020100"/>
          <w:szCs w:val="22"/>
        </w:rPr>
        <w:t>select</w:t>
      </w:r>
      <w:r w:rsidRPr="0090170E">
        <w:rPr>
          <w:color w:val="020100"/>
          <w:spacing w:val="-8"/>
          <w:szCs w:val="22"/>
        </w:rPr>
        <w:t xml:space="preserve"> </w:t>
      </w:r>
      <w:r w:rsidRPr="0090170E">
        <w:rPr>
          <w:color w:val="020100"/>
          <w:szCs w:val="22"/>
        </w:rPr>
        <w:t>“</w:t>
      </w:r>
      <w:r>
        <w:rPr>
          <w:color w:val="020100"/>
          <w:spacing w:val="-7"/>
          <w:szCs w:val="22"/>
        </w:rPr>
        <w:t xml:space="preserve">VoIP Numbering Authorization Application” </w:t>
      </w:r>
      <w:r w:rsidRPr="0090170E">
        <w:rPr>
          <w:color w:val="020100"/>
          <w:szCs w:val="22"/>
        </w:rPr>
        <w:t>from</w:t>
      </w:r>
      <w:r w:rsidRPr="0090170E">
        <w:rPr>
          <w:color w:val="020100"/>
          <w:spacing w:val="-7"/>
          <w:szCs w:val="22"/>
        </w:rPr>
        <w:t xml:space="preserve"> </w:t>
      </w:r>
      <w:r w:rsidRPr="0090170E">
        <w:rPr>
          <w:color w:val="020100"/>
          <w:szCs w:val="22"/>
        </w:rPr>
        <w:t>the</w:t>
      </w:r>
      <w:r w:rsidRPr="0090170E">
        <w:rPr>
          <w:color w:val="020100"/>
          <w:spacing w:val="-8"/>
          <w:szCs w:val="22"/>
        </w:rPr>
        <w:t xml:space="preserve"> </w:t>
      </w:r>
      <w:r>
        <w:rPr>
          <w:color w:val="020100"/>
          <w:spacing w:val="-8"/>
          <w:szCs w:val="22"/>
        </w:rPr>
        <w:t xml:space="preserve">Inbox list of the </w:t>
      </w:r>
      <w:r w:rsidRPr="0090170E">
        <w:rPr>
          <w:color w:val="020100"/>
          <w:szCs w:val="22"/>
        </w:rPr>
        <w:t>“Submit</w:t>
      </w:r>
      <w:r w:rsidRPr="0090170E">
        <w:rPr>
          <w:color w:val="020100"/>
          <w:spacing w:val="-7"/>
          <w:szCs w:val="22"/>
        </w:rPr>
        <w:t xml:space="preserve"> </w:t>
      </w:r>
      <w:r w:rsidRPr="0090170E">
        <w:rPr>
          <w:color w:val="020100"/>
          <w:szCs w:val="22"/>
        </w:rPr>
        <w:t>a</w:t>
      </w:r>
      <w:r w:rsidRPr="0090170E">
        <w:rPr>
          <w:color w:val="020100"/>
          <w:spacing w:val="-8"/>
          <w:szCs w:val="22"/>
        </w:rPr>
        <w:t xml:space="preserve"> </w:t>
      </w:r>
      <w:r w:rsidRPr="0090170E">
        <w:rPr>
          <w:color w:val="020100"/>
          <w:spacing w:val="4"/>
          <w:szCs w:val="22"/>
        </w:rPr>
        <w:t>Non-</w:t>
      </w:r>
      <w:r w:rsidRPr="0090170E">
        <w:rPr>
          <w:color w:val="020100"/>
          <w:szCs w:val="22"/>
        </w:rPr>
        <w:t>Docketed</w:t>
      </w:r>
      <w:r w:rsidRPr="0090170E">
        <w:rPr>
          <w:color w:val="020100"/>
          <w:spacing w:val="-6"/>
          <w:szCs w:val="22"/>
        </w:rPr>
        <w:t xml:space="preserve"> </w:t>
      </w:r>
      <w:r w:rsidRPr="0090170E">
        <w:rPr>
          <w:color w:val="020100"/>
          <w:szCs w:val="22"/>
        </w:rPr>
        <w:t>Filing”</w:t>
      </w:r>
      <w:r w:rsidRPr="0090170E">
        <w:rPr>
          <w:color w:val="020100"/>
          <w:spacing w:val="-6"/>
          <w:szCs w:val="22"/>
        </w:rPr>
        <w:t xml:space="preserve"> </w:t>
      </w:r>
      <w:r w:rsidRPr="0090170E">
        <w:rPr>
          <w:color w:val="020100"/>
          <w:szCs w:val="22"/>
        </w:rPr>
        <w:t>module</w:t>
      </w:r>
      <w:r w:rsidRPr="0090170E">
        <w:rPr>
          <w:color w:val="020100"/>
          <w:spacing w:val="-5"/>
          <w:szCs w:val="22"/>
        </w:rPr>
        <w:t xml:space="preserve"> </w:t>
      </w:r>
      <w:r w:rsidRPr="0090170E">
        <w:rPr>
          <w:color w:val="020100"/>
          <w:szCs w:val="22"/>
        </w:rPr>
        <w:t>of</w:t>
      </w:r>
      <w:r w:rsidRPr="0090170E">
        <w:rPr>
          <w:color w:val="020100"/>
          <w:spacing w:val="-6"/>
          <w:szCs w:val="22"/>
        </w:rPr>
        <w:t xml:space="preserve"> </w:t>
      </w:r>
      <w:r w:rsidRPr="0090170E">
        <w:rPr>
          <w:color w:val="020100"/>
          <w:szCs w:val="22"/>
        </w:rPr>
        <w:t>ECFS.</w:t>
      </w:r>
      <w:r>
        <w:rPr>
          <w:color w:val="020100"/>
          <w:szCs w:val="22"/>
        </w:rPr>
        <w:t xml:space="preserve">  Applicants are not required to use a particular form or format in filing their Numbering Authorization Application; however, new section </w:t>
      </w:r>
      <w:r>
        <w:rPr>
          <w:color w:val="020100"/>
          <w:szCs w:val="22"/>
        </w:rPr>
        <w:lastRenderedPageBreak/>
        <w:t>52.15(g)(3)(i) of the Commission’s rules</w:t>
      </w:r>
      <w:r>
        <w:rPr>
          <w:rStyle w:val="FootnoteReference"/>
          <w:color w:val="020100"/>
          <w:szCs w:val="22"/>
        </w:rPr>
        <w:footnoteReference w:id="5"/>
      </w:r>
      <w:r>
        <w:rPr>
          <w:color w:val="020100"/>
          <w:szCs w:val="22"/>
        </w:rPr>
        <w:t xml:space="preserve"> requires </w:t>
      </w:r>
      <w:r>
        <w:rPr>
          <w:szCs w:val="22"/>
        </w:rPr>
        <w:t>a</w:t>
      </w:r>
      <w:r w:rsidRPr="000F717D">
        <w:rPr>
          <w:szCs w:val="22"/>
        </w:rPr>
        <w:t xml:space="preserve"> </w:t>
      </w:r>
      <w:r>
        <w:rPr>
          <w:szCs w:val="22"/>
        </w:rPr>
        <w:t>Numbering Authorization A</w:t>
      </w:r>
      <w:r w:rsidRPr="000F717D">
        <w:rPr>
          <w:szCs w:val="22"/>
        </w:rPr>
        <w:t xml:space="preserve">pplication </w:t>
      </w:r>
      <w:r>
        <w:rPr>
          <w:szCs w:val="22"/>
        </w:rPr>
        <w:t xml:space="preserve">to </w:t>
      </w:r>
      <w:r w:rsidRPr="00EC4FB1">
        <w:rPr>
          <w:szCs w:val="22"/>
        </w:rPr>
        <w:t>contain the following:</w:t>
      </w:r>
    </w:p>
    <w:p w:rsidR="0032446F" w:rsidRPr="00EC4FB1" w:rsidRDefault="0032446F" w:rsidP="0032446F">
      <w:pPr>
        <w:ind w:left="720"/>
        <w:rPr>
          <w:szCs w:val="22"/>
        </w:rPr>
      </w:pPr>
    </w:p>
    <w:p w:rsidR="0032446F" w:rsidRPr="00EC4FB1" w:rsidRDefault="0032446F" w:rsidP="0032446F">
      <w:pPr>
        <w:pStyle w:val="ParaNum0"/>
        <w:widowControl/>
        <w:numPr>
          <w:ilvl w:val="0"/>
          <w:numId w:val="18"/>
        </w:numPr>
        <w:spacing w:after="0"/>
        <w:rPr>
          <w:szCs w:val="22"/>
        </w:rPr>
      </w:pPr>
      <w:r w:rsidRPr="00EC4FB1">
        <w:rPr>
          <w:szCs w:val="22"/>
        </w:rPr>
        <w:t xml:space="preserve">The applicant’s name, address, and telephone number, and contact information for personnel qualified to address issues relating to regulatory requirements, compliance with Commission rules, 911, and law enforcement; </w:t>
      </w:r>
    </w:p>
    <w:p w:rsidR="0032446F" w:rsidRPr="00EC4FB1" w:rsidRDefault="0032446F" w:rsidP="0032446F">
      <w:pPr>
        <w:pStyle w:val="ParaNum0"/>
        <w:widowControl/>
        <w:numPr>
          <w:ilvl w:val="0"/>
          <w:numId w:val="0"/>
        </w:numPr>
        <w:spacing w:after="0"/>
        <w:ind w:left="1440"/>
        <w:rPr>
          <w:szCs w:val="22"/>
        </w:rPr>
      </w:pPr>
    </w:p>
    <w:p w:rsidR="0032446F" w:rsidRPr="00EC4FB1" w:rsidRDefault="0032446F" w:rsidP="0032446F">
      <w:pPr>
        <w:pStyle w:val="ParaNum0"/>
        <w:widowControl/>
        <w:numPr>
          <w:ilvl w:val="0"/>
          <w:numId w:val="18"/>
        </w:numPr>
        <w:spacing w:after="0"/>
        <w:rPr>
          <w:szCs w:val="22"/>
        </w:rPr>
      </w:pPr>
      <w:r w:rsidRPr="00EC4FB1">
        <w:rPr>
          <w:szCs w:val="22"/>
        </w:rPr>
        <w:t xml:space="preserve">An acknowledgment that the authorization granted </w:t>
      </w:r>
      <w:r>
        <w:rPr>
          <w:szCs w:val="22"/>
        </w:rPr>
        <w:t xml:space="preserve">in this section of the rules </w:t>
      </w:r>
      <w:r w:rsidRPr="00EC4FB1">
        <w:rPr>
          <w:szCs w:val="22"/>
        </w:rPr>
        <w:t>is subject to compliance with applicable Commission numbering rules</w:t>
      </w:r>
      <w:r>
        <w:rPr>
          <w:szCs w:val="22"/>
        </w:rPr>
        <w:t>,</w:t>
      </w:r>
      <w:r w:rsidRPr="00EC4FB1">
        <w:rPr>
          <w:szCs w:val="22"/>
        </w:rPr>
        <w:t xml:space="preserve"> numbering authority delegated to the states</w:t>
      </w:r>
      <w:r>
        <w:rPr>
          <w:szCs w:val="22"/>
        </w:rPr>
        <w:t>,</w:t>
      </w:r>
      <w:r w:rsidRPr="00EC4FB1">
        <w:rPr>
          <w:szCs w:val="22"/>
        </w:rPr>
        <w:t xml:space="preserve"> and</w:t>
      </w:r>
      <w:r>
        <w:rPr>
          <w:szCs w:val="22"/>
        </w:rPr>
        <w:t>,</w:t>
      </w:r>
      <w:r w:rsidRPr="00EC4FB1">
        <w:rPr>
          <w:szCs w:val="22"/>
        </w:rPr>
        <w:t xml:space="preserve"> industry guidelines and practices regarding numbering as applicable to telecommunications carriers;  </w:t>
      </w:r>
    </w:p>
    <w:p w:rsidR="0032446F" w:rsidRPr="00EC4FB1" w:rsidRDefault="0032446F" w:rsidP="0032446F">
      <w:pPr>
        <w:pStyle w:val="ParaNum0"/>
        <w:widowControl/>
        <w:numPr>
          <w:ilvl w:val="0"/>
          <w:numId w:val="0"/>
        </w:numPr>
        <w:spacing w:after="0"/>
        <w:ind w:left="1440"/>
        <w:rPr>
          <w:szCs w:val="22"/>
        </w:rPr>
      </w:pPr>
    </w:p>
    <w:p w:rsidR="0032446F" w:rsidRPr="00EC4FB1" w:rsidRDefault="0032446F" w:rsidP="0032446F">
      <w:pPr>
        <w:pStyle w:val="ParaNum0"/>
        <w:widowControl/>
        <w:numPr>
          <w:ilvl w:val="0"/>
          <w:numId w:val="18"/>
        </w:numPr>
        <w:spacing w:after="0"/>
        <w:rPr>
          <w:szCs w:val="22"/>
        </w:rPr>
      </w:pPr>
      <w:r w:rsidRPr="00EC4FB1">
        <w:rPr>
          <w:szCs w:val="22"/>
        </w:rPr>
        <w:t xml:space="preserve">An acknowledgement that the applicant must file requests for numbers with the relevant state commission(s) at least </w:t>
      </w:r>
      <w:r>
        <w:rPr>
          <w:szCs w:val="22"/>
        </w:rPr>
        <w:t>thirty (</w:t>
      </w:r>
      <w:r w:rsidRPr="00EC4FB1">
        <w:rPr>
          <w:szCs w:val="22"/>
        </w:rPr>
        <w:t>30</w:t>
      </w:r>
      <w:r>
        <w:rPr>
          <w:szCs w:val="22"/>
        </w:rPr>
        <w:t>)</w:t>
      </w:r>
      <w:r w:rsidRPr="00EC4FB1">
        <w:rPr>
          <w:szCs w:val="22"/>
        </w:rPr>
        <w:t xml:space="preserve"> days before requesting numbers from the Numbering Administrators;</w:t>
      </w:r>
    </w:p>
    <w:p w:rsidR="0032446F" w:rsidRPr="00EC4FB1" w:rsidRDefault="0032446F" w:rsidP="0032446F">
      <w:pPr>
        <w:pStyle w:val="ParaNum0"/>
        <w:widowControl/>
        <w:numPr>
          <w:ilvl w:val="0"/>
          <w:numId w:val="0"/>
        </w:numPr>
        <w:spacing w:after="0"/>
        <w:ind w:left="1440"/>
        <w:rPr>
          <w:szCs w:val="22"/>
        </w:rPr>
      </w:pPr>
    </w:p>
    <w:p w:rsidR="0032446F" w:rsidRPr="00EC4FB1" w:rsidRDefault="0032446F" w:rsidP="0032446F">
      <w:pPr>
        <w:pStyle w:val="ParaNum0"/>
        <w:widowControl/>
        <w:numPr>
          <w:ilvl w:val="0"/>
          <w:numId w:val="18"/>
        </w:numPr>
        <w:spacing w:after="0"/>
        <w:rPr>
          <w:szCs w:val="22"/>
        </w:rPr>
      </w:pPr>
      <w:r w:rsidRPr="00EC4FB1">
        <w:rPr>
          <w:szCs w:val="22"/>
        </w:rPr>
        <w:t xml:space="preserve">Proof that the applicant is or will be capable of providing service within sixty (60) days of the numbering resources activation date in accordance with </w:t>
      </w:r>
      <w:r>
        <w:rPr>
          <w:szCs w:val="22"/>
        </w:rPr>
        <w:t>47 CFR § 52.15</w:t>
      </w:r>
      <w:r w:rsidRPr="00EC4FB1">
        <w:rPr>
          <w:szCs w:val="22"/>
        </w:rPr>
        <w:t>(g)(2)</w:t>
      </w:r>
      <w:r>
        <w:rPr>
          <w:szCs w:val="22"/>
        </w:rPr>
        <w:t>;</w:t>
      </w:r>
    </w:p>
    <w:p w:rsidR="0032446F" w:rsidRPr="00EC4FB1" w:rsidRDefault="0032446F" w:rsidP="0032446F">
      <w:pPr>
        <w:pStyle w:val="ParaNum0"/>
        <w:widowControl/>
        <w:numPr>
          <w:ilvl w:val="0"/>
          <w:numId w:val="0"/>
        </w:numPr>
        <w:spacing w:after="0"/>
        <w:ind w:left="1440"/>
        <w:rPr>
          <w:szCs w:val="22"/>
        </w:rPr>
      </w:pPr>
    </w:p>
    <w:p w:rsidR="0032446F" w:rsidRPr="00EC4FB1" w:rsidRDefault="0032446F" w:rsidP="0032446F">
      <w:pPr>
        <w:pStyle w:val="ParaNum0"/>
        <w:widowControl/>
        <w:numPr>
          <w:ilvl w:val="0"/>
          <w:numId w:val="18"/>
        </w:numPr>
        <w:spacing w:after="0"/>
        <w:rPr>
          <w:szCs w:val="22"/>
        </w:rPr>
      </w:pPr>
      <w:r w:rsidRPr="00EC4FB1">
        <w:rPr>
          <w:szCs w:val="22"/>
        </w:rPr>
        <w:t xml:space="preserve">Certification that the applicant complies </w:t>
      </w:r>
      <w:r w:rsidRPr="00EC4FB1">
        <w:t xml:space="preserve">with its Universal Service Fund contribution obligations under </w:t>
      </w:r>
      <w:r>
        <w:t>47 CFR p</w:t>
      </w:r>
      <w:r w:rsidRPr="00EC4FB1">
        <w:t xml:space="preserve">art 54, </w:t>
      </w:r>
      <w:r>
        <w:t>s</w:t>
      </w:r>
      <w:r w:rsidRPr="00EC4FB1">
        <w:t xml:space="preserve">ubpart H, its Telecommunications Relay Service contribution obligations under 47 CFR § 64.604(c)(5)(iii), its </w:t>
      </w:r>
      <w:r>
        <w:t>North American Numbering Plan</w:t>
      </w:r>
      <w:r w:rsidRPr="00EC4FB1">
        <w:t xml:space="preserve"> and </w:t>
      </w:r>
      <w:r>
        <w:t>Local Number Portability A</w:t>
      </w:r>
      <w:r w:rsidRPr="00EC4FB1">
        <w:t>dministration contribution obligations under 47 CFR §§ 52.17</w:t>
      </w:r>
      <w:r>
        <w:t>,</w:t>
      </w:r>
      <w:r w:rsidRPr="00EC4FB1">
        <w:t xml:space="preserve"> 52.32, its obligations to </w:t>
      </w:r>
      <w:r w:rsidRPr="00EC4FB1">
        <w:rPr>
          <w:snapToGrid/>
        </w:rPr>
        <w:t>pay</w:t>
      </w:r>
      <w:r w:rsidRPr="00EC4FB1">
        <w:t xml:space="preserve"> regulatory fees under 47 CFR § 1.1154, and its 911 obligations under 47 CFR </w:t>
      </w:r>
      <w:r>
        <w:t>p</w:t>
      </w:r>
      <w:r w:rsidRPr="00EC4FB1">
        <w:t xml:space="preserve">art 9; </w:t>
      </w:r>
    </w:p>
    <w:p w:rsidR="0032446F" w:rsidRPr="00EC4FB1" w:rsidRDefault="0032446F" w:rsidP="0032446F">
      <w:pPr>
        <w:autoSpaceDE w:val="0"/>
        <w:autoSpaceDN w:val="0"/>
        <w:adjustRightInd w:val="0"/>
        <w:ind w:left="1440"/>
        <w:rPr>
          <w:szCs w:val="22"/>
        </w:rPr>
      </w:pPr>
    </w:p>
    <w:p w:rsidR="0032446F" w:rsidRPr="007053EF" w:rsidRDefault="0032446F" w:rsidP="0032446F">
      <w:pPr>
        <w:pStyle w:val="ListParagraph"/>
        <w:numPr>
          <w:ilvl w:val="0"/>
          <w:numId w:val="18"/>
        </w:numPr>
        <w:autoSpaceDE w:val="0"/>
        <w:autoSpaceDN w:val="0"/>
        <w:adjustRightInd w:val="0"/>
        <w:rPr>
          <w:szCs w:val="22"/>
        </w:rPr>
      </w:pPr>
      <w:r w:rsidRPr="007053EF">
        <w:rPr>
          <w:szCs w:val="22"/>
        </w:rPr>
        <w:t xml:space="preserve">Certification that the applicant possesses the financial, managerial, and technical expertise to provide reliable service.  This certification must include the name of </w:t>
      </w:r>
      <w:r>
        <w:rPr>
          <w:szCs w:val="22"/>
        </w:rPr>
        <w:t xml:space="preserve">the </w:t>
      </w:r>
      <w:r w:rsidRPr="007053EF">
        <w:rPr>
          <w:szCs w:val="22"/>
        </w:rPr>
        <w:t>applicant’s key management and technical personnel, such as the Chief Operating Officer and the Chief Technology Officer, or equivalent, and state that none of the identified personnel are being or have been investigated by the Federal Communications Commission or any law enforcement or regulatory agency for failure to comply with any law, rule, or order;</w:t>
      </w:r>
      <w:r>
        <w:rPr>
          <w:szCs w:val="22"/>
        </w:rPr>
        <w:t xml:space="preserve"> and,</w:t>
      </w:r>
      <w:r w:rsidRPr="007053EF">
        <w:rPr>
          <w:szCs w:val="22"/>
        </w:rPr>
        <w:t xml:space="preserve"> </w:t>
      </w:r>
    </w:p>
    <w:p w:rsidR="0032446F" w:rsidRPr="00EC4FB1" w:rsidRDefault="0032446F" w:rsidP="0032446F">
      <w:pPr>
        <w:pStyle w:val="ParaNum0"/>
        <w:widowControl/>
        <w:numPr>
          <w:ilvl w:val="0"/>
          <w:numId w:val="0"/>
        </w:numPr>
        <w:spacing w:after="0"/>
        <w:rPr>
          <w:szCs w:val="22"/>
        </w:rPr>
      </w:pPr>
    </w:p>
    <w:p w:rsidR="0032446F" w:rsidRPr="00EB6FE7" w:rsidRDefault="0032446F" w:rsidP="0032446F">
      <w:pPr>
        <w:pStyle w:val="ParaNum0"/>
        <w:widowControl/>
        <w:numPr>
          <w:ilvl w:val="0"/>
          <w:numId w:val="18"/>
        </w:numPr>
        <w:spacing w:after="0"/>
        <w:rPr>
          <w:szCs w:val="22"/>
        </w:rPr>
      </w:pPr>
      <w:r w:rsidRPr="00EC4FB1">
        <w:t xml:space="preserve">Certification pursuant to </w:t>
      </w:r>
      <w:r>
        <w:t xml:space="preserve">47 CFR </w:t>
      </w:r>
      <w:r w:rsidRPr="00EC4FB1">
        <w:t>§§ 1.2001-</w:t>
      </w:r>
      <w:r>
        <w:t>1</w:t>
      </w:r>
      <w:r w:rsidRPr="00EC4FB1">
        <w:t xml:space="preserve">.2002 that no party to the application is subject to a denial of Federal benefits pursuant to section 5301 of the Anti-Drug Abuse Act of 1988.  </w:t>
      </w:r>
      <w:r w:rsidRPr="00EC4FB1">
        <w:rPr>
          <w:i/>
        </w:rPr>
        <w:t xml:space="preserve">See </w:t>
      </w:r>
      <w:r w:rsidRPr="00EC4FB1">
        <w:t>21 U.S.C. § 862</w:t>
      </w:r>
      <w:r>
        <w:t>.</w:t>
      </w:r>
    </w:p>
    <w:p w:rsidR="0032446F" w:rsidRDefault="0032446F" w:rsidP="0032446F">
      <w:pPr>
        <w:pStyle w:val="ListParagraph"/>
        <w:rPr>
          <w:szCs w:val="22"/>
        </w:rPr>
      </w:pPr>
    </w:p>
    <w:p w:rsidR="0032446F" w:rsidRDefault="0032446F" w:rsidP="0032446F">
      <w:pPr>
        <w:pStyle w:val="BodyText"/>
        <w:spacing w:after="0"/>
        <w:ind w:firstLine="720"/>
        <w:rPr>
          <w:spacing w:val="-7"/>
          <w:szCs w:val="22"/>
        </w:rPr>
      </w:pPr>
      <w:r w:rsidRPr="001644CB">
        <w:rPr>
          <w:b/>
          <w:i/>
          <w:spacing w:val="-7"/>
          <w:szCs w:val="22"/>
        </w:rPr>
        <w:t xml:space="preserve">FCC </w:t>
      </w:r>
      <w:r>
        <w:rPr>
          <w:b/>
          <w:i/>
          <w:spacing w:val="-7"/>
          <w:szCs w:val="22"/>
        </w:rPr>
        <w:t xml:space="preserve">Review </w:t>
      </w:r>
      <w:r w:rsidRPr="001644CB">
        <w:rPr>
          <w:b/>
          <w:i/>
          <w:spacing w:val="-7"/>
          <w:szCs w:val="22"/>
        </w:rPr>
        <w:t>Process</w:t>
      </w:r>
      <w:r w:rsidRPr="001644CB">
        <w:rPr>
          <w:b/>
          <w:spacing w:val="-7"/>
          <w:szCs w:val="22"/>
        </w:rPr>
        <w:t xml:space="preserve">.  </w:t>
      </w:r>
      <w:r>
        <w:rPr>
          <w:spacing w:val="-7"/>
          <w:szCs w:val="22"/>
        </w:rPr>
        <w:t xml:space="preserve">As noted in the </w:t>
      </w:r>
      <w:r w:rsidRPr="00B97E97">
        <w:rPr>
          <w:i/>
          <w:spacing w:val="-7"/>
          <w:szCs w:val="22"/>
        </w:rPr>
        <w:t>Direct Access Report and Order</w:t>
      </w:r>
      <w:r>
        <w:rPr>
          <w:spacing w:val="-7"/>
          <w:szCs w:val="22"/>
        </w:rPr>
        <w:t>, Bureau staff will first review Numbering Authorization Applications for conformance with procedural rules.  Assuming that the applicant satisfies this initial procedural review, Bureau staff will assign the application its own case-specific docket number and will release an “Accepted for Filing Public Notice” seeking comment on the application.  The public notice will be associated with the docket established for the application.  All subsequent filings by the applicant and interested parties related to the application must be submitted via ECFS in the docket established for the application.  Parties filing comments addressing the application should do so no later than fifteen (15) days after the Commission releases the “Accepted for Filing Public Notice,” unless the public notice sets a different deadline.</w:t>
      </w:r>
      <w:r>
        <w:rPr>
          <w:rStyle w:val="FootnoteReference"/>
          <w:spacing w:val="-7"/>
          <w:szCs w:val="22"/>
        </w:rPr>
        <w:footnoteReference w:id="6"/>
      </w:r>
    </w:p>
    <w:p w:rsidR="00D755E6" w:rsidRDefault="00D755E6" w:rsidP="0032446F">
      <w:pPr>
        <w:pStyle w:val="BodyText"/>
        <w:spacing w:after="0"/>
        <w:ind w:firstLine="720"/>
        <w:rPr>
          <w:spacing w:val="-7"/>
          <w:szCs w:val="22"/>
        </w:rPr>
      </w:pPr>
    </w:p>
    <w:p w:rsidR="0032446F" w:rsidRDefault="0032446F" w:rsidP="0032446F">
      <w:pPr>
        <w:pStyle w:val="BodyText"/>
        <w:spacing w:after="0"/>
        <w:ind w:firstLine="720"/>
        <w:rPr>
          <w:spacing w:val="-7"/>
          <w:szCs w:val="22"/>
        </w:rPr>
      </w:pPr>
      <w:r>
        <w:rPr>
          <w:spacing w:val="-7"/>
          <w:szCs w:val="22"/>
        </w:rPr>
        <w:t>On the thirty-first (31</w:t>
      </w:r>
      <w:r w:rsidRPr="00D21727">
        <w:rPr>
          <w:spacing w:val="-7"/>
          <w:szCs w:val="22"/>
          <w:vertAlign w:val="superscript"/>
        </w:rPr>
        <w:t>st</w:t>
      </w:r>
      <w:r>
        <w:rPr>
          <w:spacing w:val="-7"/>
          <w:szCs w:val="22"/>
        </w:rPr>
        <w:t xml:space="preserve">) day after the “Accepted for Filing Public Notice” is released, the application will be deemed granted unless the Bureau notifies the applicant that the grant will not be automatically effective.  Once an interconnected VoIP provider’s Numbering Authorization Application is deemed granted, the applicant can immediately provide states from which it intends to request numbers the required thirty (30)-days’ notice.  The Bureau will release a “Grant Public Notice” announcing auto-granted applications, but the applicant need not wait for that announcement.  </w:t>
      </w:r>
    </w:p>
    <w:p w:rsidR="0032446F" w:rsidRDefault="0032446F" w:rsidP="0032446F">
      <w:pPr>
        <w:pStyle w:val="BodyText"/>
        <w:spacing w:after="0"/>
        <w:ind w:firstLine="720"/>
        <w:rPr>
          <w:spacing w:val="-7"/>
          <w:szCs w:val="22"/>
        </w:rPr>
      </w:pPr>
    </w:p>
    <w:p w:rsidR="0032446F" w:rsidRDefault="0032446F" w:rsidP="0032446F">
      <w:pPr>
        <w:pStyle w:val="BodyText"/>
        <w:spacing w:after="0"/>
        <w:ind w:firstLine="720"/>
        <w:rPr>
          <w:spacing w:val="-7"/>
          <w:szCs w:val="22"/>
        </w:rPr>
      </w:pPr>
      <w:r>
        <w:rPr>
          <w:spacing w:val="-7"/>
          <w:szCs w:val="22"/>
        </w:rPr>
        <w:t>The Bureau may halt the auto-grant process if (1) the applicant fails to respond promptly to Commission inquiries, (2) an application is associated with a non-routine request for waiver of the Commission’s rules, (3) timely-filed comments on the application raise public interest concerns that require further Commission review, or (4) the Bureau determines that the request requires further analysis to determine whether the authorization for direct access to numbers would serve the public interest.  If the Bureau decides to halt the auto-grant process, it will release a public notice to announce that decision.  To enable this process, the Commission delegated to the Bureau authority to make inquiries and compel responses from an applicant regarding the applicant and its principals’ past compliance with applicable Commission rules.</w:t>
      </w:r>
      <w:r>
        <w:rPr>
          <w:rStyle w:val="FootnoteReference"/>
          <w:spacing w:val="-7"/>
          <w:szCs w:val="22"/>
        </w:rPr>
        <w:footnoteReference w:id="7"/>
      </w:r>
      <w:r>
        <w:rPr>
          <w:spacing w:val="-7"/>
          <w:szCs w:val="22"/>
        </w:rPr>
        <w:t xml:space="preserve">  The Bureau will issue a separate public notice granting or denying applications removed from the auto-grant process.  Once the Bureau releases a public notice granting an application removed from the auto-grant process, the applicant can immediately give the required thirty (30)-days’ notice to those states from which it will request numbers. </w:t>
      </w:r>
    </w:p>
    <w:p w:rsidR="0032446F" w:rsidRDefault="0032446F" w:rsidP="0032446F">
      <w:pPr>
        <w:pStyle w:val="BodyText"/>
        <w:spacing w:after="0"/>
        <w:ind w:firstLine="720"/>
        <w:rPr>
          <w:spacing w:val="-7"/>
          <w:szCs w:val="22"/>
        </w:rPr>
      </w:pPr>
    </w:p>
    <w:p w:rsidR="0032446F" w:rsidRDefault="0032446F" w:rsidP="0032446F">
      <w:pPr>
        <w:pStyle w:val="BodyText"/>
        <w:spacing w:after="0"/>
        <w:ind w:firstLine="720"/>
        <w:rPr>
          <w:color w:val="020100"/>
          <w:spacing w:val="-1"/>
          <w:szCs w:val="22"/>
        </w:rPr>
      </w:pPr>
      <w:r>
        <w:rPr>
          <w:b/>
          <w:i/>
        </w:rPr>
        <w:t xml:space="preserve">Filing Confidential Information. </w:t>
      </w:r>
      <w:r>
        <w:t xml:space="preserve">Consistent with existing Commission electronic filing guidelines, </w:t>
      </w:r>
      <w:r>
        <w:rPr>
          <w:color w:val="020100"/>
          <w:spacing w:val="-1"/>
          <w:szCs w:val="22"/>
        </w:rPr>
        <w:t>i</w:t>
      </w:r>
      <w:r w:rsidRPr="009130F2">
        <w:rPr>
          <w:color w:val="020100"/>
          <w:spacing w:val="-1"/>
          <w:szCs w:val="22"/>
        </w:rPr>
        <w:t xml:space="preserve">f </w:t>
      </w:r>
      <w:r w:rsidRPr="009130F2">
        <w:rPr>
          <w:color w:val="020100"/>
          <w:szCs w:val="22"/>
        </w:rPr>
        <w:t>a</w:t>
      </w:r>
      <w:r>
        <w:rPr>
          <w:color w:val="020100"/>
          <w:szCs w:val="22"/>
        </w:rPr>
        <w:t>n application</w:t>
      </w:r>
      <w:r w:rsidRPr="009130F2">
        <w:rPr>
          <w:color w:val="020100"/>
          <w:spacing w:val="-1"/>
          <w:szCs w:val="22"/>
        </w:rPr>
        <w:t xml:space="preserve"> includes confidential information, the </w:t>
      </w:r>
      <w:r w:rsidRPr="009130F2">
        <w:rPr>
          <w:color w:val="020100"/>
          <w:szCs w:val="22"/>
        </w:rPr>
        <w:t>party</w:t>
      </w:r>
      <w:r w:rsidRPr="009130F2">
        <w:rPr>
          <w:color w:val="020100"/>
          <w:spacing w:val="-1"/>
          <w:szCs w:val="22"/>
        </w:rPr>
        <w:t xml:space="preserve"> must file </w:t>
      </w:r>
      <w:r w:rsidRPr="009130F2">
        <w:rPr>
          <w:color w:val="020100"/>
          <w:szCs w:val="22"/>
        </w:rPr>
        <w:t>a</w:t>
      </w:r>
      <w:r w:rsidRPr="009130F2">
        <w:rPr>
          <w:color w:val="020100"/>
          <w:spacing w:val="-1"/>
          <w:szCs w:val="22"/>
        </w:rPr>
        <w:t xml:space="preserve"> redacted version of the</w:t>
      </w:r>
      <w:r w:rsidRPr="009130F2">
        <w:rPr>
          <w:color w:val="020100"/>
          <w:spacing w:val="22"/>
          <w:szCs w:val="22"/>
        </w:rPr>
        <w:t xml:space="preserve"> </w:t>
      </w:r>
      <w:r w:rsidRPr="009130F2">
        <w:rPr>
          <w:color w:val="020100"/>
          <w:spacing w:val="-1"/>
          <w:szCs w:val="22"/>
        </w:rPr>
        <w:t xml:space="preserve">pleading via </w:t>
      </w:r>
      <w:r w:rsidRPr="009130F2">
        <w:rPr>
          <w:color w:val="020100"/>
          <w:szCs w:val="22"/>
        </w:rPr>
        <w:t xml:space="preserve">ECFS and must also file </w:t>
      </w:r>
      <w:r>
        <w:rPr>
          <w:color w:val="020100"/>
          <w:szCs w:val="22"/>
        </w:rPr>
        <w:t>two</w:t>
      </w:r>
      <w:r w:rsidRPr="009130F2">
        <w:rPr>
          <w:color w:val="020100"/>
          <w:szCs w:val="22"/>
        </w:rPr>
        <w:t xml:space="preserve"> paper cop</w:t>
      </w:r>
      <w:r>
        <w:rPr>
          <w:color w:val="020100"/>
          <w:szCs w:val="22"/>
        </w:rPr>
        <w:t>ies</w:t>
      </w:r>
      <w:r w:rsidRPr="009130F2">
        <w:rPr>
          <w:color w:val="020100"/>
          <w:szCs w:val="22"/>
        </w:rPr>
        <w:t xml:space="preserve"> of the confidential version with the </w:t>
      </w:r>
      <w:r>
        <w:rPr>
          <w:color w:val="020100"/>
          <w:szCs w:val="22"/>
        </w:rPr>
        <w:t xml:space="preserve">Commission’s </w:t>
      </w:r>
      <w:r w:rsidRPr="009130F2">
        <w:rPr>
          <w:color w:val="020100"/>
          <w:szCs w:val="22"/>
        </w:rPr>
        <w:t xml:space="preserve">Office of the </w:t>
      </w:r>
      <w:r w:rsidRPr="009130F2">
        <w:rPr>
          <w:color w:val="020100"/>
          <w:spacing w:val="-1"/>
          <w:szCs w:val="22"/>
        </w:rPr>
        <w:t>Secretary.</w:t>
      </w:r>
      <w:r w:rsidRPr="009130F2">
        <w:rPr>
          <w:rStyle w:val="FootnoteReference"/>
          <w:color w:val="020100"/>
          <w:spacing w:val="-1"/>
          <w:szCs w:val="22"/>
        </w:rPr>
        <w:footnoteReference w:id="8"/>
      </w:r>
      <w:r w:rsidRPr="009130F2">
        <w:rPr>
          <w:color w:val="020100"/>
          <w:spacing w:val="-1"/>
          <w:szCs w:val="22"/>
        </w:rPr>
        <w:t xml:space="preserve">  Parties</w:t>
      </w:r>
      <w:r w:rsidRPr="009130F2">
        <w:rPr>
          <w:color w:val="020100"/>
          <w:spacing w:val="20"/>
          <w:szCs w:val="22"/>
        </w:rPr>
        <w:t xml:space="preserve"> </w:t>
      </w:r>
      <w:r w:rsidRPr="009130F2">
        <w:rPr>
          <w:color w:val="020100"/>
          <w:szCs w:val="22"/>
        </w:rPr>
        <w:t>should file the</w:t>
      </w:r>
      <w:r w:rsidRPr="009130F2">
        <w:rPr>
          <w:color w:val="020100"/>
          <w:spacing w:val="-2"/>
          <w:szCs w:val="22"/>
        </w:rPr>
        <w:t xml:space="preserve"> </w:t>
      </w:r>
      <w:r w:rsidRPr="009130F2">
        <w:rPr>
          <w:color w:val="020100"/>
          <w:spacing w:val="-1"/>
          <w:szCs w:val="22"/>
        </w:rPr>
        <w:t xml:space="preserve">redacted </w:t>
      </w:r>
      <w:r w:rsidRPr="009130F2">
        <w:rPr>
          <w:color w:val="020100"/>
          <w:szCs w:val="22"/>
        </w:rPr>
        <w:t xml:space="preserve">and </w:t>
      </w:r>
      <w:r w:rsidRPr="009130F2">
        <w:rPr>
          <w:color w:val="020100"/>
          <w:spacing w:val="-1"/>
          <w:szCs w:val="22"/>
        </w:rPr>
        <w:t xml:space="preserve">confidential </w:t>
      </w:r>
      <w:r w:rsidRPr="009130F2">
        <w:rPr>
          <w:color w:val="020100"/>
          <w:szCs w:val="22"/>
        </w:rPr>
        <w:t xml:space="preserve">versions of </w:t>
      </w:r>
      <w:r w:rsidRPr="009130F2">
        <w:rPr>
          <w:color w:val="020100"/>
          <w:spacing w:val="-1"/>
          <w:szCs w:val="22"/>
        </w:rPr>
        <w:t xml:space="preserve">pleadings on the </w:t>
      </w:r>
      <w:r w:rsidRPr="009130F2">
        <w:rPr>
          <w:color w:val="020100"/>
          <w:szCs w:val="22"/>
        </w:rPr>
        <w:t xml:space="preserve">same </w:t>
      </w:r>
      <w:r w:rsidRPr="009130F2">
        <w:rPr>
          <w:color w:val="020100"/>
          <w:spacing w:val="-2"/>
          <w:szCs w:val="22"/>
        </w:rPr>
        <w:t>day.</w:t>
      </w:r>
      <w:r w:rsidRPr="009130F2">
        <w:rPr>
          <w:color w:val="020100"/>
          <w:szCs w:val="22"/>
        </w:rPr>
        <w:t xml:space="preserve"> </w:t>
      </w:r>
      <w:r w:rsidRPr="009130F2">
        <w:rPr>
          <w:color w:val="020100"/>
          <w:spacing w:val="2"/>
          <w:szCs w:val="22"/>
        </w:rPr>
        <w:t xml:space="preserve"> </w:t>
      </w:r>
      <w:r w:rsidRPr="009130F2">
        <w:rPr>
          <w:color w:val="020100"/>
          <w:spacing w:val="-1"/>
          <w:szCs w:val="22"/>
        </w:rPr>
        <w:t>Anything</w:t>
      </w:r>
      <w:r w:rsidRPr="009130F2">
        <w:rPr>
          <w:color w:val="020100"/>
          <w:spacing w:val="23"/>
          <w:szCs w:val="22"/>
        </w:rPr>
        <w:t xml:space="preserve"> </w:t>
      </w:r>
      <w:r w:rsidRPr="009130F2">
        <w:rPr>
          <w:color w:val="020100"/>
          <w:spacing w:val="-1"/>
          <w:szCs w:val="22"/>
        </w:rPr>
        <w:t>submitted to ECFS will become public.</w:t>
      </w:r>
      <w:r>
        <w:rPr>
          <w:color w:val="020100"/>
          <w:spacing w:val="-1"/>
          <w:szCs w:val="22"/>
        </w:rPr>
        <w:t xml:space="preserve">  </w:t>
      </w:r>
      <w:r w:rsidRPr="009130F2">
        <w:rPr>
          <w:color w:val="020100"/>
          <w:szCs w:val="22"/>
        </w:rPr>
        <w:t>Contact ECFS Help immediately</w:t>
      </w:r>
      <w:r w:rsidRPr="009130F2">
        <w:rPr>
          <w:color w:val="020100"/>
          <w:spacing w:val="-5"/>
          <w:szCs w:val="22"/>
        </w:rPr>
        <w:t xml:space="preserve"> </w:t>
      </w:r>
      <w:r w:rsidRPr="009130F2">
        <w:rPr>
          <w:color w:val="020100"/>
          <w:szCs w:val="22"/>
        </w:rPr>
        <w:t xml:space="preserve">at </w:t>
      </w:r>
      <w:hyperlink r:id="rId16">
        <w:r w:rsidRPr="009130F2">
          <w:rPr>
            <w:color w:val="020100"/>
            <w:spacing w:val="-1"/>
            <w:szCs w:val="22"/>
          </w:rPr>
          <w:t>ecfshelp@fcc.gov,</w:t>
        </w:r>
      </w:hyperlink>
      <w:r w:rsidRPr="009130F2">
        <w:rPr>
          <w:color w:val="020100"/>
          <w:spacing w:val="28"/>
          <w:szCs w:val="22"/>
        </w:rPr>
        <w:t xml:space="preserve"> </w:t>
      </w:r>
      <w:r w:rsidRPr="009130F2">
        <w:rPr>
          <w:color w:val="020100"/>
          <w:spacing w:val="-1"/>
          <w:szCs w:val="22"/>
        </w:rPr>
        <w:t>or 202-418-</w:t>
      </w:r>
      <w:r>
        <w:rPr>
          <w:color w:val="020100"/>
          <w:spacing w:val="-1"/>
          <w:szCs w:val="22"/>
        </w:rPr>
        <w:t>0193,</w:t>
      </w:r>
      <w:r w:rsidRPr="009130F2">
        <w:rPr>
          <w:color w:val="020100"/>
          <w:szCs w:val="22"/>
        </w:rPr>
        <w:t xml:space="preserve"> if there is a filing </w:t>
      </w:r>
      <w:r w:rsidRPr="009130F2">
        <w:rPr>
          <w:color w:val="020100"/>
          <w:spacing w:val="-1"/>
          <w:szCs w:val="22"/>
        </w:rPr>
        <w:t>error.</w:t>
      </w:r>
    </w:p>
    <w:p w:rsidR="0032446F" w:rsidRPr="009130F2" w:rsidRDefault="0032446F" w:rsidP="0032446F">
      <w:pPr>
        <w:pStyle w:val="BodyText"/>
        <w:spacing w:after="0"/>
        <w:ind w:firstLine="720"/>
        <w:rPr>
          <w:color w:val="020100"/>
          <w:spacing w:val="-1"/>
          <w:szCs w:val="22"/>
        </w:rPr>
      </w:pPr>
    </w:p>
    <w:p w:rsidR="0032446F" w:rsidRPr="00997593" w:rsidRDefault="0032446F" w:rsidP="0032446F">
      <w:pPr>
        <w:ind w:firstLine="720"/>
        <w:rPr>
          <w:szCs w:val="22"/>
        </w:rPr>
      </w:pPr>
      <w:r w:rsidRPr="009130F2">
        <w:rPr>
          <w:szCs w:val="22"/>
        </w:rPr>
        <w:t>For further in</w:t>
      </w:r>
      <w:r>
        <w:rPr>
          <w:szCs w:val="22"/>
        </w:rPr>
        <w:t>formation regarding the Commission’s electronic filing process</w:t>
      </w:r>
      <w:r w:rsidR="00D755E6">
        <w:rPr>
          <w:szCs w:val="22"/>
        </w:rPr>
        <w:t>,</w:t>
      </w:r>
      <w:r>
        <w:rPr>
          <w:szCs w:val="22"/>
        </w:rPr>
        <w:t xml:space="preserve"> please contact ECFS H</w:t>
      </w:r>
      <w:r w:rsidRPr="009130F2">
        <w:rPr>
          <w:szCs w:val="22"/>
        </w:rPr>
        <w:t>elp at ecfshelp@fcc.gov or 202-418-0193</w:t>
      </w:r>
      <w:r>
        <w:rPr>
          <w:szCs w:val="22"/>
        </w:rPr>
        <w:t xml:space="preserve">; for further information regarding </w:t>
      </w:r>
      <w:r w:rsidR="00D755E6">
        <w:rPr>
          <w:szCs w:val="22"/>
        </w:rPr>
        <w:t xml:space="preserve">other aspects of </w:t>
      </w:r>
      <w:r>
        <w:rPr>
          <w:szCs w:val="22"/>
        </w:rPr>
        <w:t xml:space="preserve">the Commission’s </w:t>
      </w:r>
      <w:r w:rsidR="00D755E6">
        <w:rPr>
          <w:szCs w:val="22"/>
        </w:rPr>
        <w:t>N</w:t>
      </w:r>
      <w:r>
        <w:rPr>
          <w:szCs w:val="22"/>
        </w:rPr>
        <w:t xml:space="preserve">umbering </w:t>
      </w:r>
      <w:r w:rsidR="00D755E6">
        <w:rPr>
          <w:szCs w:val="22"/>
        </w:rPr>
        <w:t>Authorization A</w:t>
      </w:r>
      <w:r>
        <w:rPr>
          <w:szCs w:val="22"/>
        </w:rPr>
        <w:t>pplication process, please contact</w:t>
      </w:r>
      <w:r w:rsidRPr="009130F2">
        <w:rPr>
          <w:szCs w:val="22"/>
        </w:rPr>
        <w:t xml:space="preserve"> </w:t>
      </w:r>
      <w:r>
        <w:rPr>
          <w:szCs w:val="22"/>
        </w:rPr>
        <w:t>Margoux Brown</w:t>
      </w:r>
      <w:r w:rsidRPr="009130F2">
        <w:rPr>
          <w:szCs w:val="22"/>
        </w:rPr>
        <w:t>, Competition Policy Division, Wireline Competition Bureau</w:t>
      </w:r>
      <w:r>
        <w:rPr>
          <w:szCs w:val="22"/>
        </w:rPr>
        <w:t xml:space="preserve">, </w:t>
      </w:r>
      <w:r w:rsidRPr="009130F2">
        <w:rPr>
          <w:szCs w:val="22"/>
        </w:rPr>
        <w:t xml:space="preserve">at </w:t>
      </w:r>
      <w:hyperlink r:id="rId17" w:history="1">
        <w:r w:rsidRPr="00DE6216">
          <w:rPr>
            <w:rStyle w:val="Hyperlink"/>
            <w:szCs w:val="22"/>
          </w:rPr>
          <w:t>Margoux.Brown@fcc.gov</w:t>
        </w:r>
      </w:hyperlink>
      <w:r>
        <w:rPr>
          <w:szCs w:val="22"/>
        </w:rPr>
        <w:t xml:space="preserve"> or </w:t>
      </w:r>
      <w:r w:rsidRPr="009130F2">
        <w:rPr>
          <w:szCs w:val="22"/>
        </w:rPr>
        <w:t>(202) 418-15</w:t>
      </w:r>
      <w:r>
        <w:rPr>
          <w:szCs w:val="22"/>
        </w:rPr>
        <w:t>84</w:t>
      </w:r>
      <w:r w:rsidRPr="009130F2">
        <w:rPr>
          <w:szCs w:val="22"/>
        </w:rPr>
        <w:t>.</w:t>
      </w:r>
    </w:p>
    <w:p w:rsidR="0032446F" w:rsidRPr="00997593" w:rsidRDefault="0032446F" w:rsidP="0032446F">
      <w:pPr>
        <w:pStyle w:val="BodyText"/>
        <w:spacing w:after="0"/>
        <w:ind w:firstLine="720"/>
        <w:rPr>
          <w:color w:val="020100"/>
          <w:spacing w:val="58"/>
          <w:szCs w:val="22"/>
        </w:rPr>
      </w:pPr>
    </w:p>
    <w:p w:rsidR="0032446F" w:rsidRPr="000A3DA3" w:rsidRDefault="0032446F" w:rsidP="0032446F">
      <w:pPr>
        <w:spacing w:before="120" w:after="240"/>
        <w:jc w:val="center"/>
        <w:rPr>
          <w:b/>
          <w:sz w:val="24"/>
        </w:rPr>
      </w:pPr>
      <w:r w:rsidRPr="00997593">
        <w:rPr>
          <w:b/>
          <w:szCs w:val="22"/>
        </w:rPr>
        <w:t>- FCC -</w:t>
      </w:r>
    </w:p>
    <w:p w:rsidR="006B7714" w:rsidRPr="00A4142F" w:rsidRDefault="006B7714" w:rsidP="0032446F">
      <w:pPr>
        <w:spacing w:before="60"/>
        <w:jc w:val="right"/>
        <w:rPr>
          <w:rFonts w:eastAsia="Calibri"/>
          <w:b/>
          <w:szCs w:val="22"/>
        </w:rPr>
      </w:pPr>
    </w:p>
    <w:sectPr w:rsidR="006B7714" w:rsidRPr="00A4142F" w:rsidSect="00BC531E">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22" w:rsidRDefault="00EF3F22">
      <w:r>
        <w:separator/>
      </w:r>
    </w:p>
  </w:endnote>
  <w:endnote w:type="continuationSeparator" w:id="0">
    <w:p w:rsidR="00EF3F22" w:rsidRDefault="00E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5" w:rsidRDefault="00C17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32446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5" w:rsidRDefault="00C171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6F" w:rsidRDefault="0032446F">
    <w:pPr>
      <w:pStyle w:val="Footer"/>
      <w:jc w:val="center"/>
    </w:pPr>
    <w:r>
      <w:fldChar w:fldCharType="begin"/>
    </w:r>
    <w:r>
      <w:instrText xml:space="preserve"> PAGE   \* MERGEFORMAT </w:instrText>
    </w:r>
    <w:r>
      <w:fldChar w:fldCharType="separate"/>
    </w:r>
    <w:r w:rsidR="00A159CD">
      <w:rPr>
        <w:noProof/>
      </w:rPr>
      <w:t>2</w:t>
    </w:r>
    <w:r>
      <w:rPr>
        <w:noProof/>
      </w:rPr>
      <w:fldChar w:fldCharType="end"/>
    </w:r>
  </w:p>
  <w:p w:rsidR="0032446F" w:rsidRDefault="0032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22" w:rsidRDefault="00EF3F22">
      <w:r>
        <w:separator/>
      </w:r>
    </w:p>
  </w:footnote>
  <w:footnote w:type="continuationSeparator" w:id="0">
    <w:p w:rsidR="00EF3F22" w:rsidRDefault="00EF3F22">
      <w:r>
        <w:continuationSeparator/>
      </w:r>
    </w:p>
  </w:footnote>
  <w:footnote w:id="1">
    <w:p w:rsidR="0032446F" w:rsidRPr="00C22103" w:rsidRDefault="0032446F" w:rsidP="0032446F">
      <w:pPr>
        <w:pStyle w:val="FootnoteText"/>
        <w:spacing w:after="120"/>
        <w:rPr>
          <w:sz w:val="20"/>
        </w:rPr>
      </w:pPr>
      <w:r>
        <w:rPr>
          <w:rStyle w:val="FootnoteReference"/>
        </w:rPr>
        <w:footnoteRef/>
      </w:r>
      <w:r>
        <w:t xml:space="preserve"> </w:t>
      </w:r>
      <w:r w:rsidRPr="00C22103">
        <w:rPr>
          <w:i/>
          <w:sz w:val="20"/>
        </w:rPr>
        <w:t>See</w:t>
      </w:r>
      <w:r w:rsidRPr="00C22103">
        <w:rPr>
          <w:sz w:val="20"/>
        </w:rPr>
        <w:t xml:space="preserve"> </w:t>
      </w:r>
      <w:r w:rsidRPr="00C22103">
        <w:rPr>
          <w:i/>
          <w:sz w:val="20"/>
        </w:rPr>
        <w:t>Numbering Policies for Modern Communications et al.</w:t>
      </w:r>
      <w:r w:rsidRPr="00C22103">
        <w:rPr>
          <w:sz w:val="20"/>
        </w:rPr>
        <w:t xml:space="preserve">, </w:t>
      </w:r>
      <w:r>
        <w:rPr>
          <w:sz w:val="20"/>
        </w:rPr>
        <w:t>Report and Order</w:t>
      </w:r>
      <w:r w:rsidRPr="00C22103">
        <w:rPr>
          <w:sz w:val="20"/>
        </w:rPr>
        <w:t xml:space="preserve">, </w:t>
      </w:r>
      <w:r>
        <w:rPr>
          <w:sz w:val="20"/>
        </w:rPr>
        <w:t>30</w:t>
      </w:r>
      <w:r w:rsidRPr="00C22103">
        <w:rPr>
          <w:sz w:val="20"/>
        </w:rPr>
        <w:t xml:space="preserve"> FCC Rcd </w:t>
      </w:r>
      <w:r>
        <w:rPr>
          <w:sz w:val="20"/>
        </w:rPr>
        <w:t>6839</w:t>
      </w:r>
      <w:r w:rsidRPr="00C22103">
        <w:rPr>
          <w:sz w:val="20"/>
        </w:rPr>
        <w:t xml:space="preserve"> (201</w:t>
      </w:r>
      <w:r>
        <w:rPr>
          <w:sz w:val="20"/>
        </w:rPr>
        <w:t>5</w:t>
      </w:r>
      <w:r w:rsidRPr="00C22103">
        <w:rPr>
          <w:sz w:val="20"/>
        </w:rPr>
        <w:t>) (</w:t>
      </w:r>
      <w:r w:rsidRPr="00C22103">
        <w:rPr>
          <w:i/>
          <w:sz w:val="20"/>
        </w:rPr>
        <w:t xml:space="preserve">Direct Access </w:t>
      </w:r>
      <w:r>
        <w:rPr>
          <w:i/>
          <w:sz w:val="20"/>
        </w:rPr>
        <w:t xml:space="preserve">Report and </w:t>
      </w:r>
      <w:r w:rsidRPr="00C22103">
        <w:rPr>
          <w:i/>
          <w:sz w:val="20"/>
        </w:rPr>
        <w:t>Order</w:t>
      </w:r>
      <w:r w:rsidRPr="00C22103">
        <w:rPr>
          <w:sz w:val="20"/>
        </w:rPr>
        <w:t>).</w:t>
      </w:r>
    </w:p>
  </w:footnote>
  <w:footnote w:id="2">
    <w:p w:rsidR="0032446F" w:rsidRPr="004A7F9B" w:rsidRDefault="0032446F" w:rsidP="0032446F">
      <w:pPr>
        <w:spacing w:after="120"/>
        <w:rPr>
          <w:sz w:val="20"/>
        </w:rPr>
      </w:pPr>
      <w:r>
        <w:rPr>
          <w:rStyle w:val="FootnoteReference"/>
        </w:rPr>
        <w:footnoteRef/>
      </w:r>
      <w:r>
        <w:t xml:space="preserve"> </w:t>
      </w:r>
      <w:r w:rsidRPr="004A7F9B">
        <w:rPr>
          <w:i/>
          <w:sz w:val="20"/>
        </w:rPr>
        <w:t>See</w:t>
      </w:r>
      <w:r w:rsidRPr="004A7F9B">
        <w:rPr>
          <w:sz w:val="20"/>
        </w:rPr>
        <w:t xml:space="preserve"> Notice of Office of Management and Budget Action for OMB Control No. 3060-1214 (approved Jan. 5, 2016), </w:t>
      </w:r>
      <w:hyperlink r:id="rId1" w:history="1">
        <w:r w:rsidRPr="004A7F9B">
          <w:rPr>
            <w:rStyle w:val="Hyperlink"/>
            <w:sz w:val="20"/>
          </w:rPr>
          <w:t>http://www.reginfo.gov/public/do/DownloadNOA?requestID=269857</w:t>
        </w:r>
      </w:hyperlink>
      <w:r w:rsidRPr="004A7F9B">
        <w:rPr>
          <w:sz w:val="20"/>
        </w:rPr>
        <w:t>.</w:t>
      </w:r>
    </w:p>
  </w:footnote>
  <w:footnote w:id="3">
    <w:p w:rsidR="0032446F" w:rsidRPr="000A3DA3" w:rsidRDefault="0032446F" w:rsidP="0032446F">
      <w:pPr>
        <w:pStyle w:val="FootnoteText"/>
        <w:spacing w:after="120"/>
        <w:rPr>
          <w:sz w:val="20"/>
        </w:rPr>
      </w:pPr>
      <w:r w:rsidRPr="000A3DA3">
        <w:rPr>
          <w:rStyle w:val="FootnoteReference"/>
          <w:sz w:val="20"/>
        </w:rPr>
        <w:footnoteRef/>
      </w:r>
      <w:r w:rsidRPr="000A3DA3">
        <w:rPr>
          <w:sz w:val="20"/>
        </w:rPr>
        <w:t xml:space="preserve"> </w:t>
      </w:r>
      <w:r w:rsidR="00D56C25">
        <w:rPr>
          <w:sz w:val="20"/>
        </w:rPr>
        <w:t xml:space="preserve">Federal Communications Commission, </w:t>
      </w:r>
      <w:r w:rsidR="00D56C25" w:rsidRPr="00D56C25">
        <w:rPr>
          <w:sz w:val="20"/>
        </w:rPr>
        <w:t>Numbering Policies for Modern Communications</w:t>
      </w:r>
      <w:r w:rsidR="00D56C25">
        <w:rPr>
          <w:sz w:val="20"/>
        </w:rPr>
        <w:t xml:space="preserve"> et al., 81 Fed. Reg. 5920 (Feb. 4, 2016).</w:t>
      </w:r>
    </w:p>
  </w:footnote>
  <w:footnote w:id="4">
    <w:p w:rsidR="0032446F" w:rsidRPr="00087E93" w:rsidRDefault="0032446F" w:rsidP="0032446F">
      <w:pPr>
        <w:pStyle w:val="FootnoteText"/>
        <w:spacing w:after="120"/>
        <w:rPr>
          <w:sz w:val="20"/>
        </w:rPr>
      </w:pPr>
      <w:r>
        <w:rPr>
          <w:rStyle w:val="FootnoteReference"/>
        </w:rPr>
        <w:footnoteRef/>
      </w:r>
      <w:r>
        <w:t xml:space="preserve"> </w:t>
      </w:r>
      <w:r>
        <w:rPr>
          <w:sz w:val="20"/>
        </w:rPr>
        <w:t>47</w:t>
      </w:r>
      <w:r w:rsidRPr="00087E93">
        <w:rPr>
          <w:sz w:val="20"/>
        </w:rPr>
        <w:t xml:space="preserve"> </w:t>
      </w:r>
      <w:r>
        <w:rPr>
          <w:sz w:val="20"/>
        </w:rPr>
        <w:t>CFR</w:t>
      </w:r>
      <w:r w:rsidRPr="00087E93">
        <w:rPr>
          <w:sz w:val="20"/>
        </w:rPr>
        <w:t xml:space="preserve"> § </w:t>
      </w:r>
      <w:r>
        <w:rPr>
          <w:sz w:val="20"/>
        </w:rPr>
        <w:t>52.15</w:t>
      </w:r>
      <w:r w:rsidRPr="00087E93">
        <w:rPr>
          <w:sz w:val="20"/>
        </w:rPr>
        <w:t>(</w:t>
      </w:r>
      <w:r>
        <w:rPr>
          <w:sz w:val="20"/>
        </w:rPr>
        <w:t>g</w:t>
      </w:r>
      <w:r w:rsidRPr="00087E93">
        <w:rPr>
          <w:sz w:val="20"/>
        </w:rPr>
        <w:t>)</w:t>
      </w:r>
      <w:r>
        <w:rPr>
          <w:sz w:val="20"/>
        </w:rPr>
        <w:t>(3)</w:t>
      </w:r>
      <w:r w:rsidRPr="00087E93">
        <w:rPr>
          <w:sz w:val="20"/>
        </w:rPr>
        <w:t>.</w:t>
      </w:r>
    </w:p>
  </w:footnote>
  <w:footnote w:id="5">
    <w:p w:rsidR="0032446F" w:rsidRPr="00AD7417" w:rsidRDefault="0032446F" w:rsidP="0032446F">
      <w:pPr>
        <w:pStyle w:val="FootnoteText"/>
        <w:spacing w:after="120"/>
        <w:rPr>
          <w:sz w:val="20"/>
        </w:rPr>
      </w:pPr>
      <w:r w:rsidRPr="00AD7417">
        <w:rPr>
          <w:rStyle w:val="FootnoteReference"/>
          <w:sz w:val="20"/>
        </w:rPr>
        <w:footnoteRef/>
      </w:r>
      <w:r w:rsidRPr="00AD7417">
        <w:rPr>
          <w:sz w:val="20"/>
        </w:rPr>
        <w:t xml:space="preserve"> 47 CFR § 52.15(g)(3)(i).</w:t>
      </w:r>
    </w:p>
  </w:footnote>
  <w:footnote w:id="6">
    <w:p w:rsidR="0032446F" w:rsidRDefault="0032446F" w:rsidP="0032446F">
      <w:pPr>
        <w:pStyle w:val="FootnoteText"/>
        <w:spacing w:after="120"/>
      </w:pPr>
      <w:r>
        <w:rPr>
          <w:rStyle w:val="FootnoteReference"/>
        </w:rPr>
        <w:footnoteRef/>
      </w:r>
      <w:r>
        <w:t xml:space="preserve"> </w:t>
      </w:r>
      <w:r w:rsidRPr="00B97E97">
        <w:rPr>
          <w:i/>
          <w:sz w:val="20"/>
        </w:rPr>
        <w:t>Direct Access Report and Order</w:t>
      </w:r>
      <w:r>
        <w:rPr>
          <w:i/>
          <w:sz w:val="20"/>
        </w:rPr>
        <w:t>,</w:t>
      </w:r>
      <w:r>
        <w:t xml:space="preserve"> </w:t>
      </w:r>
      <w:r>
        <w:rPr>
          <w:sz w:val="20"/>
        </w:rPr>
        <w:t>30</w:t>
      </w:r>
      <w:r w:rsidRPr="00C22103">
        <w:rPr>
          <w:sz w:val="20"/>
        </w:rPr>
        <w:t xml:space="preserve"> FCC Rcd </w:t>
      </w:r>
      <w:r>
        <w:rPr>
          <w:sz w:val="20"/>
        </w:rPr>
        <w:t xml:space="preserve">at 6858, </w:t>
      </w:r>
      <w:r w:rsidRPr="00B97E97">
        <w:rPr>
          <w:sz w:val="20"/>
        </w:rPr>
        <w:t>para</w:t>
      </w:r>
      <w:r>
        <w:rPr>
          <w:sz w:val="20"/>
        </w:rPr>
        <w:t>.</w:t>
      </w:r>
      <w:r w:rsidRPr="00B97E97">
        <w:rPr>
          <w:sz w:val="20"/>
        </w:rPr>
        <w:t xml:space="preserve"> 39.</w:t>
      </w:r>
    </w:p>
  </w:footnote>
  <w:footnote w:id="7">
    <w:p w:rsidR="0032446F" w:rsidRPr="004A4235" w:rsidRDefault="0032446F" w:rsidP="0032446F">
      <w:pPr>
        <w:pStyle w:val="FootnoteText"/>
        <w:spacing w:after="120"/>
      </w:pPr>
      <w:r>
        <w:rPr>
          <w:rStyle w:val="FootnoteReference"/>
        </w:rPr>
        <w:footnoteRef/>
      </w:r>
      <w:r>
        <w:t xml:space="preserve"> </w:t>
      </w:r>
      <w:r w:rsidRPr="00B97E97">
        <w:rPr>
          <w:i/>
          <w:sz w:val="20"/>
        </w:rPr>
        <w:t>Id.</w:t>
      </w:r>
      <w:r>
        <w:rPr>
          <w:sz w:val="20"/>
        </w:rPr>
        <w:t xml:space="preserve"> at 6858, para. 40.</w:t>
      </w:r>
    </w:p>
  </w:footnote>
  <w:footnote w:id="8">
    <w:p w:rsidR="0032446F" w:rsidRPr="00BF4254" w:rsidRDefault="0032446F" w:rsidP="0032446F">
      <w:pPr>
        <w:pStyle w:val="FootnoteText"/>
        <w:spacing w:after="120"/>
        <w:rPr>
          <w:sz w:val="20"/>
        </w:rPr>
      </w:pPr>
      <w:r>
        <w:rPr>
          <w:rStyle w:val="FootnoteReference"/>
        </w:rPr>
        <w:footnoteRef/>
      </w:r>
      <w:r>
        <w:t xml:space="preserve"> </w:t>
      </w:r>
      <w:r w:rsidRPr="00BF4254">
        <w:rPr>
          <w:i/>
          <w:sz w:val="20"/>
        </w:rPr>
        <w:t>See</w:t>
      </w:r>
      <w:r w:rsidRPr="00C22103">
        <w:rPr>
          <w:i/>
          <w:sz w:val="20"/>
        </w:rPr>
        <w:t xml:space="preserve"> </w:t>
      </w:r>
      <w:r w:rsidRPr="00C22103">
        <w:rPr>
          <w:sz w:val="20"/>
        </w:rPr>
        <w:t>47 CFR § 0.459(a)(2).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5" w:rsidRDefault="00C1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5" w:rsidRDefault="00C17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A159C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6B7714">
      <w:rPr>
        <w:rFonts w:ascii="News Gothic MT" w:hAnsi="News Gothic MT"/>
        <w:b/>
        <w:kern w:val="28"/>
        <w:sz w:val="96"/>
      </w:rPr>
      <w:t xml:space="preserve">  PUBLIC NOTICE</w:t>
    </w:r>
  </w:p>
  <w:p w:rsidR="006B7714" w:rsidRDefault="00A159C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6F" w:rsidRPr="005C0337" w:rsidRDefault="00A159CD">
    <w:pPr>
      <w:pStyle w:val="Header"/>
      <w:tabs>
        <w:tab w:val="clear" w:pos="4320"/>
        <w:tab w:val="clear" w:pos="8640"/>
      </w:tabs>
      <w:spacing w:before="40"/>
      <w:ind w:firstLine="108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9" type="#_x0000_t75" alt="fcc_logo" style="position:absolute;left:0;text-align:left;margin-left:34.8pt;margin-top:8.4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v:shape>
      </w:pict>
    </w:r>
    <w:r w:rsidR="0032446F">
      <w:rPr>
        <w:rFonts w:ascii="News Gothic MT" w:hAnsi="News Gothic MT"/>
        <w:b/>
        <w:kern w:val="28"/>
        <w:sz w:val="96"/>
      </w:rPr>
      <w:t xml:space="preserve">  </w:t>
    </w:r>
    <w:r w:rsidR="0032446F" w:rsidRPr="005C0337">
      <w:rPr>
        <w:rFonts w:ascii="Arial" w:hAnsi="Arial" w:cs="Arial"/>
        <w:b/>
        <w:kern w:val="28"/>
        <w:sz w:val="96"/>
      </w:rPr>
      <w:t>PUBLIC NOTICE</w:t>
    </w:r>
  </w:p>
  <w:p w:rsidR="0032446F" w:rsidRDefault="00A159CD">
    <w:pPr>
      <w:pStyle w:val="Header"/>
      <w:tabs>
        <w:tab w:val="clear" w:pos="4320"/>
        <w:tab w:val="clear" w:pos="8640"/>
        <w:tab w:val="left" w:pos="1080"/>
      </w:tabs>
      <w:spacing w:line="1120" w:lineRule="exact"/>
      <w:ind w:left="720"/>
      <w:rPr>
        <w:rFonts w:ascii="Arial" w:hAnsi="Arial"/>
        <w:b/>
        <w:sz w:val="28"/>
      </w:rPr>
    </w:pPr>
    <w:r>
      <w:rPr>
        <w:noProof/>
      </w:rPr>
      <w:pict>
        <v:line id="Line 4" o:spid="_x0000_s205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Rb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7y0JnBuBICarW1oTZ6Ui9mo+l3h5SuO6L2PDJ8PRtIy0JG8iYlbJwB/N3wRTOIIQevY5tO&#10;re0DJDQAnaIa57sa/OQRhcNiNpvmB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6eEWx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6" o:spid="_x0000_s2057"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GvhQ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DpbnGv&#10;hQIAABYFAAAOAAAAAAAAAAAAAAAAAC4CAABkcnMvZTJvRG9jLnhtbFBLAQItABQABgAIAAAAIQBp&#10;Zt702wAAAAcBAAAPAAAAAAAAAAAAAAAAAN8EAABkcnMvZG93bnJldi54bWxQSwUGAAAAAAQABADz&#10;AAAA5wUAAAAA&#10;" o:allowincell="f" stroked="f">
          <v:textbox>
            <w:txbxContent>
              <w:p w:rsidR="0032446F" w:rsidRDefault="0032446F">
                <w:pPr>
                  <w:rPr>
                    <w:rFonts w:ascii="Arial" w:hAnsi="Arial"/>
                    <w:b/>
                  </w:rPr>
                </w:pPr>
                <w:r>
                  <w:rPr>
                    <w:rFonts w:ascii="Arial" w:hAnsi="Arial"/>
                    <w:b/>
                  </w:rPr>
                  <w:t>Federal Communications Commission</w:t>
                </w:r>
              </w:p>
              <w:p w:rsidR="0032446F" w:rsidRDefault="0032446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2446F" w:rsidRDefault="0032446F">
                <w:pPr>
                  <w:rPr>
                    <w:rFonts w:ascii="Arial" w:hAnsi="Arial"/>
                    <w:sz w:val="24"/>
                  </w:rPr>
                </w:pPr>
                <w:r>
                  <w:rPr>
                    <w:rFonts w:ascii="Arial" w:hAnsi="Arial"/>
                    <w:b/>
                  </w:rPr>
                  <w:t>Washington, D.C. 20554</w:t>
                </w:r>
              </w:p>
            </w:txbxContent>
          </v:textbox>
        </v:shape>
      </w:pict>
    </w:r>
    <w:r>
      <w:rPr>
        <w:noProof/>
      </w:rPr>
      <w:pict>
        <v:shape id="Text Box 5" o:spid="_x0000_s2056"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jgQIAAA4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1AC7&#10;I4ECAAAOBQAADgAAAAAAAAAAAAAAAAAuAgAAZHJzL2Uyb0RvYy54bWxQSwECLQAUAAYACAAAACEA&#10;NRR2SeAAAAALAQAADwAAAAAAAAAAAAAAAADbBAAAZHJzL2Rvd25yZXYueG1sUEsFBgAAAAAEAAQA&#10;8wAAAOgFAAAAAA==&#10;" o:allowincell="f" stroked="f">
          <v:textbox inset=",0,,0">
            <w:txbxContent>
              <w:p w:rsidR="0032446F" w:rsidRDefault="0032446F">
                <w:pPr>
                  <w:spacing w:before="40"/>
                  <w:jc w:val="right"/>
                  <w:rPr>
                    <w:rFonts w:ascii="Arial" w:hAnsi="Arial"/>
                    <w:b/>
                    <w:sz w:val="16"/>
                  </w:rPr>
                </w:pPr>
                <w:r>
                  <w:rPr>
                    <w:rFonts w:ascii="Arial" w:hAnsi="Arial"/>
                    <w:b/>
                    <w:sz w:val="16"/>
                  </w:rPr>
                  <w:t>News Media Information: 202-418-0500</w:t>
                </w:r>
              </w:p>
              <w:p w:rsidR="0032446F" w:rsidRDefault="0032446F">
                <w:pPr>
                  <w:jc w:val="right"/>
                  <w:rPr>
                    <w:rFonts w:ascii="Arial" w:hAnsi="Arial"/>
                    <w:b/>
                    <w:sz w:val="16"/>
                  </w:rPr>
                </w:pPr>
                <w:r>
                  <w:rPr>
                    <w:rFonts w:ascii="Arial" w:hAnsi="Arial"/>
                    <w:b/>
                    <w:sz w:val="16"/>
                  </w:rPr>
                  <w:tab/>
                  <w:t>Web: http://www.fcc.gov</w:t>
                </w:r>
              </w:p>
              <w:p w:rsidR="0032446F" w:rsidRDefault="0032446F">
                <w:pPr>
                  <w:jc w:val="right"/>
                  <w:rPr>
                    <w:rFonts w:ascii="Arial" w:hAnsi="Arial"/>
                    <w:b/>
                    <w:sz w:val="16"/>
                  </w:rPr>
                </w:pPr>
                <w:r>
                  <w:rPr>
                    <w:rFonts w:ascii="Arial" w:hAnsi="Arial"/>
                    <w:b/>
                    <w:sz w:val="16"/>
                  </w:rPr>
                  <w:t>TTY: 1-888-835-5322</w:t>
                </w:r>
              </w:p>
              <w:p w:rsidR="0032446F" w:rsidRDefault="0032446F">
                <w:pPr>
                  <w:jc w:val="right"/>
                </w:pPr>
              </w:p>
            </w:txbxContent>
          </v:textbox>
        </v:shape>
      </w:pict>
    </w:r>
  </w:p>
  <w:p w:rsidR="0032446F" w:rsidRDefault="0032446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0">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B0670"/>
    <w:multiLevelType w:val="hybridMultilevel"/>
    <w:tmpl w:val="441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0"/>
  </w:num>
  <w:num w:numId="15">
    <w:abstractNumId w:val="4"/>
  </w:num>
  <w:num w:numId="16">
    <w:abstractNumId w:val="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B13"/>
    <w:rsid w:val="00091D2A"/>
    <w:rsid w:val="000B3697"/>
    <w:rsid w:val="000F5186"/>
    <w:rsid w:val="00114BA7"/>
    <w:rsid w:val="00126D44"/>
    <w:rsid w:val="001314A4"/>
    <w:rsid w:val="00142509"/>
    <w:rsid w:val="0016330A"/>
    <w:rsid w:val="001834F7"/>
    <w:rsid w:val="0018423B"/>
    <w:rsid w:val="00195ECB"/>
    <w:rsid w:val="001D1BC1"/>
    <w:rsid w:val="001D4B78"/>
    <w:rsid w:val="00226161"/>
    <w:rsid w:val="002377C5"/>
    <w:rsid w:val="00241087"/>
    <w:rsid w:val="0024345E"/>
    <w:rsid w:val="002478FB"/>
    <w:rsid w:val="002502E3"/>
    <w:rsid w:val="00265BBB"/>
    <w:rsid w:val="002667CB"/>
    <w:rsid w:val="00276389"/>
    <w:rsid w:val="002814B5"/>
    <w:rsid w:val="002C151C"/>
    <w:rsid w:val="002C672E"/>
    <w:rsid w:val="002D3A00"/>
    <w:rsid w:val="002E725F"/>
    <w:rsid w:val="002F6CE5"/>
    <w:rsid w:val="00311559"/>
    <w:rsid w:val="00316FAA"/>
    <w:rsid w:val="0032446F"/>
    <w:rsid w:val="00330ADB"/>
    <w:rsid w:val="0033330B"/>
    <w:rsid w:val="00342304"/>
    <w:rsid w:val="00343B3C"/>
    <w:rsid w:val="003522D1"/>
    <w:rsid w:val="003548FD"/>
    <w:rsid w:val="00355A87"/>
    <w:rsid w:val="003A05B2"/>
    <w:rsid w:val="003B3555"/>
    <w:rsid w:val="003C534A"/>
    <w:rsid w:val="00406F89"/>
    <w:rsid w:val="00410F14"/>
    <w:rsid w:val="00423424"/>
    <w:rsid w:val="00423740"/>
    <w:rsid w:val="00435A8C"/>
    <w:rsid w:val="00435D02"/>
    <w:rsid w:val="00435D94"/>
    <w:rsid w:val="004949FF"/>
    <w:rsid w:val="004C227B"/>
    <w:rsid w:val="00505BCF"/>
    <w:rsid w:val="00515EB0"/>
    <w:rsid w:val="00563924"/>
    <w:rsid w:val="005C63B4"/>
    <w:rsid w:val="005C7F3B"/>
    <w:rsid w:val="005F1ADD"/>
    <w:rsid w:val="005F2A16"/>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D7178"/>
    <w:rsid w:val="00715033"/>
    <w:rsid w:val="00717B26"/>
    <w:rsid w:val="00731DAE"/>
    <w:rsid w:val="0078088E"/>
    <w:rsid w:val="007C34E3"/>
    <w:rsid w:val="007C64A2"/>
    <w:rsid w:val="007E2D67"/>
    <w:rsid w:val="007F0F67"/>
    <w:rsid w:val="00817F49"/>
    <w:rsid w:val="00825D24"/>
    <w:rsid w:val="00825F63"/>
    <w:rsid w:val="0083017B"/>
    <w:rsid w:val="00890B0D"/>
    <w:rsid w:val="008A6F0A"/>
    <w:rsid w:val="008B0AC7"/>
    <w:rsid w:val="008B217F"/>
    <w:rsid w:val="008C330E"/>
    <w:rsid w:val="008C5226"/>
    <w:rsid w:val="008E291B"/>
    <w:rsid w:val="008E392C"/>
    <w:rsid w:val="008F3F44"/>
    <w:rsid w:val="0090365F"/>
    <w:rsid w:val="009442E8"/>
    <w:rsid w:val="00962ECD"/>
    <w:rsid w:val="00986F50"/>
    <w:rsid w:val="009878FF"/>
    <w:rsid w:val="00993FC4"/>
    <w:rsid w:val="00997593"/>
    <w:rsid w:val="009A3799"/>
    <w:rsid w:val="009B38E1"/>
    <w:rsid w:val="009C4DF3"/>
    <w:rsid w:val="009D247F"/>
    <w:rsid w:val="00A06426"/>
    <w:rsid w:val="00A159CD"/>
    <w:rsid w:val="00A4142F"/>
    <w:rsid w:val="00A53FEA"/>
    <w:rsid w:val="00A573B0"/>
    <w:rsid w:val="00A8259E"/>
    <w:rsid w:val="00A82796"/>
    <w:rsid w:val="00A90662"/>
    <w:rsid w:val="00AA234C"/>
    <w:rsid w:val="00AA4BDD"/>
    <w:rsid w:val="00AB0D69"/>
    <w:rsid w:val="00AB722D"/>
    <w:rsid w:val="00AC2886"/>
    <w:rsid w:val="00AD37DE"/>
    <w:rsid w:val="00AE2153"/>
    <w:rsid w:val="00AE300D"/>
    <w:rsid w:val="00AF2790"/>
    <w:rsid w:val="00AF2E50"/>
    <w:rsid w:val="00B331A6"/>
    <w:rsid w:val="00B34595"/>
    <w:rsid w:val="00B351FE"/>
    <w:rsid w:val="00B67E3B"/>
    <w:rsid w:val="00B758D3"/>
    <w:rsid w:val="00BA5949"/>
    <w:rsid w:val="00BA6491"/>
    <w:rsid w:val="00BA79CE"/>
    <w:rsid w:val="00BB0ACD"/>
    <w:rsid w:val="00BB420E"/>
    <w:rsid w:val="00BC531E"/>
    <w:rsid w:val="00BC79EB"/>
    <w:rsid w:val="00C17145"/>
    <w:rsid w:val="00C23CE6"/>
    <w:rsid w:val="00C24D52"/>
    <w:rsid w:val="00C36BE1"/>
    <w:rsid w:val="00C4622D"/>
    <w:rsid w:val="00C6045B"/>
    <w:rsid w:val="00C85A27"/>
    <w:rsid w:val="00CC6BA9"/>
    <w:rsid w:val="00CD36F6"/>
    <w:rsid w:val="00CD4954"/>
    <w:rsid w:val="00D264BC"/>
    <w:rsid w:val="00D444C8"/>
    <w:rsid w:val="00D56C25"/>
    <w:rsid w:val="00D57943"/>
    <w:rsid w:val="00D755E6"/>
    <w:rsid w:val="00D8227C"/>
    <w:rsid w:val="00D83794"/>
    <w:rsid w:val="00D92529"/>
    <w:rsid w:val="00DA66B6"/>
    <w:rsid w:val="00DB76F8"/>
    <w:rsid w:val="00DD7C62"/>
    <w:rsid w:val="00E12B3F"/>
    <w:rsid w:val="00E2119C"/>
    <w:rsid w:val="00E3094D"/>
    <w:rsid w:val="00E641D9"/>
    <w:rsid w:val="00E832CD"/>
    <w:rsid w:val="00E85B6C"/>
    <w:rsid w:val="00EA00A5"/>
    <w:rsid w:val="00EA283A"/>
    <w:rsid w:val="00EA571A"/>
    <w:rsid w:val="00EA5BC3"/>
    <w:rsid w:val="00EA7D46"/>
    <w:rsid w:val="00EE3F67"/>
    <w:rsid w:val="00EF167D"/>
    <w:rsid w:val="00EF3E5E"/>
    <w:rsid w:val="00EF3F22"/>
    <w:rsid w:val="00F05A6C"/>
    <w:rsid w:val="00F1293E"/>
    <w:rsid w:val="00F14F31"/>
    <w:rsid w:val="00F42470"/>
    <w:rsid w:val="00F444AA"/>
    <w:rsid w:val="00F45D51"/>
    <w:rsid w:val="00F620D1"/>
    <w:rsid w:val="00F766DB"/>
    <w:rsid w:val="00F82AEC"/>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6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 w:type="character" w:customStyle="1" w:styleId="FootnoteTextChar2CharChar">
    <w:name w:val="Footnote Text Char2 Char Char"/>
    <w:aliases w:val="Footnote Text Char3 Char Char Char,Footnote Text Char2 Char Char Char Char,Footnote Text Char Char Char1 Char Char Char Char,Footnote Text Char1 Char1 Char Char Char Char"/>
    <w:rsid w:val="0032446F"/>
    <w:rPr>
      <w:sz w:val="22"/>
    </w:rPr>
  </w:style>
  <w:style w:type="paragraph" w:styleId="BodyText">
    <w:name w:val="Body Text"/>
    <w:basedOn w:val="Normal"/>
    <w:link w:val="BodyTextChar"/>
    <w:rsid w:val="0032446F"/>
    <w:pPr>
      <w:spacing w:after="120"/>
    </w:pPr>
  </w:style>
  <w:style w:type="character" w:customStyle="1" w:styleId="BodyTextChar">
    <w:name w:val="Body Text Char"/>
    <w:link w:val="BodyText"/>
    <w:rsid w:val="0032446F"/>
    <w:rPr>
      <w:sz w:val="22"/>
    </w:rPr>
  </w:style>
  <w:style w:type="paragraph" w:customStyle="1" w:styleId="ParaNum0">
    <w:name w:val="ParaNum"/>
    <w:basedOn w:val="Normal"/>
    <w:link w:val="ParaNumChar"/>
    <w:rsid w:val="0032446F"/>
    <w:pPr>
      <w:widowControl w:val="0"/>
      <w:numPr>
        <w:numId w:val="17"/>
      </w:numPr>
      <w:tabs>
        <w:tab w:val="clear" w:pos="1080"/>
        <w:tab w:val="num" w:pos="1440"/>
      </w:tabs>
      <w:spacing w:after="120"/>
    </w:pPr>
    <w:rPr>
      <w:snapToGrid w:val="0"/>
      <w:kern w:val="28"/>
    </w:rPr>
  </w:style>
  <w:style w:type="character" w:customStyle="1" w:styleId="ParaNumChar">
    <w:name w:val="ParaNum Char"/>
    <w:link w:val="ParaNum0"/>
    <w:locked/>
    <w:rsid w:val="0032446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goux.Brown@fcc.gov" TargetMode="External"/><Relationship Id="rId2" Type="http://schemas.openxmlformats.org/officeDocument/2006/relationships/styles" Target="styles.xml"/><Relationship Id="rId16" Type="http://schemas.openxmlformats.org/officeDocument/2006/relationships/hyperlink" Target="mailto:ecfshelp@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DownloadNOA?requestID=26985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1121</Words>
  <Characters>6792</Characters>
  <Application>Microsoft Office Word</Application>
  <DocSecurity>0</DocSecurity>
  <Lines>112</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7929</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2016-02-04T22:05:00Z</dcterms:created>
  <dcterms:modified xsi:type="dcterms:W3CDTF">2016-02-04T22:05:00Z</dcterms:modified>
  <cp:category> </cp:category>
  <cp:contentStatus> </cp:contentStatus>
</cp:coreProperties>
</file>