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AE36" w14:textId="066B428A" w:rsidR="00EA0257" w:rsidRDefault="00EA0257">
      <w:pPr>
        <w:pStyle w:val="Header"/>
        <w:tabs>
          <w:tab w:val="clear" w:pos="4320"/>
          <w:tab w:val="clear" w:pos="8640"/>
        </w:tabs>
        <w:rPr>
          <w:szCs w:val="22"/>
        </w:rPr>
      </w:pPr>
      <w:bookmarkStart w:id="0" w:name="_GoBack"/>
      <w:bookmarkEnd w:id="0"/>
    </w:p>
    <w:p w14:paraId="5BE44DAC" w14:textId="77777777" w:rsidR="00602577" w:rsidRPr="00EA0257" w:rsidRDefault="00602577" w:rsidP="00EA0257">
      <w:pPr>
        <w:sectPr w:rsidR="00602577" w:rsidRPr="00EA0257" w:rsidSect="00523D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p>
    <w:p w14:paraId="3D314641" w14:textId="7268A3F1" w:rsidR="00547027" w:rsidRPr="00A02546" w:rsidRDefault="000D5A39" w:rsidP="00457F49">
      <w:pPr>
        <w:ind w:left="7920"/>
        <w:jc w:val="right"/>
        <w:rPr>
          <w:b/>
          <w:sz w:val="24"/>
        </w:rPr>
      </w:pPr>
      <w:bookmarkStart w:id="2" w:name="Text1"/>
      <w:r>
        <w:rPr>
          <w:b/>
          <w:sz w:val="24"/>
        </w:rPr>
        <w:lastRenderedPageBreak/>
        <w:t xml:space="preserve">   </w:t>
      </w:r>
      <w:r w:rsidR="00547027" w:rsidRPr="00A02546">
        <w:rPr>
          <w:b/>
          <w:sz w:val="24"/>
        </w:rPr>
        <w:t xml:space="preserve">DA </w:t>
      </w:r>
      <w:bookmarkEnd w:id="2"/>
      <w:r w:rsidR="00547027" w:rsidRPr="00A02546">
        <w:rPr>
          <w:b/>
          <w:sz w:val="24"/>
        </w:rPr>
        <w:t>1</w:t>
      </w:r>
      <w:r w:rsidR="000D0610" w:rsidRPr="00A02546">
        <w:rPr>
          <w:b/>
          <w:sz w:val="24"/>
        </w:rPr>
        <w:t>6</w:t>
      </w:r>
      <w:r w:rsidR="00547027" w:rsidRPr="00A02546">
        <w:rPr>
          <w:b/>
          <w:sz w:val="24"/>
        </w:rPr>
        <w:t>-</w:t>
      </w:r>
      <w:r w:rsidR="00BA4F65">
        <w:rPr>
          <w:b/>
          <w:sz w:val="24"/>
        </w:rPr>
        <w:t>1301</w:t>
      </w:r>
    </w:p>
    <w:p w14:paraId="6FEAA98A" w14:textId="523BE60B" w:rsidR="00547027" w:rsidRPr="00A02546" w:rsidRDefault="00E7685F" w:rsidP="00457F49">
      <w:pPr>
        <w:ind w:left="7200"/>
        <w:jc w:val="right"/>
        <w:rPr>
          <w:b/>
          <w:sz w:val="24"/>
        </w:rPr>
      </w:pPr>
      <w:r>
        <w:rPr>
          <w:b/>
          <w:sz w:val="24"/>
        </w:rPr>
        <w:t>November 18</w:t>
      </w:r>
      <w:r w:rsidR="00547027" w:rsidRPr="00A02546">
        <w:rPr>
          <w:b/>
          <w:sz w:val="24"/>
        </w:rPr>
        <w:t>, 201</w:t>
      </w:r>
      <w:r w:rsidR="000D0610" w:rsidRPr="00A02546">
        <w:rPr>
          <w:b/>
          <w:sz w:val="24"/>
        </w:rPr>
        <w:t>6</w:t>
      </w:r>
    </w:p>
    <w:p w14:paraId="06A04EF3" w14:textId="77777777" w:rsidR="00390B1F" w:rsidRDefault="00390B1F" w:rsidP="00390B1F">
      <w:pPr>
        <w:spacing w:before="60"/>
        <w:ind w:left="7200"/>
        <w:rPr>
          <w:sz w:val="24"/>
        </w:rPr>
      </w:pPr>
    </w:p>
    <w:p w14:paraId="18770002" w14:textId="5A39C9D2" w:rsidR="00547027" w:rsidRDefault="00547027" w:rsidP="00570647">
      <w:pPr>
        <w:jc w:val="center"/>
        <w:rPr>
          <w:b/>
          <w:szCs w:val="22"/>
        </w:rPr>
      </w:pPr>
      <w:r w:rsidRPr="00DE0D70">
        <w:rPr>
          <w:b/>
          <w:szCs w:val="22"/>
        </w:rPr>
        <w:t>WIRELESS TELECOMMUNICATIONS BUREAU SEEKS COMMENT ON</w:t>
      </w:r>
      <w:r w:rsidR="00685C15">
        <w:rPr>
          <w:b/>
          <w:szCs w:val="22"/>
        </w:rPr>
        <w:t xml:space="preserve"> </w:t>
      </w:r>
      <w:r w:rsidR="00673216">
        <w:rPr>
          <w:b/>
          <w:szCs w:val="22"/>
        </w:rPr>
        <w:t>SAL SPECTRUM, LLC</w:t>
      </w:r>
      <w:r w:rsidRPr="00DE0D70">
        <w:rPr>
          <w:b/>
          <w:szCs w:val="22"/>
        </w:rPr>
        <w:t xml:space="preserve"> </w:t>
      </w:r>
      <w:r w:rsidR="00390B1F">
        <w:rPr>
          <w:b/>
          <w:szCs w:val="22"/>
        </w:rPr>
        <w:t>R</w:t>
      </w:r>
      <w:r w:rsidRPr="00DE0D70">
        <w:rPr>
          <w:b/>
          <w:szCs w:val="22"/>
        </w:rPr>
        <w:t>EQUEST</w:t>
      </w:r>
      <w:r w:rsidR="00390B1F">
        <w:rPr>
          <w:b/>
          <w:szCs w:val="22"/>
        </w:rPr>
        <w:t xml:space="preserve"> FOR</w:t>
      </w:r>
      <w:r w:rsidRPr="00DE0D70">
        <w:rPr>
          <w:b/>
          <w:szCs w:val="22"/>
        </w:rPr>
        <w:t xml:space="preserve"> </w:t>
      </w:r>
      <w:r w:rsidR="00673216">
        <w:rPr>
          <w:b/>
          <w:szCs w:val="22"/>
        </w:rPr>
        <w:t>EXTENSION</w:t>
      </w:r>
      <w:r w:rsidR="00390B1F">
        <w:rPr>
          <w:b/>
          <w:szCs w:val="22"/>
        </w:rPr>
        <w:t xml:space="preserve"> OF </w:t>
      </w:r>
      <w:r w:rsidR="00673216">
        <w:rPr>
          <w:b/>
          <w:szCs w:val="22"/>
        </w:rPr>
        <w:t xml:space="preserve">TIME TO MEET </w:t>
      </w:r>
      <w:r w:rsidR="00685C15">
        <w:rPr>
          <w:b/>
          <w:szCs w:val="22"/>
        </w:rPr>
        <w:t>GEOGRAPHIC COVERAGE REQUIREMENT</w:t>
      </w:r>
      <w:r w:rsidR="00035D8C">
        <w:rPr>
          <w:b/>
          <w:szCs w:val="22"/>
        </w:rPr>
        <w:t xml:space="preserve"> FOR 700 MHZ LICENSE</w:t>
      </w:r>
      <w:r w:rsidR="00673216">
        <w:rPr>
          <w:b/>
          <w:szCs w:val="22"/>
        </w:rPr>
        <w:t xml:space="preserve"> IN TEXAS</w:t>
      </w:r>
    </w:p>
    <w:p w14:paraId="0518335B" w14:textId="77777777" w:rsidR="00570647" w:rsidRPr="00554A13" w:rsidRDefault="00570647" w:rsidP="00570647">
      <w:pPr>
        <w:rPr>
          <w:b/>
          <w:szCs w:val="22"/>
        </w:rPr>
      </w:pPr>
    </w:p>
    <w:p w14:paraId="0C76E6E7" w14:textId="46E91F2D" w:rsidR="00570647" w:rsidRDefault="00E7685F" w:rsidP="00351FE4">
      <w:pPr>
        <w:jc w:val="center"/>
        <w:rPr>
          <w:b/>
          <w:szCs w:val="22"/>
        </w:rPr>
      </w:pPr>
      <w:r>
        <w:rPr>
          <w:b/>
          <w:szCs w:val="22"/>
        </w:rPr>
        <w:t>WT Docket No. 16-</w:t>
      </w:r>
      <w:r w:rsidR="00BA4F65">
        <w:rPr>
          <w:b/>
          <w:szCs w:val="22"/>
        </w:rPr>
        <w:t>392</w:t>
      </w:r>
    </w:p>
    <w:p w14:paraId="01C51664" w14:textId="77777777" w:rsidR="00752516" w:rsidRDefault="00752516" w:rsidP="00570647">
      <w:pPr>
        <w:rPr>
          <w:b/>
          <w:szCs w:val="22"/>
        </w:rPr>
      </w:pPr>
    </w:p>
    <w:p w14:paraId="3668D4E3" w14:textId="77777777" w:rsidR="00457F49" w:rsidRPr="00554A13" w:rsidRDefault="00457F49" w:rsidP="00570647">
      <w:pPr>
        <w:rPr>
          <w:b/>
          <w:szCs w:val="22"/>
        </w:rPr>
      </w:pPr>
    </w:p>
    <w:p w14:paraId="6ADB61DB" w14:textId="586A4530" w:rsidR="00547027" w:rsidRPr="00554A13" w:rsidRDefault="00547027" w:rsidP="002E7713">
      <w:pPr>
        <w:rPr>
          <w:b/>
          <w:szCs w:val="22"/>
        </w:rPr>
      </w:pPr>
      <w:r w:rsidRPr="00554A13">
        <w:rPr>
          <w:b/>
          <w:szCs w:val="22"/>
        </w:rPr>
        <w:t xml:space="preserve">Comments Due:  </w:t>
      </w:r>
      <w:r w:rsidR="00E7685F">
        <w:rPr>
          <w:b/>
          <w:szCs w:val="22"/>
        </w:rPr>
        <w:t>December</w:t>
      </w:r>
      <w:r w:rsidR="000F1667">
        <w:rPr>
          <w:b/>
          <w:szCs w:val="22"/>
        </w:rPr>
        <w:t xml:space="preserve"> </w:t>
      </w:r>
      <w:r w:rsidR="00E7685F">
        <w:rPr>
          <w:b/>
          <w:szCs w:val="22"/>
        </w:rPr>
        <w:t>8</w:t>
      </w:r>
      <w:r w:rsidRPr="00554A13">
        <w:rPr>
          <w:b/>
          <w:szCs w:val="22"/>
        </w:rPr>
        <w:t>, 201</w:t>
      </w:r>
      <w:r w:rsidR="00064A87" w:rsidRPr="00554A13">
        <w:rPr>
          <w:b/>
          <w:szCs w:val="22"/>
        </w:rPr>
        <w:t>6</w:t>
      </w:r>
      <w:r w:rsidRPr="00554A13">
        <w:rPr>
          <w:b/>
          <w:szCs w:val="22"/>
        </w:rPr>
        <w:tab/>
      </w:r>
      <w:r w:rsidRPr="00554A13">
        <w:rPr>
          <w:b/>
          <w:szCs w:val="22"/>
        </w:rPr>
        <w:tab/>
      </w:r>
      <w:r w:rsidRPr="00554A13">
        <w:rPr>
          <w:b/>
          <w:szCs w:val="22"/>
        </w:rPr>
        <w:tab/>
      </w:r>
    </w:p>
    <w:p w14:paraId="2C4E06F9" w14:textId="46C73CF0" w:rsidR="00390B1F" w:rsidRPr="00351FE4" w:rsidRDefault="00547027" w:rsidP="00351FE4">
      <w:pPr>
        <w:rPr>
          <w:b/>
          <w:szCs w:val="22"/>
        </w:rPr>
      </w:pPr>
      <w:r w:rsidRPr="00554A13">
        <w:rPr>
          <w:b/>
          <w:szCs w:val="22"/>
        </w:rPr>
        <w:t xml:space="preserve">Reply Comments Due:  </w:t>
      </w:r>
      <w:r w:rsidR="00E7685F">
        <w:rPr>
          <w:b/>
          <w:szCs w:val="22"/>
        </w:rPr>
        <w:t>December 19</w:t>
      </w:r>
      <w:r w:rsidRPr="00554A13">
        <w:rPr>
          <w:b/>
          <w:szCs w:val="22"/>
        </w:rPr>
        <w:t>, 2016</w:t>
      </w:r>
    </w:p>
    <w:p w14:paraId="00F8A51E" w14:textId="77777777" w:rsidR="00752516" w:rsidRDefault="00752516" w:rsidP="00547027">
      <w:pPr>
        <w:ind w:firstLine="720"/>
        <w:rPr>
          <w:szCs w:val="22"/>
        </w:rPr>
      </w:pPr>
    </w:p>
    <w:p w14:paraId="6EBBE932" w14:textId="77777777" w:rsidR="00457F49" w:rsidRDefault="00457F49" w:rsidP="00752516">
      <w:pPr>
        <w:ind w:firstLine="720"/>
        <w:rPr>
          <w:szCs w:val="22"/>
        </w:rPr>
      </w:pPr>
    </w:p>
    <w:p w14:paraId="6DE83EFB" w14:textId="4C26B928" w:rsidR="00752516" w:rsidRDefault="00547027" w:rsidP="00752516">
      <w:pPr>
        <w:ind w:firstLine="720"/>
        <w:rPr>
          <w:szCs w:val="22"/>
        </w:rPr>
      </w:pPr>
      <w:r w:rsidRPr="007A7E1F">
        <w:rPr>
          <w:szCs w:val="22"/>
        </w:rPr>
        <w:t xml:space="preserve">On </w:t>
      </w:r>
      <w:r w:rsidR="00E7685F">
        <w:rPr>
          <w:szCs w:val="22"/>
        </w:rPr>
        <w:t>November 15</w:t>
      </w:r>
      <w:r w:rsidR="00064A87">
        <w:rPr>
          <w:szCs w:val="22"/>
        </w:rPr>
        <w:t>, 2016</w:t>
      </w:r>
      <w:r w:rsidRPr="007A7E1F">
        <w:rPr>
          <w:szCs w:val="22"/>
        </w:rPr>
        <w:t xml:space="preserve">, </w:t>
      </w:r>
      <w:r w:rsidR="00E7685F">
        <w:rPr>
          <w:szCs w:val="22"/>
        </w:rPr>
        <w:t>SAL Spectrum, LLC (SAL)</w:t>
      </w:r>
      <w:r w:rsidR="00685C15">
        <w:rPr>
          <w:szCs w:val="22"/>
        </w:rPr>
        <w:t xml:space="preserve"> </w:t>
      </w:r>
      <w:r w:rsidRPr="00B53811">
        <w:rPr>
          <w:szCs w:val="22"/>
        </w:rPr>
        <w:t xml:space="preserve">filed </w:t>
      </w:r>
      <w:r w:rsidR="00685C15">
        <w:rPr>
          <w:szCs w:val="22"/>
        </w:rPr>
        <w:t>an application</w:t>
      </w:r>
      <w:r w:rsidR="00A02546" w:rsidRPr="00B53811">
        <w:rPr>
          <w:rStyle w:val="FootnoteReference"/>
          <w:szCs w:val="22"/>
        </w:rPr>
        <w:footnoteReference w:id="1"/>
      </w:r>
      <w:r w:rsidR="00064A87">
        <w:rPr>
          <w:szCs w:val="22"/>
        </w:rPr>
        <w:t xml:space="preserve"> </w:t>
      </w:r>
      <w:r w:rsidR="005A164A">
        <w:rPr>
          <w:szCs w:val="22"/>
        </w:rPr>
        <w:t>seeking</w:t>
      </w:r>
      <w:r w:rsidR="00064A87">
        <w:rPr>
          <w:szCs w:val="22"/>
        </w:rPr>
        <w:t xml:space="preserve"> </w:t>
      </w:r>
      <w:r w:rsidR="00673216">
        <w:rPr>
          <w:szCs w:val="22"/>
        </w:rPr>
        <w:t>extension</w:t>
      </w:r>
      <w:r w:rsidRPr="00B53811">
        <w:rPr>
          <w:szCs w:val="22"/>
        </w:rPr>
        <w:t xml:space="preserve"> of </w:t>
      </w:r>
      <w:r w:rsidR="00B7087B">
        <w:rPr>
          <w:szCs w:val="22"/>
        </w:rPr>
        <w:t xml:space="preserve">time to </w:t>
      </w:r>
      <w:r w:rsidR="00685C15">
        <w:rPr>
          <w:szCs w:val="22"/>
        </w:rPr>
        <w:t xml:space="preserve">meet </w:t>
      </w:r>
      <w:r w:rsidR="00B7087B">
        <w:rPr>
          <w:szCs w:val="22"/>
        </w:rPr>
        <w:t>the</w:t>
      </w:r>
      <w:r w:rsidR="00685C15">
        <w:rPr>
          <w:szCs w:val="22"/>
        </w:rPr>
        <w:t xml:space="preserve"> geographic coverage requirements</w:t>
      </w:r>
      <w:r w:rsidR="00B7087B">
        <w:rPr>
          <w:szCs w:val="22"/>
        </w:rPr>
        <w:t xml:space="preserve"> contained in Section 27.14(g) of the Commission’s rules</w:t>
      </w:r>
      <w:r w:rsidR="005A164A">
        <w:rPr>
          <w:szCs w:val="22"/>
        </w:rPr>
        <w:t>.</w:t>
      </w:r>
      <w:r w:rsidR="005A164A" w:rsidRPr="00B53811">
        <w:rPr>
          <w:szCs w:val="22"/>
          <w:vertAlign w:val="superscript"/>
        </w:rPr>
        <w:footnoteReference w:id="2"/>
      </w:r>
      <w:r w:rsidR="005A164A">
        <w:rPr>
          <w:szCs w:val="22"/>
        </w:rPr>
        <w:t xml:space="preserve">  </w:t>
      </w:r>
      <w:r w:rsidR="00932A3B">
        <w:rPr>
          <w:szCs w:val="22"/>
        </w:rPr>
        <w:t xml:space="preserve">Specifically, </w:t>
      </w:r>
      <w:r w:rsidR="00E7685F">
        <w:rPr>
          <w:szCs w:val="22"/>
        </w:rPr>
        <w:t>SAL</w:t>
      </w:r>
      <w:r w:rsidR="00685C15">
        <w:rPr>
          <w:szCs w:val="22"/>
        </w:rPr>
        <w:t xml:space="preserve"> seeks to </w:t>
      </w:r>
      <w:r w:rsidR="00E7685F">
        <w:rPr>
          <w:szCs w:val="22"/>
        </w:rPr>
        <w:t>extend the interim construction requirement for</w:t>
      </w:r>
      <w:r w:rsidR="00685C15">
        <w:rPr>
          <w:szCs w:val="22"/>
        </w:rPr>
        <w:t xml:space="preserve"> a </w:t>
      </w:r>
      <w:r w:rsidR="00145A02">
        <w:rPr>
          <w:szCs w:val="22"/>
        </w:rPr>
        <w:t>Lower 700 MHz B Block license</w:t>
      </w:r>
      <w:r w:rsidR="00CA1B24">
        <w:rPr>
          <w:szCs w:val="22"/>
        </w:rPr>
        <w:t xml:space="preserve"> authorized for operation in the</w:t>
      </w:r>
      <w:r w:rsidR="00673216">
        <w:rPr>
          <w:szCs w:val="22"/>
        </w:rPr>
        <w:t xml:space="preserve"> Dallam, Texas Cellular Market Area (CMA652)</w:t>
      </w:r>
      <w:r w:rsidR="00CA1B24">
        <w:rPr>
          <w:szCs w:val="22"/>
        </w:rPr>
        <w:t>.</w:t>
      </w:r>
      <w:r w:rsidR="00673216">
        <w:rPr>
          <w:rStyle w:val="FootnoteReference"/>
          <w:szCs w:val="22"/>
        </w:rPr>
        <w:footnoteReference w:id="3"/>
      </w:r>
      <w:r w:rsidR="005A164A">
        <w:rPr>
          <w:szCs w:val="22"/>
        </w:rPr>
        <w:t xml:space="preserve"> </w:t>
      </w:r>
      <w:r w:rsidR="00CA1B24">
        <w:rPr>
          <w:szCs w:val="22"/>
        </w:rPr>
        <w:t xml:space="preserve"> The license </w:t>
      </w:r>
      <w:r w:rsidR="00145A02">
        <w:rPr>
          <w:szCs w:val="22"/>
        </w:rPr>
        <w:t>has an</w:t>
      </w:r>
      <w:r w:rsidR="00157612">
        <w:rPr>
          <w:szCs w:val="22"/>
        </w:rPr>
        <w:t xml:space="preserve"> </w:t>
      </w:r>
      <w:r w:rsidR="005A164A">
        <w:rPr>
          <w:szCs w:val="22"/>
        </w:rPr>
        <w:t xml:space="preserve">interim construction deadline </w:t>
      </w:r>
      <w:r w:rsidR="00012E1C">
        <w:rPr>
          <w:szCs w:val="22"/>
        </w:rPr>
        <w:t xml:space="preserve">requiring it to provide </w:t>
      </w:r>
      <w:r w:rsidR="00157612">
        <w:rPr>
          <w:szCs w:val="22"/>
        </w:rPr>
        <w:t>coverage to</w:t>
      </w:r>
      <w:r w:rsidR="00012E1C">
        <w:rPr>
          <w:szCs w:val="22"/>
        </w:rPr>
        <w:t xml:space="preserve"> 35 percent of the geographic area of the license</w:t>
      </w:r>
      <w:r w:rsidR="00690907">
        <w:rPr>
          <w:szCs w:val="22"/>
        </w:rPr>
        <w:t xml:space="preserve"> by December 13, 2016</w:t>
      </w:r>
      <w:r w:rsidR="00012E1C">
        <w:rPr>
          <w:szCs w:val="22"/>
        </w:rPr>
        <w:t>, and</w:t>
      </w:r>
      <w:r w:rsidR="00157612">
        <w:rPr>
          <w:szCs w:val="22"/>
        </w:rPr>
        <w:t xml:space="preserve"> a final construction deadline </w:t>
      </w:r>
      <w:r w:rsidR="00012E1C">
        <w:rPr>
          <w:szCs w:val="22"/>
        </w:rPr>
        <w:t xml:space="preserve">requiring it to provide </w:t>
      </w:r>
      <w:r w:rsidR="00157612">
        <w:rPr>
          <w:szCs w:val="22"/>
        </w:rPr>
        <w:t>coverage to</w:t>
      </w:r>
      <w:r w:rsidR="00012E1C">
        <w:rPr>
          <w:szCs w:val="22"/>
        </w:rPr>
        <w:t xml:space="preserve"> 70 percent of the geographic area of the license</w:t>
      </w:r>
      <w:r w:rsidR="00F81032" w:rsidRPr="00F81032">
        <w:rPr>
          <w:szCs w:val="22"/>
        </w:rPr>
        <w:t xml:space="preserve"> </w:t>
      </w:r>
      <w:r w:rsidR="00F81032">
        <w:rPr>
          <w:szCs w:val="22"/>
        </w:rPr>
        <w:t>by June 13, 2019</w:t>
      </w:r>
      <w:r w:rsidR="00012E1C">
        <w:rPr>
          <w:szCs w:val="22"/>
        </w:rPr>
        <w:t>.</w:t>
      </w:r>
      <w:r w:rsidR="002E7713">
        <w:rPr>
          <w:rStyle w:val="FootnoteReference"/>
          <w:szCs w:val="22"/>
        </w:rPr>
        <w:footnoteReference w:id="4"/>
      </w:r>
      <w:r w:rsidR="00932A3B">
        <w:rPr>
          <w:szCs w:val="22"/>
        </w:rPr>
        <w:t xml:space="preserve">  </w:t>
      </w:r>
      <w:r w:rsidR="00673216">
        <w:rPr>
          <w:szCs w:val="22"/>
        </w:rPr>
        <w:t>In the event it fails to meet the interim construction deadline, SAL would be subject to an accelerated final construction deadline of June 13, 2017.</w:t>
      </w:r>
      <w:r w:rsidR="00673216">
        <w:rPr>
          <w:rStyle w:val="FootnoteReference"/>
          <w:szCs w:val="22"/>
        </w:rPr>
        <w:footnoteReference w:id="5"/>
      </w:r>
      <w:r w:rsidR="00673216">
        <w:rPr>
          <w:szCs w:val="22"/>
        </w:rPr>
        <w:t xml:space="preserve">  SAL requests that the interim deadline be extended by six months to June 13, 2017, and that its final deadline remain June 13, 2019, so long as it meets the extended interim deadline.</w:t>
      </w:r>
      <w:r w:rsidR="00673216">
        <w:rPr>
          <w:rStyle w:val="FootnoteReference"/>
          <w:szCs w:val="22"/>
        </w:rPr>
        <w:footnoteReference w:id="6"/>
      </w:r>
    </w:p>
    <w:p w14:paraId="3D56DDC5" w14:textId="77777777" w:rsidR="00752516" w:rsidRDefault="00752516" w:rsidP="00570647">
      <w:pPr>
        <w:ind w:firstLine="720"/>
        <w:rPr>
          <w:szCs w:val="22"/>
        </w:rPr>
      </w:pPr>
    </w:p>
    <w:p w14:paraId="356A0565" w14:textId="7A5C6CEF" w:rsidR="00570647" w:rsidRDefault="00547027" w:rsidP="00570647">
      <w:pPr>
        <w:ind w:firstLine="720"/>
        <w:rPr>
          <w:szCs w:val="22"/>
        </w:rPr>
      </w:pPr>
      <w:r w:rsidRPr="00B53811">
        <w:rPr>
          <w:szCs w:val="22"/>
        </w:rPr>
        <w:t xml:space="preserve">By this Public Notice, we seek comment on </w:t>
      </w:r>
      <w:r w:rsidR="00673216">
        <w:rPr>
          <w:szCs w:val="22"/>
        </w:rPr>
        <w:t>SAL</w:t>
      </w:r>
      <w:r w:rsidR="00457F49">
        <w:rPr>
          <w:szCs w:val="22"/>
        </w:rPr>
        <w:t>’s</w:t>
      </w:r>
      <w:r w:rsidR="00A02546">
        <w:rPr>
          <w:szCs w:val="22"/>
        </w:rPr>
        <w:t xml:space="preserve"> </w:t>
      </w:r>
      <w:r w:rsidR="00673216">
        <w:rPr>
          <w:szCs w:val="22"/>
        </w:rPr>
        <w:t>Extension</w:t>
      </w:r>
      <w:r w:rsidR="00A02546">
        <w:rPr>
          <w:szCs w:val="22"/>
        </w:rPr>
        <w:t xml:space="preserve"> Request.</w:t>
      </w:r>
    </w:p>
    <w:p w14:paraId="0C3376B5" w14:textId="77777777" w:rsidR="0037288E" w:rsidRDefault="0037288E" w:rsidP="00570647">
      <w:pPr>
        <w:ind w:firstLine="720"/>
        <w:rPr>
          <w:b/>
          <w:szCs w:val="22"/>
        </w:rPr>
      </w:pPr>
    </w:p>
    <w:p w14:paraId="51691EA2" w14:textId="3F5DB58E" w:rsidR="00547027" w:rsidRPr="00570647" w:rsidRDefault="00547027" w:rsidP="00570647">
      <w:pPr>
        <w:ind w:firstLine="720"/>
        <w:rPr>
          <w:szCs w:val="22"/>
        </w:rPr>
      </w:pPr>
      <w:r w:rsidRPr="00B53811">
        <w:rPr>
          <w:b/>
          <w:szCs w:val="22"/>
        </w:rPr>
        <w:t>Procedural Matters</w:t>
      </w:r>
    </w:p>
    <w:p w14:paraId="48C90D49" w14:textId="77777777" w:rsidR="00547027" w:rsidRPr="00B53811" w:rsidRDefault="00547027" w:rsidP="00547027">
      <w:pPr>
        <w:ind w:firstLine="720"/>
        <w:rPr>
          <w:szCs w:val="22"/>
        </w:rPr>
      </w:pPr>
    </w:p>
    <w:p w14:paraId="640F7A97" w14:textId="03455CA4" w:rsidR="00547027" w:rsidRPr="00B53811" w:rsidRDefault="00547027" w:rsidP="00547027">
      <w:pPr>
        <w:ind w:firstLine="720"/>
        <w:rPr>
          <w:szCs w:val="22"/>
        </w:rPr>
      </w:pPr>
      <w:r w:rsidRPr="00B53811">
        <w:rPr>
          <w:szCs w:val="22"/>
        </w:rPr>
        <w:lastRenderedPageBreak/>
        <w:t xml:space="preserve">Pursuant to Sections 1.415 and 1.419 </w:t>
      </w:r>
      <w:r w:rsidR="009D4695">
        <w:rPr>
          <w:szCs w:val="22"/>
        </w:rPr>
        <w:t>of the Commission’s rules, 47 CFR</w:t>
      </w:r>
      <w:r w:rsidRPr="00B53811">
        <w:rPr>
          <w:szCs w:val="22"/>
        </w:rPr>
        <w:t xml:space="preserve"> §§ 1.415, 1.419, interested parties may file comments and reply comments on or before the dates indicated on the first page of this document.  </w:t>
      </w:r>
      <w:r w:rsidR="00947911">
        <w:rPr>
          <w:szCs w:val="22"/>
        </w:rPr>
        <w:t xml:space="preserve">All filings should refer to </w:t>
      </w:r>
      <w:r w:rsidR="00947911" w:rsidRPr="00947911">
        <w:rPr>
          <w:b/>
          <w:szCs w:val="22"/>
        </w:rPr>
        <w:t>WT Docket No. 16-</w:t>
      </w:r>
      <w:r w:rsidR="00BA4F65">
        <w:rPr>
          <w:b/>
          <w:szCs w:val="22"/>
        </w:rPr>
        <w:t>392</w:t>
      </w:r>
      <w:r w:rsidR="00947911">
        <w:rPr>
          <w:szCs w:val="22"/>
        </w:rPr>
        <w:t xml:space="preserve">.  </w:t>
      </w:r>
      <w:r w:rsidRPr="00B53811">
        <w:rPr>
          <w:szCs w:val="22"/>
        </w:rPr>
        <w:t xml:space="preserve">Comments may be filed using the Commission’s Electronic Comment Filing System (“ECFS”).  </w:t>
      </w:r>
      <w:r w:rsidRPr="00B53811">
        <w:rPr>
          <w:i/>
          <w:szCs w:val="22"/>
        </w:rPr>
        <w:t>See Electronic Filing of Documents in Rulemaking Proceedings</w:t>
      </w:r>
      <w:r w:rsidRPr="00B53811">
        <w:rPr>
          <w:szCs w:val="22"/>
        </w:rPr>
        <w:t>, 63 FR 24121 (1998).</w:t>
      </w:r>
    </w:p>
    <w:p w14:paraId="40DEE13A" w14:textId="77777777" w:rsidR="00547027" w:rsidRPr="00B53811" w:rsidRDefault="00547027" w:rsidP="00547027">
      <w:pPr>
        <w:rPr>
          <w:szCs w:val="22"/>
        </w:rPr>
      </w:pPr>
    </w:p>
    <w:p w14:paraId="417336E7" w14:textId="0FFD3D95" w:rsidR="00547027" w:rsidRPr="00B53811" w:rsidRDefault="00547027" w:rsidP="00547027">
      <w:pPr>
        <w:numPr>
          <w:ilvl w:val="0"/>
          <w:numId w:val="15"/>
        </w:numPr>
        <w:tabs>
          <w:tab w:val="num" w:pos="720"/>
        </w:tabs>
        <w:ind w:left="720"/>
        <w:rPr>
          <w:szCs w:val="22"/>
        </w:rPr>
      </w:pPr>
      <w:r w:rsidRPr="00B53811">
        <w:rPr>
          <w:szCs w:val="22"/>
        </w:rPr>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14:paraId="7C0E04AC" w14:textId="77777777" w:rsidR="00547027" w:rsidRPr="00B53811" w:rsidRDefault="00547027" w:rsidP="00547027">
      <w:pPr>
        <w:rPr>
          <w:szCs w:val="22"/>
        </w:rPr>
      </w:pPr>
    </w:p>
    <w:p w14:paraId="40D622A3" w14:textId="77777777" w:rsidR="00547027" w:rsidRPr="00B53811" w:rsidRDefault="00547027" w:rsidP="0054702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1FB8D45" w14:textId="77777777" w:rsidR="00547027" w:rsidRPr="00B53811" w:rsidRDefault="00547027" w:rsidP="00547027">
      <w:pPr>
        <w:rPr>
          <w:szCs w:val="22"/>
        </w:rPr>
      </w:pPr>
    </w:p>
    <w:p w14:paraId="5A6789E6" w14:textId="77777777" w:rsidR="00547027" w:rsidRPr="00B53811" w:rsidRDefault="00547027" w:rsidP="0054702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2223E1" w14:textId="77777777" w:rsidR="00547027" w:rsidRPr="00B53811" w:rsidRDefault="00547027" w:rsidP="00547027">
      <w:pPr>
        <w:rPr>
          <w:szCs w:val="22"/>
        </w:rPr>
      </w:pPr>
    </w:p>
    <w:p w14:paraId="25C75B16" w14:textId="77777777" w:rsidR="00547027" w:rsidRPr="00B53811" w:rsidRDefault="00547027" w:rsidP="0054702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14:paraId="6BFE277E" w14:textId="77777777" w:rsidR="00547027" w:rsidRPr="00B53811" w:rsidRDefault="00547027" w:rsidP="00547027">
      <w:pPr>
        <w:ind w:left="1080"/>
        <w:rPr>
          <w:szCs w:val="22"/>
        </w:rPr>
      </w:pPr>
    </w:p>
    <w:p w14:paraId="103DF813" w14:textId="77777777" w:rsidR="00547027" w:rsidRPr="00B53811" w:rsidRDefault="00547027" w:rsidP="0054702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14:paraId="3462A893" w14:textId="77777777" w:rsidR="00547027" w:rsidRPr="00B53811" w:rsidRDefault="00547027" w:rsidP="00547027">
      <w:pPr>
        <w:rPr>
          <w:szCs w:val="22"/>
        </w:rPr>
      </w:pPr>
    </w:p>
    <w:p w14:paraId="47E9E7AB" w14:textId="77777777" w:rsidR="00547027" w:rsidRPr="00B53811" w:rsidRDefault="00547027" w:rsidP="0054702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14:paraId="736963E9" w14:textId="77777777" w:rsidR="00547027" w:rsidRPr="00B53811" w:rsidRDefault="00547027" w:rsidP="00547027">
      <w:pPr>
        <w:rPr>
          <w:szCs w:val="22"/>
        </w:rPr>
      </w:pPr>
    </w:p>
    <w:p w14:paraId="2D2AC4DA" w14:textId="54C5A334" w:rsidR="00547027" w:rsidRPr="00B53811" w:rsidRDefault="00547027" w:rsidP="00547027">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14:paraId="5CCEA58D" w14:textId="77777777" w:rsidR="00547027" w:rsidRPr="00B53811" w:rsidRDefault="00547027" w:rsidP="00547027">
      <w:pPr>
        <w:rPr>
          <w:szCs w:val="22"/>
        </w:rPr>
      </w:pPr>
    </w:p>
    <w:p w14:paraId="7EB20190" w14:textId="77777777" w:rsidR="00547027" w:rsidRPr="00B53811" w:rsidRDefault="00547027" w:rsidP="0054702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7"/>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14:paraId="0DF2EE5F" w14:textId="77777777" w:rsidR="00547027" w:rsidRPr="00B53811" w:rsidRDefault="00547027" w:rsidP="00547027">
      <w:pPr>
        <w:ind w:firstLine="720"/>
        <w:rPr>
          <w:szCs w:val="22"/>
        </w:rPr>
      </w:pPr>
    </w:p>
    <w:p w14:paraId="3BAF6C22" w14:textId="77777777" w:rsidR="00547027" w:rsidRPr="00B53811" w:rsidRDefault="00547027" w:rsidP="0054702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14:paraId="53D421FA" w14:textId="77777777" w:rsidR="00547027" w:rsidRPr="00B53811" w:rsidRDefault="00547027" w:rsidP="00547027">
      <w:pPr>
        <w:ind w:firstLine="720"/>
        <w:rPr>
          <w:szCs w:val="22"/>
        </w:rPr>
      </w:pPr>
    </w:p>
    <w:p w14:paraId="0C28548E" w14:textId="76117296" w:rsidR="00547027" w:rsidRPr="00B53811" w:rsidRDefault="00547027" w:rsidP="00547027">
      <w:pPr>
        <w:ind w:firstLine="720"/>
        <w:rPr>
          <w:rFonts w:eastAsia="MS Mincho"/>
          <w:szCs w:val="22"/>
        </w:rPr>
      </w:pPr>
      <w:r w:rsidRPr="00B53811">
        <w:rPr>
          <w:rFonts w:eastAsia="MS Mincho"/>
          <w:szCs w:val="22"/>
        </w:rPr>
        <w:t xml:space="preserve">For further information, contact Ms. </w:t>
      </w:r>
      <w:r w:rsidR="00EA0257">
        <w:rPr>
          <w:rFonts w:eastAsia="MS Mincho"/>
          <w:szCs w:val="22"/>
        </w:rPr>
        <w:t>Anna Gentry</w:t>
      </w:r>
      <w:r w:rsidRPr="00B53811">
        <w:rPr>
          <w:szCs w:val="22"/>
        </w:rPr>
        <w:t xml:space="preserve"> </w:t>
      </w:r>
      <w:r w:rsidRPr="00B53811">
        <w:rPr>
          <w:rFonts w:eastAsia="MS Mincho"/>
          <w:szCs w:val="22"/>
        </w:rPr>
        <w:t>of the Mobility Division, Wireless Telecommunications Bureau, at (202) 418-</w:t>
      </w:r>
      <w:r w:rsidR="00EA0257">
        <w:rPr>
          <w:rFonts w:eastAsia="MS Mincho"/>
          <w:szCs w:val="22"/>
        </w:rPr>
        <w:t>7769</w:t>
      </w:r>
      <w:r w:rsidRPr="00B53811">
        <w:rPr>
          <w:rFonts w:eastAsia="MS Mincho"/>
          <w:szCs w:val="22"/>
        </w:rPr>
        <w:t xml:space="preserve"> or via e-mail at </w:t>
      </w:r>
      <w:hyperlink r:id="rId16" w:history="1">
        <w:r w:rsidR="00690907" w:rsidRPr="00BD568A">
          <w:rPr>
            <w:rStyle w:val="Hyperlink"/>
            <w:szCs w:val="22"/>
          </w:rPr>
          <w:t>anna.gentry@fcc.gov</w:t>
        </w:r>
      </w:hyperlink>
      <w:r>
        <w:rPr>
          <w:szCs w:val="22"/>
        </w:rPr>
        <w:t xml:space="preserve">. </w:t>
      </w:r>
      <w:r w:rsidRPr="00B53811">
        <w:rPr>
          <w:rFonts w:eastAsia="MS Mincho"/>
          <w:szCs w:val="22"/>
        </w:rPr>
        <w:t xml:space="preserve"> </w:t>
      </w:r>
    </w:p>
    <w:p w14:paraId="0240922C" w14:textId="77777777" w:rsidR="00547027" w:rsidRPr="00B53811" w:rsidRDefault="00547027" w:rsidP="00547027">
      <w:pPr>
        <w:autoSpaceDE w:val="0"/>
        <w:autoSpaceDN w:val="0"/>
        <w:adjustRightInd w:val="0"/>
        <w:rPr>
          <w:color w:val="000000"/>
          <w:szCs w:val="22"/>
        </w:rPr>
      </w:pPr>
    </w:p>
    <w:p w14:paraId="02345983" w14:textId="77777777" w:rsidR="00547027" w:rsidRPr="00B53811" w:rsidRDefault="00547027" w:rsidP="00547027">
      <w:pPr>
        <w:ind w:firstLine="720"/>
        <w:rPr>
          <w:szCs w:val="22"/>
        </w:rPr>
      </w:pPr>
      <w:r w:rsidRPr="00B53811">
        <w:rPr>
          <w:szCs w:val="22"/>
        </w:rPr>
        <w:t>Action by the Chief, Mobility Division, Wireless Telecommunications Bureau.</w:t>
      </w:r>
    </w:p>
    <w:p w14:paraId="2D5A9A8F" w14:textId="77777777" w:rsidR="00547027" w:rsidRPr="005C7D25" w:rsidRDefault="00547027" w:rsidP="00547027">
      <w:pPr>
        <w:rPr>
          <w:szCs w:val="22"/>
        </w:rPr>
      </w:pPr>
    </w:p>
    <w:p w14:paraId="4CA27042" w14:textId="6A351008" w:rsidR="001467D2" w:rsidRPr="00570647" w:rsidRDefault="00547027" w:rsidP="00570647">
      <w:pPr>
        <w:jc w:val="center"/>
        <w:rPr>
          <w:b/>
          <w:bCs/>
          <w:kern w:val="2"/>
          <w:szCs w:val="22"/>
        </w:rPr>
      </w:pPr>
      <w:r w:rsidRPr="005C7D25">
        <w:rPr>
          <w:szCs w:val="22"/>
        </w:rPr>
        <w:t>- FCC -</w:t>
      </w:r>
      <w:r w:rsidR="00570647" w:rsidRPr="00B90F4A">
        <w:rPr>
          <w:szCs w:val="22"/>
        </w:rPr>
        <w:t xml:space="preserve"> </w:t>
      </w:r>
    </w:p>
    <w:sectPr w:rsidR="001467D2" w:rsidRPr="00570647" w:rsidSect="00752516">
      <w:footerReference w:type="default" r:id="rId17"/>
      <w:headerReference w:type="first" r:id="rId18"/>
      <w:type w:val="continuous"/>
      <w:pgSz w:w="12240" w:h="15840" w:code="1"/>
      <w:pgMar w:top="1440" w:right="1440" w:bottom="72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AE7F" w14:textId="77777777" w:rsidR="00B858DE" w:rsidRDefault="00B858DE">
      <w:r>
        <w:separator/>
      </w:r>
    </w:p>
  </w:endnote>
  <w:endnote w:type="continuationSeparator" w:id="0">
    <w:p w14:paraId="56F77F1C" w14:textId="77777777" w:rsidR="00B858DE" w:rsidRDefault="00B8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7803" w14:textId="77777777" w:rsidR="00961BF7" w:rsidRDefault="00961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FA0A" w14:textId="77777777" w:rsidR="00961BF7" w:rsidRDefault="00961B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228D" w14:textId="77777777" w:rsidR="00961BF7" w:rsidRDefault="00961B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98138"/>
      <w:docPartObj>
        <w:docPartGallery w:val="Page Numbers (Bottom of Page)"/>
        <w:docPartUnique/>
      </w:docPartObj>
    </w:sdtPr>
    <w:sdtEndPr>
      <w:rPr>
        <w:noProof/>
      </w:rPr>
    </w:sdtEndPr>
    <w:sdtContent>
      <w:p w14:paraId="17BC4C1A" w14:textId="77777777" w:rsidR="00390B1F" w:rsidRDefault="00390B1F">
        <w:pPr>
          <w:pStyle w:val="Footer"/>
          <w:jc w:val="center"/>
        </w:pPr>
        <w:r>
          <w:fldChar w:fldCharType="begin"/>
        </w:r>
        <w:r>
          <w:instrText xml:space="preserve"> PAGE   \* MERGEFORMAT </w:instrText>
        </w:r>
        <w:r>
          <w:fldChar w:fldCharType="separate"/>
        </w:r>
        <w:r w:rsidR="0001228B">
          <w:rPr>
            <w:noProof/>
          </w:rPr>
          <w:t>2</w:t>
        </w:r>
        <w:r>
          <w:rPr>
            <w:noProof/>
          </w:rPr>
          <w:fldChar w:fldCharType="end"/>
        </w:r>
      </w:p>
    </w:sdtContent>
  </w:sdt>
  <w:p w14:paraId="2DC037B2" w14:textId="77777777" w:rsidR="00390B1F" w:rsidRDefault="0039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5A8C7" w14:textId="77777777" w:rsidR="00B858DE" w:rsidRDefault="00B858DE">
      <w:r>
        <w:separator/>
      </w:r>
    </w:p>
  </w:footnote>
  <w:footnote w:type="continuationSeparator" w:id="0">
    <w:p w14:paraId="6E5E723B" w14:textId="77777777" w:rsidR="00B858DE" w:rsidRDefault="00B858DE">
      <w:r>
        <w:continuationSeparator/>
      </w:r>
    </w:p>
  </w:footnote>
  <w:footnote w:id="1">
    <w:p w14:paraId="5D011120" w14:textId="4F3DC6CB" w:rsidR="00A02546" w:rsidRPr="00351FE4" w:rsidRDefault="00A02546" w:rsidP="00EA0257">
      <w:pPr>
        <w:pStyle w:val="FootnoteText"/>
        <w:tabs>
          <w:tab w:val="left" w:pos="0"/>
        </w:tabs>
        <w:spacing w:after="120"/>
        <w:rPr>
          <w:sz w:val="20"/>
        </w:rPr>
      </w:pPr>
      <w:r w:rsidRPr="00B53811">
        <w:rPr>
          <w:rStyle w:val="FootnoteReference"/>
          <w:sz w:val="20"/>
        </w:rPr>
        <w:footnoteRef/>
      </w:r>
      <w:r w:rsidRPr="00B53811">
        <w:rPr>
          <w:sz w:val="20"/>
        </w:rPr>
        <w:t xml:space="preserve"> </w:t>
      </w:r>
      <w:r w:rsidR="00145A02">
        <w:rPr>
          <w:sz w:val="20"/>
        </w:rPr>
        <w:t xml:space="preserve">Request for Waiver </w:t>
      </w:r>
      <w:r w:rsidR="00E7685F">
        <w:rPr>
          <w:sz w:val="20"/>
        </w:rPr>
        <w:t>and Extension of Construction/Coverage Thresholds</w:t>
      </w:r>
      <w:r w:rsidR="00A2258A">
        <w:rPr>
          <w:sz w:val="20"/>
        </w:rPr>
        <w:t xml:space="preserve">, ULS File No. </w:t>
      </w:r>
      <w:r w:rsidR="00E7685F" w:rsidRPr="00E7685F">
        <w:rPr>
          <w:sz w:val="20"/>
        </w:rPr>
        <w:t>0007557048</w:t>
      </w:r>
      <w:r w:rsidR="00145A02">
        <w:rPr>
          <w:sz w:val="20"/>
        </w:rPr>
        <w:t xml:space="preserve"> </w:t>
      </w:r>
      <w:r w:rsidR="00A2258A">
        <w:rPr>
          <w:sz w:val="20"/>
        </w:rPr>
        <w:t xml:space="preserve">(filed </w:t>
      </w:r>
      <w:r w:rsidR="00B7087B">
        <w:rPr>
          <w:sz w:val="20"/>
        </w:rPr>
        <w:t>Nov.</w:t>
      </w:r>
      <w:r w:rsidR="00E7685F">
        <w:rPr>
          <w:sz w:val="20"/>
        </w:rPr>
        <w:t xml:space="preserve"> 15</w:t>
      </w:r>
      <w:r w:rsidR="00A2258A">
        <w:rPr>
          <w:sz w:val="20"/>
        </w:rPr>
        <w:t xml:space="preserve">, 2016) </w:t>
      </w:r>
      <w:r w:rsidR="00145A02">
        <w:rPr>
          <w:sz w:val="20"/>
        </w:rPr>
        <w:t>(</w:t>
      </w:r>
      <w:r w:rsidR="00E7685F">
        <w:rPr>
          <w:sz w:val="20"/>
        </w:rPr>
        <w:t>SAL</w:t>
      </w:r>
      <w:r w:rsidR="00145A02">
        <w:rPr>
          <w:sz w:val="20"/>
        </w:rPr>
        <w:t xml:space="preserve"> </w:t>
      </w:r>
      <w:r w:rsidR="0016791E">
        <w:rPr>
          <w:sz w:val="20"/>
        </w:rPr>
        <w:t>Extension</w:t>
      </w:r>
      <w:r w:rsidR="00145A02">
        <w:rPr>
          <w:sz w:val="20"/>
        </w:rPr>
        <w:t xml:space="preserve"> Request</w:t>
      </w:r>
      <w:r>
        <w:rPr>
          <w:sz w:val="20"/>
        </w:rPr>
        <w:t>)</w:t>
      </w:r>
      <w:r w:rsidR="00A2258A">
        <w:rPr>
          <w:sz w:val="20"/>
        </w:rPr>
        <w:t>.</w:t>
      </w:r>
    </w:p>
  </w:footnote>
  <w:footnote w:id="2">
    <w:p w14:paraId="005A62B0" w14:textId="1C3634A5" w:rsidR="005A164A" w:rsidRPr="00B90F4A" w:rsidRDefault="005A164A" w:rsidP="00673216">
      <w:pPr>
        <w:pStyle w:val="FootnoteText"/>
        <w:tabs>
          <w:tab w:val="left" w:pos="0"/>
        </w:tabs>
        <w:spacing w:after="120"/>
        <w:rPr>
          <w:sz w:val="20"/>
        </w:rPr>
      </w:pPr>
      <w:r w:rsidRPr="00B90F4A">
        <w:rPr>
          <w:rStyle w:val="FootnoteReference"/>
          <w:sz w:val="20"/>
        </w:rPr>
        <w:footnoteRef/>
      </w:r>
      <w:r w:rsidRPr="00B90F4A">
        <w:rPr>
          <w:sz w:val="20"/>
        </w:rPr>
        <w:t xml:space="preserve"> 47 CFR § </w:t>
      </w:r>
      <w:r>
        <w:rPr>
          <w:sz w:val="20"/>
        </w:rPr>
        <w:t>27.14(g)</w:t>
      </w:r>
      <w:r w:rsidRPr="00B90F4A">
        <w:rPr>
          <w:sz w:val="20"/>
        </w:rPr>
        <w:t>.</w:t>
      </w:r>
    </w:p>
  </w:footnote>
  <w:footnote w:id="3">
    <w:p w14:paraId="730D0A62" w14:textId="55F59545" w:rsidR="00673216" w:rsidRPr="00673216" w:rsidRDefault="00673216" w:rsidP="00673216">
      <w:pPr>
        <w:pStyle w:val="FootnoteText"/>
        <w:spacing w:after="120"/>
        <w:rPr>
          <w:sz w:val="20"/>
        </w:rPr>
      </w:pPr>
      <w:r w:rsidRPr="00673216">
        <w:rPr>
          <w:rStyle w:val="FootnoteReference"/>
          <w:sz w:val="20"/>
        </w:rPr>
        <w:footnoteRef/>
      </w:r>
      <w:r w:rsidRPr="00673216">
        <w:rPr>
          <w:sz w:val="20"/>
        </w:rPr>
        <w:t xml:space="preserve"> Call Sign WQJQ812.</w:t>
      </w:r>
    </w:p>
  </w:footnote>
  <w:footnote w:id="4">
    <w:p w14:paraId="3A424E38" w14:textId="465B8A8C" w:rsidR="002E7713" w:rsidRDefault="002E7713" w:rsidP="00D85ECC">
      <w:pPr>
        <w:pStyle w:val="Default"/>
        <w:spacing w:after="120"/>
      </w:pPr>
      <w:r>
        <w:rPr>
          <w:rStyle w:val="FootnoteReference"/>
        </w:rPr>
        <w:footnoteRef/>
      </w:r>
      <w:r>
        <w:t xml:space="preserve"> </w:t>
      </w:r>
      <w:r w:rsidRPr="00B90F4A">
        <w:rPr>
          <w:sz w:val="20"/>
        </w:rPr>
        <w:t xml:space="preserve">47 CFR § </w:t>
      </w:r>
      <w:r>
        <w:rPr>
          <w:sz w:val="20"/>
        </w:rPr>
        <w:t xml:space="preserve">27.14(g); </w:t>
      </w:r>
      <w:r>
        <w:rPr>
          <w:i/>
          <w:iCs/>
          <w:sz w:val="20"/>
        </w:rPr>
        <w:t>s</w:t>
      </w:r>
      <w:r w:rsidRPr="00531EB5">
        <w:rPr>
          <w:i/>
          <w:iCs/>
          <w:sz w:val="20"/>
        </w:rPr>
        <w:t>ee</w:t>
      </w:r>
      <w:r>
        <w:rPr>
          <w:i/>
          <w:iCs/>
          <w:sz w:val="20"/>
        </w:rPr>
        <w:t xml:space="preserve"> also</w:t>
      </w:r>
      <w:r w:rsidR="00D85ECC">
        <w:t xml:space="preserve"> </w:t>
      </w:r>
      <w:r w:rsidR="00D85ECC" w:rsidRPr="00B7087B">
        <w:rPr>
          <w:i/>
          <w:sz w:val="20"/>
          <w:szCs w:val="20"/>
        </w:rPr>
        <w:t>Service Rules for the 698-746, 747-762 and 777-792 MHz Bands</w:t>
      </w:r>
      <w:r w:rsidR="00D85ECC">
        <w:rPr>
          <w:sz w:val="20"/>
          <w:szCs w:val="20"/>
        </w:rPr>
        <w:t xml:space="preserve">, </w:t>
      </w:r>
      <w:r w:rsidR="00D85ECC" w:rsidRPr="00B7087B">
        <w:rPr>
          <w:iCs/>
          <w:sz w:val="20"/>
          <w:szCs w:val="20"/>
        </w:rPr>
        <w:t>Second Report and Order</w:t>
      </w:r>
      <w:r w:rsidR="00D85ECC">
        <w:rPr>
          <w:i/>
          <w:iCs/>
          <w:sz w:val="20"/>
          <w:szCs w:val="20"/>
        </w:rPr>
        <w:t xml:space="preserve">, </w:t>
      </w:r>
      <w:r w:rsidR="00D85ECC">
        <w:rPr>
          <w:sz w:val="20"/>
          <w:szCs w:val="20"/>
        </w:rPr>
        <w:t xml:space="preserve">22 FCC Rcd 15289, 15349, para. 157 (2007). </w:t>
      </w:r>
      <w:r w:rsidR="00D85ECC">
        <w:t xml:space="preserve"> </w:t>
      </w:r>
    </w:p>
  </w:footnote>
  <w:footnote w:id="5">
    <w:p w14:paraId="3EC498AE" w14:textId="39647E1C" w:rsidR="00673216" w:rsidRPr="00673216" w:rsidRDefault="00673216" w:rsidP="00673216">
      <w:pPr>
        <w:pStyle w:val="FootnoteText"/>
        <w:spacing w:after="120"/>
        <w:rPr>
          <w:sz w:val="20"/>
        </w:rPr>
      </w:pPr>
      <w:r w:rsidRPr="00673216">
        <w:rPr>
          <w:rStyle w:val="FootnoteReference"/>
          <w:sz w:val="20"/>
        </w:rPr>
        <w:footnoteRef/>
      </w:r>
      <w:r w:rsidRPr="00673216">
        <w:rPr>
          <w:sz w:val="20"/>
        </w:rPr>
        <w:t xml:space="preserve"> 47 CFR § 27.14(g)(1).</w:t>
      </w:r>
    </w:p>
  </w:footnote>
  <w:footnote w:id="6">
    <w:p w14:paraId="1705D2F2" w14:textId="74182408" w:rsidR="00673216" w:rsidRPr="00673216" w:rsidRDefault="00673216" w:rsidP="00673216">
      <w:pPr>
        <w:pStyle w:val="FootnoteText"/>
        <w:spacing w:after="120"/>
        <w:rPr>
          <w:sz w:val="20"/>
        </w:rPr>
      </w:pPr>
      <w:r w:rsidRPr="00673216">
        <w:rPr>
          <w:rStyle w:val="FootnoteReference"/>
          <w:sz w:val="20"/>
        </w:rPr>
        <w:footnoteRef/>
      </w:r>
      <w:r w:rsidRPr="00673216">
        <w:rPr>
          <w:sz w:val="20"/>
        </w:rPr>
        <w:t xml:space="preserve"> SAL </w:t>
      </w:r>
      <w:r w:rsidR="0016791E">
        <w:rPr>
          <w:sz w:val="20"/>
        </w:rPr>
        <w:t>Extension</w:t>
      </w:r>
      <w:r w:rsidRPr="00673216">
        <w:rPr>
          <w:sz w:val="20"/>
        </w:rPr>
        <w:t xml:space="preserve"> Request at 1.</w:t>
      </w:r>
    </w:p>
  </w:footnote>
  <w:footnote w:id="7">
    <w:p w14:paraId="4E884E2E" w14:textId="1D8668DF" w:rsidR="00390B1F" w:rsidRDefault="00390B1F" w:rsidP="00EA0257">
      <w:pPr>
        <w:pStyle w:val="FootnoteText"/>
        <w:spacing w:after="120"/>
      </w:pPr>
      <w:r w:rsidRPr="00B53811">
        <w:rPr>
          <w:rStyle w:val="FootnoteReference"/>
          <w:sz w:val="20"/>
        </w:rPr>
        <w:footnoteRef/>
      </w:r>
      <w:r w:rsidRPr="00B53811">
        <w:rPr>
          <w:i/>
          <w:sz w:val="20"/>
        </w:rPr>
        <w:t xml:space="preserve"> See</w:t>
      </w:r>
      <w:r w:rsidR="009D4695">
        <w:rPr>
          <w:sz w:val="20"/>
        </w:rPr>
        <w:t xml:space="preserve"> 47 CFR</w:t>
      </w:r>
      <w:r w:rsidRPr="00B53811">
        <w:rPr>
          <w:sz w:val="20"/>
        </w:rPr>
        <w:t xml:space="preserve">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6243" w14:textId="77777777" w:rsidR="00961BF7" w:rsidRDefault="00961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15E7" w14:textId="77777777" w:rsidR="00961BF7" w:rsidRDefault="00961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EE36" w14:textId="77777777" w:rsidR="00523D35" w:rsidRDefault="00523D35" w:rsidP="00523D3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9504" behindDoc="0" locked="0" layoutInCell="0" allowOverlap="1" wp14:anchorId="4FB10DDA" wp14:editId="566D398A">
          <wp:simplePos x="0" y="0"/>
          <wp:positionH relativeFrom="column">
            <wp:posOffset>30480</wp:posOffset>
          </wp:positionH>
          <wp:positionV relativeFrom="paragraph">
            <wp:posOffset>107950</wp:posOffset>
          </wp:positionV>
          <wp:extent cx="530225" cy="530225"/>
          <wp:effectExtent l="0" t="0" r="3175" b="3175"/>
          <wp:wrapTopAndBottom/>
          <wp:docPr id="25" name="Picture 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B67B9E" w14:textId="77777777" w:rsidR="00523D35" w:rsidRDefault="00523D35" w:rsidP="00523D35">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1" allowOverlap="1" wp14:anchorId="374538B4" wp14:editId="759D157F">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83754"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1" allowOverlap="1" wp14:anchorId="264EAD9D" wp14:editId="336718E8">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EAD9D"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VfgIAAAc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" stroked="f">
              <v:textbox inset=",0,,0">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6432" behindDoc="0" locked="0" layoutInCell="1" allowOverlap="1" wp14:anchorId="153350F4" wp14:editId="6CB55DDB">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350F4" id="Text Box 1" o:spid="_x0000_s1027" type="#_x0000_t202" style="position:absolute;left:0;text-align:left;margin-left:-4.95pt;margin-top:6pt;width:244.8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y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B1&#10;KPJyhgIAABYFAAAOAAAAAAAAAAAAAAAAAC4CAABkcnMvZTJvRG9jLnhtbFBLAQItABQABgAIAAAA&#10;IQAiz6bF3QAAAAkBAAAPAAAAAAAAAAAAAAAAAOAEAABkcnMvZG93bnJldi54bWxQSwUGAAAAAAQA&#10;BADzAAAA6gUAAAAA&#10;" stroked="f">
              <v:textbo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14:paraId="5046069E" w14:textId="77777777" w:rsidR="00390B1F" w:rsidRDefault="00390B1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420" w14:textId="77777777" w:rsidR="00390B1F" w:rsidRDefault="00390B1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BB8EEA1" wp14:editId="10A76E4F">
          <wp:simplePos x="0" y="0"/>
          <wp:positionH relativeFrom="column">
            <wp:posOffset>30480</wp:posOffset>
          </wp:positionH>
          <wp:positionV relativeFrom="paragraph">
            <wp:posOffset>107950</wp:posOffset>
          </wp:positionV>
          <wp:extent cx="530225" cy="530225"/>
          <wp:effectExtent l="0" t="0" r="3175" b="3175"/>
          <wp:wrapTopAndBottom/>
          <wp:docPr id="24" name="Picture 2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D23BB7" w14:textId="77777777" w:rsidR="00390B1F" w:rsidRDefault="00390B1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14:anchorId="023F7BAF" wp14:editId="587897C7">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3F7BAF" id="_x0000_t202" coordsize="21600,21600" o:spt="202" path="m,l,21600r21600,l21600,xe">
              <v:stroke joinstyle="miter"/>
              <v:path gradientshapeok="t" o:connecttype="rect"/>
            </v:shapetype>
            <v:shape id="Text Box 5" o:spid="_x0000_s1028" type="#_x0000_t202" style="position:absolute;left:0;text-align:left;margin-left:283.1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Xe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" o:allowincell="f" stroked="f">
              <v:textbox inset=",0,,0">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56397C5" wp14:editId="78C22F50">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397C5" id="Text Box 2" o:spid="_x0000_s1029" type="#_x0000_t202" style="position:absolute;left:0;text-align:left;margin-left:-6.95pt;margin-top:2.4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L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" o:allowincell="f" stroked="f">
              <v:textbo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2336" behindDoc="0" locked="0" layoutInCell="0" allowOverlap="1" wp14:anchorId="4C9E0C98" wp14:editId="6655F8DC">
              <wp:simplePos x="0" y="0"/>
              <wp:positionH relativeFrom="column">
                <wp:posOffset>0</wp:posOffset>
              </wp:positionH>
              <wp:positionV relativeFrom="paragraph">
                <wp:posOffset>697865</wp:posOffset>
              </wp:positionV>
              <wp:extent cx="685800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E6A0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14:paraId="78499805" w14:textId="77777777" w:rsidR="00390B1F" w:rsidRDefault="00390B1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228B"/>
    <w:rsid w:val="00012E1C"/>
    <w:rsid w:val="00016309"/>
    <w:rsid w:val="00021FB6"/>
    <w:rsid w:val="000265AE"/>
    <w:rsid w:val="00026FA3"/>
    <w:rsid w:val="00035D8C"/>
    <w:rsid w:val="000441EA"/>
    <w:rsid w:val="0004664C"/>
    <w:rsid w:val="00064A87"/>
    <w:rsid w:val="000673D1"/>
    <w:rsid w:val="00086FA8"/>
    <w:rsid w:val="0009326B"/>
    <w:rsid w:val="000B609C"/>
    <w:rsid w:val="000D0610"/>
    <w:rsid w:val="000D5A39"/>
    <w:rsid w:val="000F1667"/>
    <w:rsid w:val="000F5570"/>
    <w:rsid w:val="000F7FC2"/>
    <w:rsid w:val="00114A0F"/>
    <w:rsid w:val="00134E2D"/>
    <w:rsid w:val="0013553C"/>
    <w:rsid w:val="00145A02"/>
    <w:rsid w:val="001467D2"/>
    <w:rsid w:val="0015159F"/>
    <w:rsid w:val="00157612"/>
    <w:rsid w:val="0016791E"/>
    <w:rsid w:val="00176AA0"/>
    <w:rsid w:val="00180F37"/>
    <w:rsid w:val="00195111"/>
    <w:rsid w:val="001A157A"/>
    <w:rsid w:val="001A5FEE"/>
    <w:rsid w:val="001D037B"/>
    <w:rsid w:val="001E798E"/>
    <w:rsid w:val="00200AAF"/>
    <w:rsid w:val="002136F2"/>
    <w:rsid w:val="00232DAB"/>
    <w:rsid w:val="00236CF3"/>
    <w:rsid w:val="00293737"/>
    <w:rsid w:val="002B2BA7"/>
    <w:rsid w:val="002B3395"/>
    <w:rsid w:val="002C284A"/>
    <w:rsid w:val="002E0494"/>
    <w:rsid w:val="002E2D37"/>
    <w:rsid w:val="002E7713"/>
    <w:rsid w:val="002F4197"/>
    <w:rsid w:val="00322534"/>
    <w:rsid w:val="003302E7"/>
    <w:rsid w:val="003314EF"/>
    <w:rsid w:val="00351FE4"/>
    <w:rsid w:val="0036158D"/>
    <w:rsid w:val="00365356"/>
    <w:rsid w:val="0037288E"/>
    <w:rsid w:val="00390B1F"/>
    <w:rsid w:val="003F1E53"/>
    <w:rsid w:val="00400028"/>
    <w:rsid w:val="004308F2"/>
    <w:rsid w:val="00451200"/>
    <w:rsid w:val="00457F49"/>
    <w:rsid w:val="00486C4B"/>
    <w:rsid w:val="0049538B"/>
    <w:rsid w:val="004C51EF"/>
    <w:rsid w:val="004D277B"/>
    <w:rsid w:val="004E458A"/>
    <w:rsid w:val="004F2AAC"/>
    <w:rsid w:val="005119CE"/>
    <w:rsid w:val="00523D35"/>
    <w:rsid w:val="00531EB5"/>
    <w:rsid w:val="00547027"/>
    <w:rsid w:val="00551C3D"/>
    <w:rsid w:val="00554A13"/>
    <w:rsid w:val="0056267B"/>
    <w:rsid w:val="00570647"/>
    <w:rsid w:val="00592BD1"/>
    <w:rsid w:val="005A164A"/>
    <w:rsid w:val="00602577"/>
    <w:rsid w:val="006141F3"/>
    <w:rsid w:val="00630FEC"/>
    <w:rsid w:val="00673216"/>
    <w:rsid w:val="0067462C"/>
    <w:rsid w:val="00685C15"/>
    <w:rsid w:val="00690907"/>
    <w:rsid w:val="006C2228"/>
    <w:rsid w:val="006C2C35"/>
    <w:rsid w:val="006E34F4"/>
    <w:rsid w:val="00703383"/>
    <w:rsid w:val="00721849"/>
    <w:rsid w:val="007225A7"/>
    <w:rsid w:val="00727A55"/>
    <w:rsid w:val="007335F4"/>
    <w:rsid w:val="00752516"/>
    <w:rsid w:val="007537BA"/>
    <w:rsid w:val="00754860"/>
    <w:rsid w:val="00755B16"/>
    <w:rsid w:val="007A23BF"/>
    <w:rsid w:val="007A5DAD"/>
    <w:rsid w:val="007A710B"/>
    <w:rsid w:val="007C3843"/>
    <w:rsid w:val="007C3A26"/>
    <w:rsid w:val="007F0D58"/>
    <w:rsid w:val="00820725"/>
    <w:rsid w:val="00824EED"/>
    <w:rsid w:val="00840D7C"/>
    <w:rsid w:val="008635E4"/>
    <w:rsid w:val="008719AB"/>
    <w:rsid w:val="00873861"/>
    <w:rsid w:val="00873D12"/>
    <w:rsid w:val="00891B9D"/>
    <w:rsid w:val="008A072D"/>
    <w:rsid w:val="008B7132"/>
    <w:rsid w:val="008C491C"/>
    <w:rsid w:val="0090664F"/>
    <w:rsid w:val="00913B65"/>
    <w:rsid w:val="00917191"/>
    <w:rsid w:val="00932A3B"/>
    <w:rsid w:val="009359CA"/>
    <w:rsid w:val="00947911"/>
    <w:rsid w:val="00961BF7"/>
    <w:rsid w:val="00984B63"/>
    <w:rsid w:val="009C2D1A"/>
    <w:rsid w:val="009D4695"/>
    <w:rsid w:val="009D6643"/>
    <w:rsid w:val="009F0C94"/>
    <w:rsid w:val="009F28B5"/>
    <w:rsid w:val="00A02546"/>
    <w:rsid w:val="00A1605C"/>
    <w:rsid w:val="00A2258A"/>
    <w:rsid w:val="00A5719B"/>
    <w:rsid w:val="00A576C8"/>
    <w:rsid w:val="00A578ED"/>
    <w:rsid w:val="00A61473"/>
    <w:rsid w:val="00A8571E"/>
    <w:rsid w:val="00A94166"/>
    <w:rsid w:val="00AB00EA"/>
    <w:rsid w:val="00AB1FE3"/>
    <w:rsid w:val="00AD1470"/>
    <w:rsid w:val="00AD4271"/>
    <w:rsid w:val="00B27774"/>
    <w:rsid w:val="00B30CD3"/>
    <w:rsid w:val="00B533C1"/>
    <w:rsid w:val="00B7087B"/>
    <w:rsid w:val="00B858DE"/>
    <w:rsid w:val="00B90F4A"/>
    <w:rsid w:val="00BA4F65"/>
    <w:rsid w:val="00BA60C1"/>
    <w:rsid w:val="00BB3E1B"/>
    <w:rsid w:val="00BB7390"/>
    <w:rsid w:val="00BD28B9"/>
    <w:rsid w:val="00BE5DC2"/>
    <w:rsid w:val="00C302FC"/>
    <w:rsid w:val="00C35BF4"/>
    <w:rsid w:val="00C42C2E"/>
    <w:rsid w:val="00C92AD1"/>
    <w:rsid w:val="00C9642E"/>
    <w:rsid w:val="00CA0FB4"/>
    <w:rsid w:val="00CA1B24"/>
    <w:rsid w:val="00CE0215"/>
    <w:rsid w:val="00D17DC0"/>
    <w:rsid w:val="00D44ABA"/>
    <w:rsid w:val="00D60EFF"/>
    <w:rsid w:val="00D85ECC"/>
    <w:rsid w:val="00D9728F"/>
    <w:rsid w:val="00DB5D48"/>
    <w:rsid w:val="00DD1A69"/>
    <w:rsid w:val="00DD4782"/>
    <w:rsid w:val="00DD4969"/>
    <w:rsid w:val="00DD4CD6"/>
    <w:rsid w:val="00DF7404"/>
    <w:rsid w:val="00E117C0"/>
    <w:rsid w:val="00E2604D"/>
    <w:rsid w:val="00E31400"/>
    <w:rsid w:val="00E560A8"/>
    <w:rsid w:val="00E73EDC"/>
    <w:rsid w:val="00E7685F"/>
    <w:rsid w:val="00E84552"/>
    <w:rsid w:val="00E950F1"/>
    <w:rsid w:val="00EA0257"/>
    <w:rsid w:val="00EA2117"/>
    <w:rsid w:val="00EA52F6"/>
    <w:rsid w:val="00F15FBF"/>
    <w:rsid w:val="00F24C8F"/>
    <w:rsid w:val="00F7477F"/>
    <w:rsid w:val="00F81032"/>
    <w:rsid w:val="00F852EC"/>
    <w:rsid w:val="00F8694A"/>
    <w:rsid w:val="00F957B9"/>
    <w:rsid w:val="00FA5C25"/>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36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026">
      <w:bodyDiv w:val="1"/>
      <w:marLeft w:val="0"/>
      <w:marRight w:val="0"/>
      <w:marTop w:val="0"/>
      <w:marBottom w:val="0"/>
      <w:divBdr>
        <w:top w:val="none" w:sz="0" w:space="0" w:color="auto"/>
        <w:left w:val="none" w:sz="0" w:space="0" w:color="auto"/>
        <w:bottom w:val="none" w:sz="0" w:space="0" w:color="auto"/>
        <w:right w:val="none" w:sz="0" w:space="0" w:color="auto"/>
      </w:divBdr>
    </w:div>
    <w:div w:id="133645890">
      <w:bodyDiv w:val="1"/>
      <w:marLeft w:val="0"/>
      <w:marRight w:val="0"/>
      <w:marTop w:val="0"/>
      <w:marBottom w:val="0"/>
      <w:divBdr>
        <w:top w:val="none" w:sz="0" w:space="0" w:color="auto"/>
        <w:left w:val="none" w:sz="0" w:space="0" w:color="auto"/>
        <w:bottom w:val="none" w:sz="0" w:space="0" w:color="auto"/>
        <w:right w:val="none" w:sz="0" w:space="0" w:color="auto"/>
      </w:divBdr>
    </w:div>
    <w:div w:id="510727589">
      <w:bodyDiv w:val="1"/>
      <w:marLeft w:val="0"/>
      <w:marRight w:val="0"/>
      <w:marTop w:val="0"/>
      <w:marBottom w:val="0"/>
      <w:divBdr>
        <w:top w:val="none" w:sz="0" w:space="0" w:color="auto"/>
        <w:left w:val="none" w:sz="0" w:space="0" w:color="auto"/>
        <w:bottom w:val="none" w:sz="0" w:space="0" w:color="auto"/>
        <w:right w:val="none" w:sz="0" w:space="0" w:color="auto"/>
      </w:divBdr>
    </w:div>
    <w:div w:id="572275003">
      <w:bodyDiv w:val="1"/>
      <w:marLeft w:val="0"/>
      <w:marRight w:val="0"/>
      <w:marTop w:val="0"/>
      <w:marBottom w:val="0"/>
      <w:divBdr>
        <w:top w:val="none" w:sz="0" w:space="0" w:color="auto"/>
        <w:left w:val="none" w:sz="0" w:space="0" w:color="auto"/>
        <w:bottom w:val="none" w:sz="0" w:space="0" w:color="auto"/>
        <w:right w:val="none" w:sz="0" w:space="0" w:color="auto"/>
      </w:divBdr>
    </w:div>
    <w:div w:id="1097868561">
      <w:bodyDiv w:val="1"/>
      <w:marLeft w:val="0"/>
      <w:marRight w:val="0"/>
      <w:marTop w:val="0"/>
      <w:marBottom w:val="0"/>
      <w:divBdr>
        <w:top w:val="none" w:sz="0" w:space="0" w:color="auto"/>
        <w:left w:val="none" w:sz="0" w:space="0" w:color="auto"/>
        <w:bottom w:val="none" w:sz="0" w:space="0" w:color="auto"/>
        <w:right w:val="none" w:sz="0" w:space="0" w:color="auto"/>
      </w:divBdr>
    </w:div>
    <w:div w:id="1487161463">
      <w:bodyDiv w:val="1"/>
      <w:marLeft w:val="0"/>
      <w:marRight w:val="0"/>
      <w:marTop w:val="0"/>
      <w:marBottom w:val="0"/>
      <w:divBdr>
        <w:top w:val="none" w:sz="0" w:space="0" w:color="auto"/>
        <w:left w:val="none" w:sz="0" w:space="0" w:color="auto"/>
        <w:bottom w:val="none" w:sz="0" w:space="0" w:color="auto"/>
        <w:right w:val="none" w:sz="0" w:space="0" w:color="auto"/>
      </w:divBdr>
    </w:div>
    <w:div w:id="1872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nna.gentry@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845</Words>
  <Characters>4662</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2016-11-18T17:50:00Z</dcterms:created>
  <dcterms:modified xsi:type="dcterms:W3CDTF">2016-11-18T17:50:00Z</dcterms:modified>
  <cp:category> </cp:category>
  <cp:contentStatus> </cp:contentStatus>
</cp:coreProperties>
</file>