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2D7" w:rsidRDefault="005922D7">
      <w:pPr>
        <w:jc w:val="right"/>
        <w:outlineLvl w:val="0"/>
        <w:rPr>
          <w:b/>
          <w:sz w:val="22"/>
        </w:rPr>
      </w:pPr>
      <w:bookmarkStart w:id="0" w:name="_GoBack"/>
      <w:bookmarkEnd w:id="0"/>
      <w:r>
        <w:rPr>
          <w:b/>
        </w:rPr>
        <w:tab/>
      </w:r>
      <w:r>
        <w:rPr>
          <w:b/>
        </w:rPr>
        <w:tab/>
      </w:r>
      <w:r>
        <w:rPr>
          <w:b/>
        </w:rPr>
        <w:tab/>
      </w:r>
      <w:r>
        <w:rPr>
          <w:b/>
        </w:rPr>
        <w:tab/>
      </w:r>
      <w:r>
        <w:rPr>
          <w:b/>
        </w:rPr>
        <w:tab/>
      </w:r>
      <w:r>
        <w:rPr>
          <w:b/>
          <w:sz w:val="22"/>
        </w:rPr>
        <w:t xml:space="preserve">DA </w:t>
      </w:r>
      <w:r w:rsidR="005B0CDB">
        <w:rPr>
          <w:b/>
          <w:sz w:val="22"/>
        </w:rPr>
        <w:t>16-</w:t>
      </w:r>
      <w:r w:rsidR="00AC3558">
        <w:rPr>
          <w:b/>
          <w:sz w:val="22"/>
        </w:rPr>
        <w:t>1306</w:t>
      </w:r>
    </w:p>
    <w:p w:rsidR="005922D7" w:rsidRDefault="005922D7" w:rsidP="00522E86">
      <w:pPr>
        <w:spacing w:after="120"/>
        <w:jc w:val="right"/>
        <w:outlineLvl w:val="0"/>
        <w:rPr>
          <w:b/>
          <w:sz w:val="22"/>
        </w:rPr>
      </w:pPr>
      <w:r>
        <w:rPr>
          <w:b/>
          <w:sz w:val="22"/>
        </w:rPr>
        <w:tab/>
      </w:r>
      <w:r>
        <w:rPr>
          <w:b/>
          <w:sz w:val="22"/>
        </w:rPr>
        <w:tab/>
      </w:r>
      <w:r>
        <w:rPr>
          <w:b/>
          <w:sz w:val="22"/>
        </w:rPr>
        <w:tab/>
      </w:r>
      <w:r>
        <w:rPr>
          <w:b/>
          <w:sz w:val="22"/>
        </w:rPr>
        <w:tab/>
      </w:r>
      <w:r>
        <w:rPr>
          <w:b/>
          <w:sz w:val="22"/>
        </w:rPr>
        <w:tab/>
      </w:r>
      <w:r>
        <w:rPr>
          <w:b/>
          <w:sz w:val="22"/>
        </w:rPr>
        <w:tab/>
        <w:t xml:space="preserve"> </w:t>
      </w:r>
      <w:r>
        <w:rPr>
          <w:b/>
          <w:sz w:val="22"/>
        </w:rPr>
        <w:tab/>
      </w:r>
      <w:r>
        <w:rPr>
          <w:b/>
          <w:sz w:val="22"/>
        </w:rPr>
        <w:tab/>
        <w:t xml:space="preserve">Released:  </w:t>
      </w:r>
      <w:r w:rsidR="005A002A">
        <w:rPr>
          <w:b/>
          <w:sz w:val="22"/>
        </w:rPr>
        <w:t>November 22</w:t>
      </w:r>
      <w:r w:rsidR="005B0CDB">
        <w:rPr>
          <w:b/>
          <w:sz w:val="22"/>
        </w:rPr>
        <w:t>, 2016</w:t>
      </w:r>
    </w:p>
    <w:p w:rsidR="00522E86" w:rsidRDefault="00522E86">
      <w:pPr>
        <w:jc w:val="center"/>
        <w:outlineLvl w:val="0"/>
        <w:rPr>
          <w:b/>
          <w:sz w:val="22"/>
          <w:szCs w:val="22"/>
        </w:rPr>
      </w:pPr>
    </w:p>
    <w:p w:rsidR="005922D7" w:rsidRDefault="005A002A" w:rsidP="005A002A">
      <w:pPr>
        <w:jc w:val="center"/>
        <w:rPr>
          <w:b/>
          <w:caps/>
          <w:sz w:val="22"/>
        </w:rPr>
      </w:pPr>
      <w:r w:rsidRPr="005A002A">
        <w:rPr>
          <w:b/>
          <w:caps/>
          <w:sz w:val="22"/>
        </w:rPr>
        <w:t>Wireline Competition Bureau Announces 2017 List of Rural and Nonrural OCNs for Rural Call Completion Reporting</w:t>
      </w:r>
    </w:p>
    <w:p w:rsidR="00C37D8D" w:rsidRDefault="00C37D8D" w:rsidP="005A002A">
      <w:pPr>
        <w:jc w:val="center"/>
        <w:rPr>
          <w:b/>
          <w:caps/>
          <w:sz w:val="22"/>
        </w:rPr>
      </w:pPr>
    </w:p>
    <w:p w:rsidR="00C37D8D" w:rsidRPr="00C37D8D" w:rsidRDefault="00C37D8D" w:rsidP="005A002A">
      <w:pPr>
        <w:jc w:val="center"/>
        <w:rPr>
          <w:rFonts w:ascii="Times New Roman Bold" w:hAnsi="Times New Roman Bold"/>
          <w:b/>
          <w:sz w:val="22"/>
        </w:rPr>
      </w:pPr>
      <w:r>
        <w:rPr>
          <w:rFonts w:ascii="Times New Roman Bold" w:hAnsi="Times New Roman Bold"/>
          <w:b/>
          <w:sz w:val="22"/>
        </w:rPr>
        <w:t>WC Docket No. 13-39</w:t>
      </w:r>
    </w:p>
    <w:p w:rsidR="005A002A" w:rsidRPr="005A002A" w:rsidRDefault="005A002A">
      <w:pPr>
        <w:rPr>
          <w:b/>
          <w:caps/>
          <w:sz w:val="22"/>
          <w:szCs w:val="22"/>
        </w:rPr>
      </w:pPr>
    </w:p>
    <w:p w:rsidR="005021D5" w:rsidRPr="005021D5" w:rsidRDefault="005021D5" w:rsidP="005021D5">
      <w:pPr>
        <w:spacing w:before="120"/>
        <w:ind w:firstLine="720"/>
        <w:contextualSpacing/>
        <w:rPr>
          <w:sz w:val="22"/>
          <w:szCs w:val="22"/>
        </w:rPr>
      </w:pPr>
      <w:r w:rsidRPr="005021D5">
        <w:rPr>
          <w:sz w:val="22"/>
          <w:szCs w:val="22"/>
        </w:rPr>
        <w:t>The Commission’s Rural Call Completion rules</w:t>
      </w:r>
      <w:r w:rsidRPr="005021D5">
        <w:rPr>
          <w:rStyle w:val="FootnoteReference"/>
          <w:sz w:val="22"/>
          <w:szCs w:val="22"/>
        </w:rPr>
        <w:footnoteReference w:id="1"/>
      </w:r>
      <w:r w:rsidRPr="005021D5">
        <w:rPr>
          <w:sz w:val="22"/>
          <w:szCs w:val="22"/>
        </w:rPr>
        <w:t xml:space="preserve"> require—among other things—that covered service providers</w:t>
      </w:r>
      <w:r w:rsidRPr="005021D5">
        <w:rPr>
          <w:rStyle w:val="FootnoteReference"/>
          <w:sz w:val="22"/>
          <w:szCs w:val="22"/>
        </w:rPr>
        <w:footnoteReference w:id="2"/>
      </w:r>
      <w:r w:rsidRPr="005021D5">
        <w:rPr>
          <w:sz w:val="22"/>
          <w:szCs w:val="22"/>
        </w:rPr>
        <w:t xml:space="preserve"> submit to the Commission in electronic form, once per calendar quarter, specific monthly data on long-distance call completion attempts</w:t>
      </w:r>
      <w:r w:rsidRPr="005021D5">
        <w:rPr>
          <w:rStyle w:val="FootnoteReference"/>
          <w:sz w:val="22"/>
          <w:szCs w:val="22"/>
        </w:rPr>
        <w:footnoteReference w:id="3"/>
      </w:r>
      <w:r w:rsidRPr="005021D5">
        <w:rPr>
          <w:sz w:val="22"/>
          <w:szCs w:val="22"/>
        </w:rPr>
        <w:t xml:space="preserve"> to rural operating company numbers (OCNs),</w:t>
      </w:r>
      <w:r w:rsidRPr="005021D5">
        <w:rPr>
          <w:sz w:val="22"/>
          <w:szCs w:val="22"/>
          <w:vertAlign w:val="superscript"/>
        </w:rPr>
        <w:footnoteReference w:id="4"/>
      </w:r>
      <w:r w:rsidRPr="005021D5">
        <w:rPr>
          <w:sz w:val="22"/>
          <w:szCs w:val="22"/>
        </w:rPr>
        <w:t xml:space="preserve"> and more aggregated data to nonrural OCNs.</w:t>
      </w:r>
      <w:r w:rsidRPr="005021D5">
        <w:rPr>
          <w:rStyle w:val="FootnoteReference"/>
          <w:sz w:val="22"/>
          <w:szCs w:val="22"/>
        </w:rPr>
        <w:footnoteReference w:id="5"/>
      </w:r>
      <w:r w:rsidRPr="005021D5">
        <w:rPr>
          <w:sz w:val="22"/>
          <w:szCs w:val="22"/>
        </w:rPr>
        <w:t xml:space="preserve">  To that end, and in accordance with our rules,</w:t>
      </w:r>
      <w:r w:rsidRPr="005021D5">
        <w:rPr>
          <w:rStyle w:val="FootnoteReference"/>
          <w:sz w:val="22"/>
          <w:szCs w:val="22"/>
        </w:rPr>
        <w:footnoteReference w:id="6"/>
      </w:r>
      <w:r w:rsidRPr="005021D5">
        <w:rPr>
          <w:sz w:val="22"/>
          <w:szCs w:val="22"/>
        </w:rPr>
        <w:t xml:space="preserve"> the National Exchange Carrier Association, Inc. (NECA) has provided the Wireline Competition Bureau (Bureau) an updated list of rural and nonrural operating OCNs, for the 2017 calendar year.</w:t>
      </w:r>
      <w:r w:rsidRPr="005021D5">
        <w:rPr>
          <w:rStyle w:val="FootnoteReference"/>
          <w:sz w:val="22"/>
          <w:szCs w:val="22"/>
        </w:rPr>
        <w:footnoteReference w:id="7"/>
      </w:r>
      <w:r w:rsidRPr="005021D5">
        <w:rPr>
          <w:sz w:val="22"/>
          <w:szCs w:val="22"/>
        </w:rPr>
        <w:t xml:space="preserve">  </w:t>
      </w:r>
    </w:p>
    <w:p w:rsidR="005021D5" w:rsidRPr="005021D5" w:rsidRDefault="005021D5" w:rsidP="005021D5">
      <w:pPr>
        <w:spacing w:before="120"/>
        <w:contextualSpacing/>
        <w:rPr>
          <w:sz w:val="22"/>
          <w:szCs w:val="22"/>
        </w:rPr>
      </w:pPr>
    </w:p>
    <w:p w:rsidR="005021D5" w:rsidRPr="005021D5" w:rsidRDefault="005021D5" w:rsidP="005021D5">
      <w:pPr>
        <w:spacing w:before="120"/>
        <w:contextualSpacing/>
        <w:rPr>
          <w:sz w:val="22"/>
          <w:szCs w:val="22"/>
        </w:rPr>
      </w:pPr>
      <w:r w:rsidRPr="005021D5">
        <w:rPr>
          <w:sz w:val="22"/>
          <w:szCs w:val="22"/>
        </w:rPr>
        <w:tab/>
        <w:t>The NECA OCN lists are provided to facilitate compliance with the recordkeeping, retention, and reporting required by the Commission’s rules.</w:t>
      </w:r>
      <w:r w:rsidRPr="005021D5">
        <w:rPr>
          <w:rStyle w:val="FootnoteReference"/>
          <w:sz w:val="22"/>
          <w:szCs w:val="22"/>
        </w:rPr>
        <w:footnoteReference w:id="8"/>
      </w:r>
      <w:r w:rsidRPr="005021D5">
        <w:rPr>
          <w:sz w:val="22"/>
          <w:szCs w:val="22"/>
        </w:rPr>
        <w:t xml:space="preserve">  The Bureau reminds covered providers that Form 480 filings are timely due on a quarterly schedule on February 1, May 1, August 1, and November 1 of each </w:t>
      </w:r>
      <w:r w:rsidRPr="005021D5">
        <w:rPr>
          <w:sz w:val="22"/>
          <w:szCs w:val="22"/>
        </w:rPr>
        <w:lastRenderedPageBreak/>
        <w:t>year.</w:t>
      </w:r>
      <w:r w:rsidRPr="005021D5">
        <w:rPr>
          <w:rStyle w:val="FootnoteReference"/>
          <w:sz w:val="22"/>
          <w:szCs w:val="22"/>
        </w:rPr>
        <w:footnoteReference w:id="9"/>
      </w:r>
      <w:r w:rsidRPr="005021D5">
        <w:rPr>
          <w:sz w:val="22"/>
          <w:szCs w:val="22"/>
        </w:rPr>
        <w:t xml:space="preserve">  Covered providers failing to submit timely Form 480 reports may be subject to enforcement action.  Absent exigent circumstances,</w:t>
      </w:r>
      <w:r w:rsidRPr="005021D5">
        <w:rPr>
          <w:sz w:val="22"/>
          <w:szCs w:val="22"/>
          <w:vertAlign w:val="superscript"/>
        </w:rPr>
        <w:footnoteReference w:id="10"/>
      </w:r>
      <w:r w:rsidRPr="005021D5">
        <w:rPr>
          <w:sz w:val="22"/>
          <w:szCs w:val="22"/>
        </w:rPr>
        <w:t xml:space="preserve"> we do not consider incomplete filings as timely submitted.</w:t>
      </w:r>
      <w:r w:rsidRPr="005021D5">
        <w:rPr>
          <w:sz w:val="22"/>
          <w:szCs w:val="22"/>
          <w:vertAlign w:val="superscript"/>
        </w:rPr>
        <w:footnoteReference w:id="11"/>
      </w:r>
      <w:r w:rsidRPr="005021D5">
        <w:rPr>
          <w:sz w:val="22"/>
          <w:szCs w:val="22"/>
        </w:rPr>
        <w:t xml:space="preserve">  </w:t>
      </w:r>
    </w:p>
    <w:p w:rsidR="005021D5" w:rsidRPr="005021D5" w:rsidRDefault="005021D5" w:rsidP="005021D5">
      <w:pPr>
        <w:spacing w:before="120"/>
        <w:contextualSpacing/>
        <w:rPr>
          <w:sz w:val="22"/>
          <w:szCs w:val="22"/>
        </w:rPr>
      </w:pPr>
    </w:p>
    <w:p w:rsidR="005021D5" w:rsidRPr="005021D5" w:rsidRDefault="005021D5" w:rsidP="005021D5">
      <w:pPr>
        <w:spacing w:before="120"/>
        <w:ind w:firstLine="720"/>
        <w:contextualSpacing/>
        <w:rPr>
          <w:sz w:val="22"/>
          <w:szCs w:val="22"/>
        </w:rPr>
      </w:pPr>
      <w:r w:rsidRPr="005021D5">
        <w:rPr>
          <w:sz w:val="22"/>
          <w:szCs w:val="22"/>
        </w:rPr>
        <w:t xml:space="preserve">For further information, please contact E. Alex Espinoza, Competition Policy Division, Wireline Competition Bureau at (202) 418-0849 or </w:t>
      </w:r>
      <w:hyperlink r:id="rId8" w:history="1">
        <w:r w:rsidRPr="005021D5">
          <w:rPr>
            <w:rStyle w:val="Hyperlink"/>
            <w:sz w:val="22"/>
            <w:szCs w:val="22"/>
          </w:rPr>
          <w:t>alex.espinoza@fcc.gov</w:t>
        </w:r>
      </w:hyperlink>
      <w:r w:rsidRPr="005021D5">
        <w:rPr>
          <w:sz w:val="22"/>
          <w:szCs w:val="22"/>
        </w:rPr>
        <w:t>.</w:t>
      </w:r>
    </w:p>
    <w:p w:rsidR="005021D5" w:rsidRPr="005021D5" w:rsidRDefault="005021D5" w:rsidP="005021D5">
      <w:pPr>
        <w:spacing w:before="120"/>
        <w:contextualSpacing/>
        <w:jc w:val="center"/>
        <w:rPr>
          <w:sz w:val="22"/>
          <w:szCs w:val="22"/>
        </w:rPr>
      </w:pPr>
    </w:p>
    <w:p w:rsidR="005021D5" w:rsidRPr="005021D5" w:rsidRDefault="005021D5" w:rsidP="005021D5">
      <w:pPr>
        <w:spacing w:before="120"/>
        <w:contextualSpacing/>
        <w:jc w:val="center"/>
        <w:rPr>
          <w:sz w:val="22"/>
          <w:szCs w:val="22"/>
        </w:rPr>
      </w:pPr>
    </w:p>
    <w:p w:rsidR="005021D5" w:rsidRPr="005021D5" w:rsidRDefault="005021D5" w:rsidP="005021D5">
      <w:pPr>
        <w:spacing w:before="120"/>
        <w:contextualSpacing/>
        <w:jc w:val="center"/>
        <w:rPr>
          <w:b/>
          <w:sz w:val="22"/>
          <w:szCs w:val="22"/>
        </w:rPr>
      </w:pPr>
      <w:r w:rsidRPr="005021D5">
        <w:rPr>
          <w:b/>
          <w:sz w:val="22"/>
          <w:szCs w:val="22"/>
        </w:rPr>
        <w:t>-FCC-</w:t>
      </w:r>
    </w:p>
    <w:p w:rsidR="003B1E78" w:rsidRPr="005021D5" w:rsidRDefault="003B1E78" w:rsidP="005021D5">
      <w:pPr>
        <w:spacing w:after="120"/>
        <w:rPr>
          <w:sz w:val="22"/>
          <w:szCs w:val="22"/>
        </w:rPr>
      </w:pPr>
    </w:p>
    <w:sectPr w:rsidR="003B1E78" w:rsidRPr="005021D5">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4A0" w:rsidRDefault="009114A0">
      <w:r>
        <w:separator/>
      </w:r>
    </w:p>
  </w:endnote>
  <w:endnote w:type="continuationSeparator" w:id="0">
    <w:p w:rsidR="009114A0" w:rsidRDefault="00911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2D7" w:rsidRDefault="005922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922D7" w:rsidRDefault="005922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2D7" w:rsidRDefault="005922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341C9">
      <w:rPr>
        <w:rStyle w:val="PageNumber"/>
        <w:noProof/>
      </w:rPr>
      <w:t>2</w:t>
    </w:r>
    <w:r>
      <w:rPr>
        <w:rStyle w:val="PageNumber"/>
      </w:rPr>
      <w:fldChar w:fldCharType="end"/>
    </w:r>
  </w:p>
  <w:p w:rsidR="005922D7" w:rsidRDefault="005922D7">
    <w:pPr>
      <w:pStyle w:val="Footer"/>
      <w:tabs>
        <w:tab w:val="clear" w:pos="8640"/>
        <w:tab w:val="right" w:pos="9360"/>
      </w:tabs>
      <w:rPr>
        <w:b/>
        <w:i/>
      </w:rPr>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DEF" w:rsidRDefault="00C16D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4A0" w:rsidRDefault="009114A0">
      <w:r>
        <w:separator/>
      </w:r>
    </w:p>
  </w:footnote>
  <w:footnote w:type="continuationSeparator" w:id="0">
    <w:p w:rsidR="009114A0" w:rsidRDefault="009114A0">
      <w:r>
        <w:continuationSeparator/>
      </w:r>
    </w:p>
  </w:footnote>
  <w:footnote w:id="1">
    <w:p w:rsidR="005021D5" w:rsidRPr="00A56F2D" w:rsidRDefault="005021D5" w:rsidP="005021D5">
      <w:pPr>
        <w:pStyle w:val="FootnoteText"/>
        <w:spacing w:after="120"/>
        <w:ind w:right="432"/>
      </w:pPr>
      <w:r w:rsidRPr="00A56F2D">
        <w:rPr>
          <w:rStyle w:val="FootnoteReference"/>
        </w:rPr>
        <w:footnoteRef/>
      </w:r>
      <w:r w:rsidRPr="00A56F2D">
        <w:t xml:space="preserve"> </w:t>
      </w:r>
      <w:r w:rsidRPr="00A56F2D">
        <w:rPr>
          <w:i/>
        </w:rPr>
        <w:t xml:space="preserve">See generally </w:t>
      </w:r>
      <w:r>
        <w:t xml:space="preserve">47 CFR §§ 64.2101 to 64.2109; </w:t>
      </w:r>
      <w:r w:rsidRPr="00A56F2D">
        <w:rPr>
          <w:i/>
          <w:iCs/>
        </w:rPr>
        <w:t>Rural Call Completion</w:t>
      </w:r>
      <w:r w:rsidRPr="00A56F2D">
        <w:t>, Report and Order and Further Notice of Proposed Rulemaking, 28 FCC Rcd 16154 (2013) (</w:t>
      </w:r>
      <w:r w:rsidRPr="00A56F2D">
        <w:rPr>
          <w:i/>
          <w:iCs/>
        </w:rPr>
        <w:t>Rural Call Completion Order</w:t>
      </w:r>
      <w:r w:rsidRPr="00A56F2D">
        <w:t xml:space="preserve">); </w:t>
      </w:r>
      <w:r w:rsidRPr="00A56F2D">
        <w:rPr>
          <w:i/>
        </w:rPr>
        <w:t>Rural</w:t>
      </w:r>
      <w:r w:rsidRPr="00A56F2D">
        <w:rPr>
          <w:i/>
          <w:iCs/>
        </w:rPr>
        <w:t xml:space="preserve"> Call Completion</w:t>
      </w:r>
      <w:r w:rsidRPr="00A56F2D">
        <w:t xml:space="preserve">, Order on Reconsideration, 29 FCC Rcd 14026 (2014) (explaining that certain intraLATA toll traffic need not be included); </w:t>
      </w:r>
      <w:r w:rsidRPr="00A56F2D">
        <w:rPr>
          <w:i/>
        </w:rPr>
        <w:t>Rural Call Completion</w:t>
      </w:r>
      <w:r w:rsidRPr="00A56F2D">
        <w:t>, Declaratory Ruling, 30 FCC Rcd 1243 (2015) (explaining that providers have certain flexibility in categorizing attempted calls).</w:t>
      </w:r>
    </w:p>
  </w:footnote>
  <w:footnote w:id="2">
    <w:p w:rsidR="005021D5" w:rsidRPr="00A56F2D" w:rsidRDefault="005021D5" w:rsidP="005021D5">
      <w:pPr>
        <w:pStyle w:val="FootnoteText"/>
        <w:spacing w:after="120"/>
        <w:ind w:right="432"/>
      </w:pPr>
      <w:r w:rsidRPr="00A56F2D">
        <w:rPr>
          <w:rStyle w:val="FootnoteReference"/>
        </w:rPr>
        <w:footnoteRef/>
      </w:r>
      <w:r w:rsidRPr="00A56F2D">
        <w:t xml:space="preserve"> 47 CFR § 64.2101 (defining “covered provider”).</w:t>
      </w:r>
    </w:p>
  </w:footnote>
  <w:footnote w:id="3">
    <w:p w:rsidR="005021D5" w:rsidRPr="00A56F2D" w:rsidRDefault="005021D5" w:rsidP="005021D5">
      <w:pPr>
        <w:pStyle w:val="FootnoteText"/>
        <w:spacing w:after="120"/>
      </w:pPr>
      <w:r w:rsidRPr="00A56F2D">
        <w:rPr>
          <w:rStyle w:val="FootnoteReference"/>
        </w:rPr>
        <w:footnoteRef/>
      </w:r>
      <w:r w:rsidRPr="00A56F2D">
        <w:t xml:space="preserve"> 47 CFR § 64.2105.</w:t>
      </w:r>
    </w:p>
  </w:footnote>
  <w:footnote w:id="4">
    <w:p w:rsidR="005021D5" w:rsidRPr="00A56F2D" w:rsidRDefault="005021D5" w:rsidP="005021D5">
      <w:pPr>
        <w:pStyle w:val="FootnoteText"/>
        <w:spacing w:after="120"/>
        <w:ind w:right="432"/>
      </w:pPr>
      <w:r w:rsidRPr="00A56F2D">
        <w:rPr>
          <w:rStyle w:val="FootnoteReference"/>
        </w:rPr>
        <w:footnoteRef/>
      </w:r>
      <w:r w:rsidRPr="00A56F2D">
        <w:t xml:space="preserve"> 47 CFR § 64.2101 (defining OCN as a four-place alphanumeric code that uniquely identifies a local exchange carrier and defining </w:t>
      </w:r>
      <w:r w:rsidRPr="00A56F2D">
        <w:rPr>
          <w:rStyle w:val="contents"/>
        </w:rPr>
        <w:t>a rural OCN as an operating company number that uniquely identifies an incumbent LEC that is a rural telephone company</w:t>
      </w:r>
      <w:r w:rsidRPr="00A56F2D">
        <w:t xml:space="preserve"> as defined in 47 CFR § 51.5).</w:t>
      </w:r>
    </w:p>
  </w:footnote>
  <w:footnote w:id="5">
    <w:p w:rsidR="005021D5" w:rsidRPr="00A56F2D" w:rsidRDefault="005021D5" w:rsidP="005021D5">
      <w:pPr>
        <w:pStyle w:val="FootnoteText"/>
        <w:spacing w:after="120"/>
      </w:pPr>
      <w:r w:rsidRPr="00A56F2D">
        <w:rPr>
          <w:rStyle w:val="FootnoteReference"/>
        </w:rPr>
        <w:footnoteRef/>
      </w:r>
      <w:r w:rsidRPr="00A56F2D">
        <w:t xml:space="preserve"> </w:t>
      </w:r>
      <w:r w:rsidRPr="00A56F2D">
        <w:rPr>
          <w:i/>
        </w:rPr>
        <w:t>Id</w:t>
      </w:r>
      <w:r w:rsidRPr="00A56F2D">
        <w:t>. (defining a nonrural OCN as an operating company number that uniquely identifies an incumbent LEC that is not a rural telephone company as defined in 47 CFR § 51.5).</w:t>
      </w:r>
    </w:p>
  </w:footnote>
  <w:footnote w:id="6">
    <w:p w:rsidR="005021D5" w:rsidRPr="00A56F2D" w:rsidRDefault="005021D5" w:rsidP="005021D5">
      <w:pPr>
        <w:pStyle w:val="FootnoteText"/>
        <w:spacing w:after="120"/>
        <w:ind w:right="432"/>
      </w:pPr>
      <w:r w:rsidRPr="00A56F2D">
        <w:rPr>
          <w:rStyle w:val="FootnoteReference"/>
        </w:rPr>
        <w:footnoteRef/>
      </w:r>
      <w:r w:rsidRPr="00A56F2D">
        <w:t xml:space="preserve"> </w:t>
      </w:r>
      <w:r w:rsidRPr="00A56F2D">
        <w:rPr>
          <w:i/>
        </w:rPr>
        <w:t>See id</w:t>
      </w:r>
      <w:r w:rsidRPr="00A56F2D">
        <w:t>. (directing NECA to file updated OCN lists before November 15 of each year).</w:t>
      </w:r>
    </w:p>
  </w:footnote>
  <w:footnote w:id="7">
    <w:p w:rsidR="005021D5" w:rsidRPr="00A56F2D" w:rsidRDefault="005021D5" w:rsidP="005021D5">
      <w:pPr>
        <w:pStyle w:val="FootnoteText"/>
        <w:spacing w:after="120"/>
      </w:pPr>
      <w:r w:rsidRPr="00A56F2D">
        <w:rPr>
          <w:rStyle w:val="FootnoteReference"/>
        </w:rPr>
        <w:footnoteRef/>
      </w:r>
      <w:r w:rsidRPr="00A56F2D">
        <w:t xml:space="preserve"> For the direct link to the </w:t>
      </w:r>
      <w:r>
        <w:t xml:space="preserve">updated </w:t>
      </w:r>
      <w:r w:rsidRPr="00A56F2D">
        <w:t xml:space="preserve">NECA OCN list, see Nat’l Exch. Carrier Assn., Inc., </w:t>
      </w:r>
      <w:r w:rsidRPr="00A56F2D">
        <w:rPr>
          <w:i/>
        </w:rPr>
        <w:t xml:space="preserve">ILEC OCN List </w:t>
      </w:r>
      <w:r w:rsidRPr="00A56F2D">
        <w:t xml:space="preserve">(Nov. 7, 2016), available at </w:t>
      </w:r>
      <w:hyperlink r:id="rId1" w:history="1">
        <w:r w:rsidRPr="00A56F2D">
          <w:rPr>
            <w:rStyle w:val="Hyperlink"/>
          </w:rPr>
          <w:t>https://www.neca.org/WorkArea/linkit.aspx?LinkIdentifier=id&amp;ItemID=11187&amp;libID=11207</w:t>
        </w:r>
      </w:hyperlink>
      <w:r w:rsidRPr="00A56F2D">
        <w:t xml:space="preserve"> (last visited Nov. 18, 2016).  </w:t>
      </w:r>
      <w:r w:rsidRPr="00A56F2D">
        <w:rPr>
          <w:i/>
        </w:rPr>
        <w:t>See also</w:t>
      </w:r>
      <w:r>
        <w:t xml:space="preserve"> FCC</w:t>
      </w:r>
      <w:r w:rsidRPr="00A56F2D">
        <w:t xml:space="preserve">, </w:t>
      </w:r>
      <w:r w:rsidRPr="00A56F2D">
        <w:rPr>
          <w:i/>
        </w:rPr>
        <w:t>Form 480 Filer Resources</w:t>
      </w:r>
      <w:r w:rsidRPr="00A56F2D">
        <w:t xml:space="preserve">, </w:t>
      </w:r>
      <w:hyperlink r:id="rId2" w:history="1">
        <w:r w:rsidRPr="009813F0">
          <w:rPr>
            <w:rStyle w:val="Hyperlink"/>
          </w:rPr>
          <w:t>https://www.fcc.gov/general/form-480-filer-resources</w:t>
        </w:r>
      </w:hyperlink>
      <w:r>
        <w:t xml:space="preserve"> </w:t>
      </w:r>
      <w:r w:rsidRPr="00A56F2D">
        <w:t xml:space="preserve">(last visited Nov. 18, 2016) (containing, </w:t>
      </w:r>
      <w:r w:rsidRPr="00A56F2D">
        <w:rPr>
          <w:i/>
        </w:rPr>
        <w:t>inter alia</w:t>
      </w:r>
      <w:r w:rsidRPr="00A56F2D">
        <w:t>, link to</w:t>
      </w:r>
      <w:r w:rsidRPr="00A56F2D">
        <w:rPr>
          <w:bCs/>
        </w:rPr>
        <w:t xml:space="preserve"> updated NECA </w:t>
      </w:r>
      <w:r w:rsidRPr="00A56F2D">
        <w:rPr>
          <w:bCs/>
          <w:i/>
        </w:rPr>
        <w:t>ILEC OCN List</w:t>
      </w:r>
      <w:r w:rsidRPr="00A56F2D">
        <w:rPr>
          <w:bCs/>
        </w:rPr>
        <w:t xml:space="preserve"> under “Links to on-line Filing Resources” subsection at the bottom of the webpage</w:t>
      </w:r>
      <w:r w:rsidRPr="00A56F2D">
        <w:t>)</w:t>
      </w:r>
      <w:r w:rsidRPr="00A56F2D">
        <w:rPr>
          <w:i/>
        </w:rPr>
        <w:t>.</w:t>
      </w:r>
    </w:p>
  </w:footnote>
  <w:footnote w:id="8">
    <w:p w:rsidR="005021D5" w:rsidRPr="00A56F2D" w:rsidRDefault="005021D5" w:rsidP="005021D5">
      <w:pPr>
        <w:pStyle w:val="FootnoteText"/>
        <w:spacing w:after="120"/>
        <w:ind w:right="432"/>
        <w:rPr>
          <w:iCs/>
        </w:rPr>
      </w:pPr>
      <w:r w:rsidRPr="00A56F2D">
        <w:rPr>
          <w:rStyle w:val="FootnoteReference"/>
        </w:rPr>
        <w:footnoteRef/>
      </w:r>
      <w:r w:rsidRPr="00A56F2D">
        <w:t xml:space="preserve"> </w:t>
      </w:r>
      <w:r w:rsidRPr="00A56F2D">
        <w:rPr>
          <w:iCs/>
        </w:rPr>
        <w:t xml:space="preserve">These OCN lists, however, do not amend or limit the generally applicable prohibition against call blocking that extends equally to all calls, regardless of whether the destination OCN appears on the NECA list of rural OCNs.  </w:t>
      </w:r>
      <w:r w:rsidRPr="00A56F2D">
        <w:rPr>
          <w:i/>
          <w:iCs/>
        </w:rPr>
        <w:t>See</w:t>
      </w:r>
      <w:r w:rsidRPr="00A56F2D">
        <w:rPr>
          <w:iCs/>
        </w:rPr>
        <w:t xml:space="preserve"> </w:t>
      </w:r>
      <w:r w:rsidRPr="00A56F2D">
        <w:rPr>
          <w:i/>
          <w:iCs/>
        </w:rPr>
        <w:t>Wireline Competition Bureau Announces Updated List of Rural and Nonrural OCNs for Rural Call Completion Reporting</w:t>
      </w:r>
      <w:r w:rsidRPr="00A56F2D">
        <w:rPr>
          <w:iCs/>
        </w:rPr>
        <w:t>, Public Notice, 29 FCC Rcd 14441, 14442 (2014).</w:t>
      </w:r>
    </w:p>
  </w:footnote>
  <w:footnote w:id="9">
    <w:p w:rsidR="005021D5" w:rsidRPr="00A56F2D" w:rsidRDefault="005021D5" w:rsidP="005A002A">
      <w:pPr>
        <w:pStyle w:val="FootnoteText"/>
        <w:spacing w:after="120"/>
        <w:ind w:right="432"/>
      </w:pPr>
      <w:r w:rsidRPr="00A56F2D">
        <w:rPr>
          <w:rStyle w:val="FootnoteReference"/>
        </w:rPr>
        <w:footnoteRef/>
      </w:r>
      <w:r w:rsidRPr="00A56F2D">
        <w:t xml:space="preserve"> 47 CFR § 64.2105.</w:t>
      </w:r>
    </w:p>
  </w:footnote>
  <w:footnote w:id="10">
    <w:p w:rsidR="005021D5" w:rsidRPr="0099603A" w:rsidRDefault="005021D5" w:rsidP="005A002A">
      <w:pPr>
        <w:pStyle w:val="FootnoteText"/>
        <w:spacing w:after="120"/>
      </w:pPr>
      <w:r w:rsidRPr="0099603A">
        <w:rPr>
          <w:rStyle w:val="FootnoteReference"/>
        </w:rPr>
        <w:footnoteRef/>
      </w:r>
      <w:r w:rsidRPr="0099603A">
        <w:t xml:space="preserve"> </w:t>
      </w:r>
      <w:r w:rsidRPr="0099603A">
        <w:rPr>
          <w:i/>
        </w:rPr>
        <w:t>Rural Call Completion Order</w:t>
      </w:r>
      <w:r w:rsidRPr="0099603A">
        <w:t xml:space="preserve"> at 16195, para. 96.</w:t>
      </w:r>
    </w:p>
  </w:footnote>
  <w:footnote w:id="11">
    <w:p w:rsidR="005021D5" w:rsidRPr="0099603A" w:rsidRDefault="005021D5" w:rsidP="005A002A">
      <w:pPr>
        <w:pStyle w:val="FootnoteText"/>
        <w:spacing w:after="120"/>
      </w:pPr>
      <w:r w:rsidRPr="0099603A">
        <w:rPr>
          <w:rStyle w:val="FootnoteReference"/>
        </w:rPr>
        <w:footnoteRef/>
      </w:r>
      <w:r w:rsidRPr="0099603A">
        <w:t xml:space="preserve"> </w:t>
      </w:r>
      <w:r w:rsidRPr="0099603A">
        <w:rPr>
          <w:i/>
        </w:rPr>
        <w:t>Cf., e.g.</w:t>
      </w:r>
      <w:r w:rsidRPr="0099603A">
        <w:t xml:space="preserve">, </w:t>
      </w:r>
      <w:r w:rsidRPr="00A56F2D">
        <w:rPr>
          <w:i/>
        </w:rPr>
        <w:t>Rural Call Completion Order</w:t>
      </w:r>
      <w:r w:rsidRPr="00A56F2D">
        <w:t xml:space="preserve"> at 16171, para. 33 (“to the extent that our data collection will help us diagnose precisely where rural cal</w:t>
      </w:r>
      <w:r>
        <w:t xml:space="preserve">l failures occur in the network . . . </w:t>
      </w:r>
      <w:r w:rsidRPr="00A56F2D">
        <w:t>collecting only a partial picture of rural call completion rates may prevent us from ensuring that interstate calls are properly being completed.”)</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DEF" w:rsidRDefault="00C16D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DEF" w:rsidRDefault="00C16D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2D7" w:rsidRDefault="00E341C9">
    <w:pPr>
      <w:pStyle w:val="Header"/>
      <w:tabs>
        <w:tab w:val="clear" w:pos="4320"/>
        <w:tab w:val="clear" w:pos="8640"/>
        <w:tab w:val="left" w:pos="1080"/>
      </w:tabs>
      <w:spacing w:line="1120" w:lineRule="exact"/>
      <w:ind w:left="720"/>
      <w:rPr>
        <w:rFonts w:ascii="Arial" w:hAnsi="Arial"/>
        <w:b/>
        <w:sz w:val="96"/>
      </w:rPr>
    </w:pPr>
    <w:r>
      <w:rPr>
        <w:rFonts w:ascii="Arial" w:hAnsi="Arial"/>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3.95pt;margin-top:7.2pt;width:41.75pt;height:41.75pt;z-index:251659264" o:allowincell="f">
          <v:imagedata r:id="rId1" o:title="fcc_logo"/>
          <w10:wrap type="topAndBottom"/>
        </v:shape>
      </w:pict>
    </w:r>
    <w:r w:rsidR="005922D7">
      <w:tab/>
    </w:r>
    <w:r w:rsidR="005922D7">
      <w:rPr>
        <w:rFonts w:ascii="Arial" w:hAnsi="Arial"/>
        <w:b/>
        <w:sz w:val="96"/>
      </w:rPr>
      <w:t>PUBLIC NOTICE</w:t>
    </w:r>
  </w:p>
  <w:p w:rsidR="005922D7" w:rsidRDefault="00E341C9">
    <w:pPr>
      <w:pStyle w:val="Header"/>
      <w:tabs>
        <w:tab w:val="clear" w:pos="4320"/>
        <w:tab w:val="clear" w:pos="8640"/>
        <w:tab w:val="left" w:pos="1080"/>
      </w:tabs>
      <w:spacing w:line="1120" w:lineRule="exact"/>
      <w:ind w:left="720"/>
      <w:rPr>
        <w:rFonts w:ascii="Arial" w:hAnsi="Arial"/>
        <w:b/>
        <w:sz w:val="28"/>
      </w:rPr>
    </w:pPr>
    <w:r>
      <w:rPr>
        <w:rFonts w:ascii="Arial" w:hAnsi="Arial"/>
        <w:b/>
        <w:noProof/>
        <w:sz w:val="24"/>
      </w:rPr>
      <w:pict>
        <v:shapetype id="_x0000_t202" coordsize="21600,21600" o:spt="202" path="m,l,21600r21600,l21600,xe">
          <v:stroke joinstyle="miter"/>
          <v:path gradientshapeok="t" o:connecttype="rect"/>
        </v:shapetype>
        <v:shape id="_x0000_s2049" type="#_x0000_t202" style="position:absolute;left:0;text-align:left;margin-left:4.05pt;margin-top:7.2pt;width:279.35pt;height:54pt;z-index:251656192" stroked="f">
          <v:textbox>
            <w:txbxContent>
              <w:p w:rsidR="005922D7" w:rsidRDefault="005922D7">
                <w:pPr>
                  <w:rPr>
                    <w:rFonts w:ascii="Arial" w:hAnsi="Arial"/>
                    <w:b/>
                    <w:sz w:val="24"/>
                  </w:rPr>
                </w:pPr>
                <w:r>
                  <w:rPr>
                    <w:rFonts w:ascii="Arial" w:hAnsi="Arial"/>
                    <w:b/>
                    <w:sz w:val="24"/>
                  </w:rPr>
                  <w:t>Federal Communications Commission</w:t>
                </w:r>
              </w:p>
              <w:p w:rsidR="005922D7" w:rsidRDefault="005922D7">
                <w:pPr>
                  <w:rPr>
                    <w:rFonts w:ascii="Arial" w:hAnsi="Arial"/>
                    <w:b/>
                    <w:sz w:val="24"/>
                  </w:rPr>
                </w:pPr>
                <w:r>
                  <w:rPr>
                    <w:rFonts w:ascii="Arial" w:hAnsi="Arial"/>
                    <w:b/>
                    <w:sz w:val="24"/>
                  </w:rPr>
                  <w:t>445 12th St., SW</w:t>
                </w:r>
              </w:p>
              <w:p w:rsidR="005922D7" w:rsidRDefault="005922D7">
                <w:pPr>
                  <w:rPr>
                    <w:rFonts w:ascii="Arial" w:hAnsi="Arial"/>
                    <w:sz w:val="24"/>
                  </w:rPr>
                </w:pPr>
                <w:r>
                  <w:rPr>
                    <w:rFonts w:ascii="Arial" w:hAnsi="Arial"/>
                    <w:b/>
                    <w:sz w:val="24"/>
                  </w:rPr>
                  <w:t>Washington, DC 20554</w:t>
                </w:r>
              </w:p>
            </w:txbxContent>
          </v:textbox>
        </v:shape>
      </w:pict>
    </w:r>
    <w:r>
      <w:rPr>
        <w:rFonts w:ascii="Arial" w:hAnsi="Arial"/>
        <w:b/>
        <w:noProof/>
        <w:sz w:val="24"/>
      </w:rPr>
      <w:pict>
        <v:shape id="_x0000_s2051" type="#_x0000_t202" style="position:absolute;left:0;text-align:left;margin-left:247.05pt;margin-top:7.2pt;width:225pt;height:52.6pt;z-index:251658240" stroked="f">
          <v:textbox style="mso-next-textbox:#_x0000_s2051">
            <w:txbxContent>
              <w:p w:rsidR="005922D7" w:rsidRDefault="005922D7">
                <w:pPr>
                  <w:spacing w:before="40"/>
                  <w:jc w:val="right"/>
                  <w:rPr>
                    <w:rFonts w:ascii="Arial" w:hAnsi="Arial"/>
                    <w:sz w:val="16"/>
                  </w:rPr>
                </w:pPr>
                <w:r>
                  <w:rPr>
                    <w:rFonts w:ascii="Arial" w:hAnsi="Arial"/>
                    <w:sz w:val="16"/>
                  </w:rPr>
                  <w:tab/>
                </w:r>
              </w:p>
              <w:p w:rsidR="005922D7" w:rsidRDefault="005922D7">
                <w:pPr>
                  <w:spacing w:before="40"/>
                  <w:jc w:val="right"/>
                  <w:rPr>
                    <w:rFonts w:ascii="Arial" w:hAnsi="Arial"/>
                    <w:b/>
                    <w:sz w:val="16"/>
                  </w:rPr>
                </w:pPr>
                <w:r>
                  <w:rPr>
                    <w:rFonts w:ascii="Arial" w:hAnsi="Arial"/>
                    <w:b/>
                    <w:sz w:val="16"/>
                  </w:rPr>
                  <w:t>News Media Information 202 / 418-0500</w:t>
                </w:r>
              </w:p>
              <w:p w:rsidR="005922D7" w:rsidRDefault="005922D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5922D7" w:rsidRDefault="005922D7">
                <w:pPr>
                  <w:jc w:val="right"/>
                  <w:rPr>
                    <w:rFonts w:ascii="Arial" w:hAnsi="Arial"/>
                    <w:b/>
                    <w:sz w:val="16"/>
                  </w:rPr>
                </w:pPr>
                <w:r>
                  <w:rPr>
                    <w:rFonts w:ascii="Arial" w:hAnsi="Arial"/>
                    <w:b/>
                    <w:sz w:val="16"/>
                  </w:rPr>
                  <w:t>TTY: 1-888-835-5322</w:t>
                </w:r>
              </w:p>
              <w:p w:rsidR="005922D7" w:rsidRDefault="005922D7">
                <w:pPr>
                  <w:jc w:val="right"/>
                </w:pPr>
              </w:p>
              <w:p w:rsidR="005922D7" w:rsidRDefault="005922D7">
                <w:pPr>
                  <w:jc w:val="right"/>
                  <w:rPr>
                    <w:rFonts w:ascii="Arial" w:hAnsi="Arial"/>
                    <w:sz w:val="16"/>
                  </w:rPr>
                </w:pPr>
              </w:p>
              <w:p w:rsidR="005922D7" w:rsidRDefault="005922D7">
                <w:pPr>
                  <w:jc w:val="right"/>
                  <w:rPr>
                    <w:rFonts w:ascii="Arial" w:hAnsi="Arial"/>
                    <w:sz w:val="16"/>
                  </w:rPr>
                </w:pPr>
                <w:r>
                  <w:rPr>
                    <w:rFonts w:ascii="Arial" w:hAnsi="Arial"/>
                    <w:sz w:val="16"/>
                  </w:rPr>
                  <w:tab/>
                </w:r>
              </w:p>
              <w:p w:rsidR="005922D7" w:rsidRDefault="005922D7">
                <w:pPr>
                  <w:jc w:val="right"/>
                  <w:rPr>
                    <w:rFonts w:ascii="Arial" w:hAnsi="Arial"/>
                    <w:sz w:val="16"/>
                  </w:rPr>
                </w:pPr>
                <w:r>
                  <w:rPr>
                    <w:rFonts w:ascii="Arial" w:hAnsi="Arial"/>
                    <w:sz w:val="16"/>
                  </w:rPr>
                  <w:tab/>
                </w:r>
              </w:p>
            </w:txbxContent>
          </v:textbox>
        </v:shape>
      </w:pict>
    </w:r>
  </w:p>
  <w:p w:rsidR="005922D7" w:rsidRDefault="00E341C9">
    <w:pPr>
      <w:pStyle w:val="Header"/>
      <w:tabs>
        <w:tab w:val="clear" w:pos="4320"/>
        <w:tab w:val="clear" w:pos="8640"/>
        <w:tab w:val="left" w:pos="1080"/>
      </w:tabs>
      <w:ind w:left="720"/>
      <w:rPr>
        <w:rFonts w:ascii="Arial" w:hAnsi="Arial"/>
        <w:b/>
        <w:sz w:val="24"/>
      </w:rPr>
    </w:pPr>
    <w:r>
      <w:rPr>
        <w:rFonts w:ascii="Arial" w:hAnsi="Arial"/>
        <w:b/>
        <w:noProof/>
        <w:sz w:val="22"/>
      </w:rPr>
      <w:pict>
        <v:line id="_x0000_s2050" style="position:absolute;left:0;text-align:left;flip:y;z-index:251657216" from="-4.95pt,5.2pt" to="472.05pt,5.2pt" o:allowincell="f" strokeweight="1.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D0F1B3D"/>
    <w:multiLevelType w:val="singleLevel"/>
    <w:tmpl w:val="5D7609B4"/>
    <w:lvl w:ilvl="0">
      <w:start w:val="1"/>
      <w:numFmt w:val="decimal"/>
      <w:pStyle w:val="ParaNum"/>
      <w:lvlText w:val="%1."/>
      <w:lvlJc w:val="left"/>
      <w:pPr>
        <w:tabs>
          <w:tab w:val="num" w:pos="1080"/>
        </w:tabs>
        <w:ind w:left="0" w:firstLine="720"/>
      </w:pPr>
      <w:rPr>
        <w:rFonts w:ascii="Times New Roman" w:hAnsi="Times New Roman" w:cs="Times New Roman" w:hint="default"/>
        <w:b w:val="0"/>
        <w:i w:val="0"/>
        <w:caps w:val="0"/>
        <w:strike w:val="0"/>
        <w:dstrike w:val="0"/>
        <w:outline w:val="0"/>
        <w:shadow w:val="0"/>
        <w:emboss w:val="0"/>
        <w:imprint w:val="0"/>
        <w:vanish w:val="0"/>
        <w:webHidden w:val="0"/>
        <w:color w:val="auto"/>
        <w:sz w:val="22"/>
        <w:szCs w:val="22"/>
        <w:u w:val="none"/>
        <w:effect w:val="none"/>
        <w:vertAlign w:val="baseline"/>
        <w:specVanish w:val="0"/>
      </w:rPr>
    </w:lvl>
  </w:abstractNum>
  <w:abstractNum w:abstractNumId="2">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Arial"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1BF295AE">
      <w:numFmt w:val="bullet"/>
      <w:lvlText w:val="-"/>
      <w:lvlJc w:val="left"/>
      <w:pPr>
        <w:tabs>
          <w:tab w:val="num" w:pos="1440"/>
        </w:tabs>
        <w:ind w:left="1440" w:hanging="360"/>
      </w:pPr>
      <w:rPr>
        <w:rFonts w:ascii="Times New Roman" w:eastAsia="Times New Roman" w:hAnsi="Times New Roman" w:cs="Times New Roman" w:hint="default"/>
      </w:r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lvlOverride w:ilvl="0">
      <w:startOverride w:val="1"/>
    </w:lvlOverride>
  </w:num>
  <w:num w:numId="2">
    <w:abstractNumId w:val="1"/>
  </w:num>
  <w:num w:numId="3">
    <w:abstractNumId w:val="1"/>
    <w:lvlOverride w:ilvl="0">
      <w:startOverride w:val="1"/>
    </w:lvlOverride>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3EC5"/>
    <w:rsid w:val="000A2323"/>
    <w:rsid w:val="0017770D"/>
    <w:rsid w:val="001E75E1"/>
    <w:rsid w:val="002234E8"/>
    <w:rsid w:val="00301C0F"/>
    <w:rsid w:val="00311E59"/>
    <w:rsid w:val="003B1E78"/>
    <w:rsid w:val="004E0DBB"/>
    <w:rsid w:val="005021D5"/>
    <w:rsid w:val="00522E86"/>
    <w:rsid w:val="00590A1E"/>
    <w:rsid w:val="005922D7"/>
    <w:rsid w:val="005A002A"/>
    <w:rsid w:val="005B0CDB"/>
    <w:rsid w:val="00605805"/>
    <w:rsid w:val="00700AB2"/>
    <w:rsid w:val="00717F3B"/>
    <w:rsid w:val="007771B0"/>
    <w:rsid w:val="00793069"/>
    <w:rsid w:val="007E17E6"/>
    <w:rsid w:val="008055CC"/>
    <w:rsid w:val="00807C51"/>
    <w:rsid w:val="008C5013"/>
    <w:rsid w:val="009114A0"/>
    <w:rsid w:val="009819BA"/>
    <w:rsid w:val="009C1694"/>
    <w:rsid w:val="009D0143"/>
    <w:rsid w:val="00A8279D"/>
    <w:rsid w:val="00AC15B6"/>
    <w:rsid w:val="00AC3558"/>
    <w:rsid w:val="00B03EC5"/>
    <w:rsid w:val="00B44868"/>
    <w:rsid w:val="00BB4CBD"/>
    <w:rsid w:val="00C16DEF"/>
    <w:rsid w:val="00C265D2"/>
    <w:rsid w:val="00C37D8D"/>
    <w:rsid w:val="00CA330C"/>
    <w:rsid w:val="00CD3210"/>
    <w:rsid w:val="00CE3922"/>
    <w:rsid w:val="00D85DBA"/>
    <w:rsid w:val="00E341C9"/>
    <w:rsid w:val="00EF183C"/>
    <w:rsid w:val="00F07477"/>
    <w:rsid w:val="00F250D7"/>
    <w:rsid w:val="00F44BA3"/>
    <w:rsid w:val="00FD5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
    <w:basedOn w:val="Normal"/>
    <w:link w:val="FootnoteTextChar2"/>
    <w:uiPriority w:val="99"/>
    <w:semiHidden/>
    <w:pPr>
      <w:tabs>
        <w:tab w:val="left" w:pos="360"/>
      </w:tabs>
      <w:spacing w:after="200"/>
    </w:pPr>
  </w:style>
  <w:style w:type="paragraph" w:customStyle="1" w:styleId="ParaNum">
    <w:name w:val="ParaNum"/>
    <w:basedOn w:val="Normal"/>
    <w:pPr>
      <w:widowControl w:val="0"/>
      <w:numPr>
        <w:numId w:val="1"/>
      </w:numPr>
      <w:spacing w:after="200"/>
    </w:pPr>
    <w:rPr>
      <w:sz w:val="22"/>
      <w:szCs w:val="22"/>
    </w:rPr>
  </w:style>
  <w:style w:type="character" w:styleId="FootnoteReference">
    <w:name w:val="footnote reference"/>
    <w:uiPriority w:val="99"/>
    <w:semiHidden/>
    <w:rPr>
      <w:rFonts w:ascii="Times New Roman" w:hAnsi="Times New Roman" w:cs="Times New Roman" w:hint="default"/>
      <w:sz w:val="20"/>
      <w:szCs w:val="20"/>
      <w:vertAlign w:val="superscript"/>
    </w:rPr>
  </w:style>
  <w:style w:type="character" w:customStyle="1" w:styleId="documentbody1">
    <w:name w:val="documentbody1"/>
    <w:rPr>
      <w:rFonts w:ascii="Verdana" w:hAnsi="Verdana" w:hint="default"/>
      <w:sz w:val="19"/>
      <w:szCs w:val="19"/>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rPr>
      <w:lang w:val="en-US" w:eastAsia="en-US" w:bidi="ar-SA"/>
    </w:rPr>
  </w:style>
  <w:style w:type="paragraph" w:styleId="EndnoteText">
    <w:name w:val="endnote text"/>
    <w:basedOn w:val="Normal"/>
    <w:semiHidden/>
    <w:pPr>
      <w:widowControl w:val="0"/>
    </w:pPr>
    <w:rPr>
      <w:rFonts w:ascii="Courier New" w:hAnsi="Courier New"/>
      <w:snapToGrid w:val="0"/>
      <w:sz w:val="24"/>
    </w:rPr>
  </w:style>
  <w:style w:type="character" w:customStyle="1" w:styleId="contents">
    <w:name w:val="contents"/>
    <w:rsid w:val="005021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99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ex.espinoza@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fcc.gov/general/form-480-filer-resources" TargetMode="External"/><Relationship Id="rId1" Type="http://schemas.openxmlformats.org/officeDocument/2006/relationships/hyperlink" Target="https://www.neca.org/WorkArea/linkit.aspx?LinkIdentifier=id&amp;ItemID=11187&amp;libID=11207"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205</Words>
  <Characters>1194</Characters>
  <Application>Microsoft Office Word</Application>
  <DocSecurity>0</DocSecurity>
  <Lines>26</Lines>
  <Paragraphs>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1413</CharactersWithSpaces>
  <SharedDoc>false</SharedDoc>
  <HyperlinkBase> </HyperlinkBase>
  <HLinks>
    <vt:vector size="18" baseType="variant">
      <vt:variant>
        <vt:i4>4718653</vt:i4>
      </vt:variant>
      <vt:variant>
        <vt:i4>0</vt:i4>
      </vt:variant>
      <vt:variant>
        <vt:i4>0</vt:i4>
      </vt:variant>
      <vt:variant>
        <vt:i4>5</vt:i4>
      </vt:variant>
      <vt:variant>
        <vt:lpwstr>mailto:alex.espinoza@fcc.gov</vt:lpwstr>
      </vt:variant>
      <vt:variant>
        <vt:lpwstr/>
      </vt:variant>
      <vt:variant>
        <vt:i4>1114195</vt:i4>
      </vt:variant>
      <vt:variant>
        <vt:i4>3</vt:i4>
      </vt:variant>
      <vt:variant>
        <vt:i4>0</vt:i4>
      </vt:variant>
      <vt:variant>
        <vt:i4>5</vt:i4>
      </vt:variant>
      <vt:variant>
        <vt:lpwstr>https://www.fcc.gov/general/form-480-filer-resources</vt:lpwstr>
      </vt:variant>
      <vt:variant>
        <vt:lpwstr/>
      </vt:variant>
      <vt:variant>
        <vt:i4>1245196</vt:i4>
      </vt:variant>
      <vt:variant>
        <vt:i4>0</vt:i4>
      </vt:variant>
      <vt:variant>
        <vt:i4>0</vt:i4>
      </vt:variant>
      <vt:variant>
        <vt:i4>5</vt:i4>
      </vt:variant>
      <vt:variant>
        <vt:lpwstr>https://www.neca.org/WorkArea/linkit.aspx?LinkIdentifier=id&amp;ItemID=11187&amp;libID=11207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2012-04-30T15:43:00Z</cp:lastPrinted>
  <dcterms:created xsi:type="dcterms:W3CDTF">2016-11-22T16:35:00Z</dcterms:created>
  <dcterms:modified xsi:type="dcterms:W3CDTF">2016-11-22T16:35:00Z</dcterms:modified>
  <cp:category> </cp:category>
  <cp:contentStatus> </cp:contentStatus>
</cp:coreProperties>
</file>