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755FC" w14:textId="56D5749B" w:rsidR="00273504" w:rsidRDefault="00273504" w:rsidP="00E03257">
      <w:pPr>
        <w:widowControl/>
        <w:tabs>
          <w:tab w:val="left" w:pos="6480"/>
        </w:tabs>
        <w:ind w:left="5760" w:firstLine="720"/>
        <w:rPr>
          <w:sz w:val="20"/>
        </w:rPr>
      </w:pPr>
      <w:bookmarkStart w:id="0" w:name="_GoBack"/>
      <w:bookmarkEnd w:id="0"/>
      <w:r>
        <w:rPr>
          <w:sz w:val="20"/>
        </w:rPr>
        <w:t>DA 16-</w:t>
      </w:r>
      <w:r w:rsidR="006B342E">
        <w:rPr>
          <w:sz w:val="20"/>
        </w:rPr>
        <w:t>1319</w:t>
      </w:r>
    </w:p>
    <w:p w14:paraId="4ACA0F2A" w14:textId="77777777" w:rsidR="008802F5" w:rsidRPr="00273504" w:rsidRDefault="008802F5" w:rsidP="00E03257">
      <w:pPr>
        <w:widowControl/>
        <w:tabs>
          <w:tab w:val="left" w:pos="6480"/>
        </w:tabs>
        <w:ind w:left="5760" w:firstLine="720"/>
        <w:rPr>
          <w:sz w:val="20"/>
        </w:rPr>
      </w:pPr>
      <w:r w:rsidRPr="00273504">
        <w:rPr>
          <w:sz w:val="20"/>
        </w:rPr>
        <w:t>In Reply Refer To:</w:t>
      </w:r>
    </w:p>
    <w:p w14:paraId="44B4AAE7" w14:textId="77777777" w:rsidR="008802F5" w:rsidRDefault="008802F5" w:rsidP="00E03257">
      <w:pPr>
        <w:widowControl/>
        <w:tabs>
          <w:tab w:val="left" w:pos="6480"/>
        </w:tabs>
        <w:ind w:firstLine="720"/>
        <w:rPr>
          <w:sz w:val="20"/>
        </w:rPr>
      </w:pPr>
      <w:r w:rsidRPr="00273504">
        <w:rPr>
          <w:sz w:val="20"/>
        </w:rPr>
        <w:tab/>
        <w:t xml:space="preserve">1800B3-AA </w:t>
      </w:r>
    </w:p>
    <w:p w14:paraId="41B4B727" w14:textId="4750BEA7" w:rsidR="00273504" w:rsidRPr="00273504" w:rsidRDefault="00273504" w:rsidP="00E03257">
      <w:pPr>
        <w:widowControl/>
        <w:tabs>
          <w:tab w:val="left" w:pos="6480"/>
        </w:tabs>
        <w:ind w:firstLine="720"/>
        <w:rPr>
          <w:sz w:val="20"/>
        </w:rPr>
      </w:pPr>
      <w:r>
        <w:rPr>
          <w:sz w:val="20"/>
        </w:rPr>
        <w:tab/>
        <w:t>Released:</w:t>
      </w:r>
      <w:r w:rsidR="006B342E">
        <w:rPr>
          <w:sz w:val="20"/>
        </w:rPr>
        <w:t xml:space="preserve"> November 28, 2016</w:t>
      </w:r>
    </w:p>
    <w:p w14:paraId="620D484B" w14:textId="77777777" w:rsidR="008802F5" w:rsidRPr="00826CB1" w:rsidRDefault="008802F5" w:rsidP="00E03257">
      <w:pPr>
        <w:widowControl/>
        <w:tabs>
          <w:tab w:val="left" w:pos="6480"/>
        </w:tabs>
        <w:ind w:firstLine="720"/>
        <w:rPr>
          <w:sz w:val="22"/>
          <w:szCs w:val="22"/>
        </w:rPr>
      </w:pPr>
      <w:r w:rsidRPr="001330FC">
        <w:rPr>
          <w:sz w:val="20"/>
        </w:rPr>
        <w:tab/>
      </w:r>
    </w:p>
    <w:p w14:paraId="329B400F" w14:textId="77777777" w:rsidR="008802F5" w:rsidRPr="008802F5" w:rsidRDefault="008802F5" w:rsidP="00E03257">
      <w:pPr>
        <w:widowControl/>
        <w:tabs>
          <w:tab w:val="left" w:pos="6480"/>
        </w:tabs>
        <w:rPr>
          <w:sz w:val="22"/>
          <w:szCs w:val="22"/>
        </w:rPr>
      </w:pPr>
      <w:r w:rsidRPr="008802F5">
        <w:rPr>
          <w:sz w:val="22"/>
          <w:szCs w:val="22"/>
        </w:rPr>
        <w:t>Dan J. Alpert</w:t>
      </w:r>
      <w:r w:rsidR="001106E9">
        <w:rPr>
          <w:sz w:val="22"/>
          <w:szCs w:val="22"/>
        </w:rPr>
        <w:t xml:space="preserve">, Esq. </w:t>
      </w:r>
    </w:p>
    <w:p w14:paraId="08F55EFD" w14:textId="77777777" w:rsidR="008802F5" w:rsidRDefault="008802F5" w:rsidP="00E03257">
      <w:pPr>
        <w:widowControl/>
        <w:rPr>
          <w:sz w:val="22"/>
          <w:szCs w:val="22"/>
        </w:rPr>
      </w:pPr>
      <w:r>
        <w:rPr>
          <w:sz w:val="22"/>
          <w:szCs w:val="22"/>
        </w:rPr>
        <w:t>The Law Office of Dan J. Alpert</w:t>
      </w:r>
    </w:p>
    <w:p w14:paraId="4849B3BA" w14:textId="77777777" w:rsidR="008802F5" w:rsidRDefault="008802F5" w:rsidP="00E03257">
      <w:pPr>
        <w:widowControl/>
        <w:rPr>
          <w:sz w:val="22"/>
          <w:szCs w:val="22"/>
        </w:rPr>
      </w:pPr>
      <w:r>
        <w:rPr>
          <w:sz w:val="22"/>
          <w:szCs w:val="22"/>
        </w:rPr>
        <w:t>2120 North 21</w:t>
      </w:r>
      <w:r w:rsidRPr="00720EF7">
        <w:rPr>
          <w:sz w:val="22"/>
          <w:szCs w:val="22"/>
          <w:vertAlign w:val="superscript"/>
        </w:rPr>
        <w:t>st</w:t>
      </w:r>
      <w:r>
        <w:rPr>
          <w:sz w:val="22"/>
          <w:szCs w:val="22"/>
        </w:rPr>
        <w:t xml:space="preserve"> Road</w:t>
      </w:r>
    </w:p>
    <w:p w14:paraId="4E80B9AA" w14:textId="77777777" w:rsidR="008802F5" w:rsidRDefault="008802F5" w:rsidP="00E03257">
      <w:pPr>
        <w:widowControl/>
        <w:rPr>
          <w:sz w:val="22"/>
          <w:szCs w:val="22"/>
        </w:rPr>
      </w:pPr>
      <w:r>
        <w:rPr>
          <w:sz w:val="22"/>
          <w:szCs w:val="22"/>
        </w:rPr>
        <w:t>Arlington, VA 22201</w:t>
      </w:r>
    </w:p>
    <w:p w14:paraId="3B5F9975" w14:textId="77777777" w:rsidR="008802F5" w:rsidRDefault="008802F5" w:rsidP="00E03257">
      <w:pPr>
        <w:widowControl/>
        <w:rPr>
          <w:sz w:val="22"/>
          <w:szCs w:val="22"/>
        </w:rPr>
      </w:pPr>
    </w:p>
    <w:p w14:paraId="5D8EEA27" w14:textId="77777777" w:rsidR="008802F5" w:rsidRDefault="008802F5" w:rsidP="00E03257">
      <w:pPr>
        <w:widowControl/>
        <w:rPr>
          <w:sz w:val="22"/>
          <w:szCs w:val="22"/>
        </w:rPr>
      </w:pPr>
      <w:r>
        <w:rPr>
          <w:sz w:val="22"/>
          <w:szCs w:val="22"/>
        </w:rPr>
        <w:t>Matthew H. McCormick</w:t>
      </w:r>
      <w:r w:rsidR="001106E9">
        <w:rPr>
          <w:sz w:val="22"/>
          <w:szCs w:val="22"/>
        </w:rPr>
        <w:t xml:space="preserve">, Esq. </w:t>
      </w:r>
    </w:p>
    <w:p w14:paraId="4EB9D367" w14:textId="77777777" w:rsidR="008802F5" w:rsidRDefault="008802F5" w:rsidP="00E03257">
      <w:pPr>
        <w:widowControl/>
        <w:rPr>
          <w:sz w:val="22"/>
          <w:szCs w:val="22"/>
        </w:rPr>
      </w:pPr>
      <w:r>
        <w:rPr>
          <w:sz w:val="22"/>
          <w:szCs w:val="22"/>
        </w:rPr>
        <w:t>Ashley Ludlow</w:t>
      </w:r>
      <w:r w:rsidR="001106E9">
        <w:rPr>
          <w:sz w:val="22"/>
          <w:szCs w:val="22"/>
        </w:rPr>
        <w:t xml:space="preserve">, Esq. </w:t>
      </w:r>
    </w:p>
    <w:p w14:paraId="49EFEC36" w14:textId="77777777" w:rsidR="008802F5" w:rsidRDefault="008802F5" w:rsidP="00E03257">
      <w:pPr>
        <w:widowControl/>
        <w:rPr>
          <w:sz w:val="22"/>
          <w:szCs w:val="22"/>
        </w:rPr>
      </w:pPr>
      <w:r>
        <w:rPr>
          <w:sz w:val="22"/>
          <w:szCs w:val="22"/>
        </w:rPr>
        <w:t>Fletcher, Heald &amp; Hildreth, P.L.C.</w:t>
      </w:r>
    </w:p>
    <w:p w14:paraId="1445ACA3" w14:textId="77777777" w:rsidR="008802F5" w:rsidRDefault="008802F5" w:rsidP="00E03257">
      <w:pPr>
        <w:widowControl/>
        <w:rPr>
          <w:sz w:val="22"/>
          <w:szCs w:val="22"/>
        </w:rPr>
      </w:pPr>
      <w:r>
        <w:rPr>
          <w:sz w:val="22"/>
          <w:szCs w:val="22"/>
        </w:rPr>
        <w:t>1300 North 17</w:t>
      </w:r>
      <w:r w:rsidRPr="00720EF7">
        <w:rPr>
          <w:sz w:val="22"/>
          <w:szCs w:val="22"/>
          <w:vertAlign w:val="superscript"/>
        </w:rPr>
        <w:t>th</w:t>
      </w:r>
      <w:r>
        <w:rPr>
          <w:sz w:val="22"/>
          <w:szCs w:val="22"/>
        </w:rPr>
        <w:t xml:space="preserve"> Street</w:t>
      </w:r>
    </w:p>
    <w:p w14:paraId="4FFC9499" w14:textId="77777777" w:rsidR="008802F5" w:rsidRDefault="008802F5" w:rsidP="00E03257">
      <w:pPr>
        <w:widowControl/>
        <w:rPr>
          <w:sz w:val="22"/>
          <w:szCs w:val="22"/>
        </w:rPr>
      </w:pPr>
      <w:r>
        <w:rPr>
          <w:sz w:val="22"/>
          <w:szCs w:val="22"/>
        </w:rPr>
        <w:t>11</w:t>
      </w:r>
      <w:r w:rsidRPr="00720EF7">
        <w:rPr>
          <w:sz w:val="22"/>
          <w:szCs w:val="22"/>
          <w:vertAlign w:val="superscript"/>
        </w:rPr>
        <w:t>th</w:t>
      </w:r>
      <w:r>
        <w:rPr>
          <w:sz w:val="22"/>
          <w:szCs w:val="22"/>
        </w:rPr>
        <w:t xml:space="preserve"> Floor</w:t>
      </w:r>
    </w:p>
    <w:p w14:paraId="27DD91F1" w14:textId="77777777" w:rsidR="008802F5" w:rsidRPr="00BD68B0" w:rsidRDefault="008802F5" w:rsidP="00E03257">
      <w:pPr>
        <w:widowControl/>
        <w:rPr>
          <w:sz w:val="22"/>
          <w:szCs w:val="22"/>
        </w:rPr>
      </w:pPr>
      <w:r>
        <w:rPr>
          <w:sz w:val="22"/>
          <w:szCs w:val="22"/>
        </w:rPr>
        <w:t>Arlington, VA 22309</w:t>
      </w:r>
    </w:p>
    <w:p w14:paraId="7A3494A7" w14:textId="77777777" w:rsidR="008802F5" w:rsidRPr="00D76F8A" w:rsidRDefault="008802F5" w:rsidP="00E03257">
      <w:pPr>
        <w:widowControl/>
        <w:rPr>
          <w:sz w:val="22"/>
          <w:szCs w:val="22"/>
        </w:rPr>
      </w:pPr>
    </w:p>
    <w:p w14:paraId="4E37BD28" w14:textId="77777777" w:rsidR="0013221A" w:rsidRDefault="0013221A" w:rsidP="00E03257">
      <w:pPr>
        <w:widowControl/>
        <w:tabs>
          <w:tab w:val="left" w:pos="4320"/>
          <w:tab w:val="left" w:pos="4680"/>
        </w:tabs>
        <w:rPr>
          <w:rStyle w:val="Style1"/>
        </w:rPr>
      </w:pPr>
      <w:r>
        <w:rPr>
          <w:b/>
          <w:sz w:val="22"/>
          <w:szCs w:val="22"/>
        </w:rPr>
        <w:tab/>
      </w:r>
      <w:r w:rsidR="008802F5" w:rsidRPr="001838D1">
        <w:rPr>
          <w:b/>
          <w:sz w:val="22"/>
          <w:szCs w:val="22"/>
        </w:rPr>
        <w:t>In re:</w:t>
      </w:r>
      <w:r w:rsidR="009E01A4">
        <w:rPr>
          <w:b/>
          <w:sz w:val="22"/>
          <w:szCs w:val="22"/>
        </w:rPr>
        <w:t xml:space="preserve"> </w:t>
      </w:r>
      <w:r>
        <w:rPr>
          <w:b/>
          <w:sz w:val="22"/>
          <w:szCs w:val="22"/>
        </w:rPr>
        <w:t xml:space="preserve">  </w:t>
      </w:r>
      <w:r w:rsidR="008802F5">
        <w:rPr>
          <w:rStyle w:val="Style1"/>
        </w:rPr>
        <w:t xml:space="preserve">Calvary Chapel of Redlands d/b/a </w:t>
      </w:r>
      <w:r>
        <w:rPr>
          <w:rStyle w:val="Style1"/>
        </w:rPr>
        <w:t xml:space="preserve"> </w:t>
      </w:r>
    </w:p>
    <w:p w14:paraId="4B60965A" w14:textId="77777777" w:rsidR="008802F5" w:rsidRDefault="0013221A" w:rsidP="00E03257">
      <w:pPr>
        <w:widowControl/>
        <w:tabs>
          <w:tab w:val="left" w:pos="4320"/>
          <w:tab w:val="left" w:pos="4680"/>
        </w:tabs>
        <w:rPr>
          <w:rStyle w:val="Style1"/>
        </w:rPr>
      </w:pPr>
      <w:r>
        <w:rPr>
          <w:rStyle w:val="Style1"/>
        </w:rPr>
        <w:tab/>
      </w:r>
      <w:r>
        <w:rPr>
          <w:rStyle w:val="Style1"/>
        </w:rPr>
        <w:tab/>
      </w:r>
      <w:r>
        <w:rPr>
          <w:rStyle w:val="Style1"/>
        </w:rPr>
        <w:tab/>
      </w:r>
      <w:r w:rsidR="008802F5">
        <w:rPr>
          <w:rStyle w:val="Style1"/>
        </w:rPr>
        <w:t>Packinghouse Christian FWP</w:t>
      </w:r>
    </w:p>
    <w:p w14:paraId="5374C6F9" w14:textId="57DF19D6" w:rsidR="008802F5" w:rsidRPr="00D76F8A" w:rsidRDefault="008802F5" w:rsidP="00E03257">
      <w:pPr>
        <w:widowControl/>
        <w:tabs>
          <w:tab w:val="left" w:pos="4320"/>
          <w:tab w:val="left" w:pos="4680"/>
        </w:tabs>
        <w:ind w:left="5040"/>
        <w:rPr>
          <w:b/>
          <w:sz w:val="22"/>
          <w:szCs w:val="22"/>
        </w:rPr>
      </w:pPr>
      <w:r w:rsidRPr="001838D1">
        <w:rPr>
          <w:rStyle w:val="Style1"/>
        </w:rPr>
        <w:t>KHSH-LP, Redland</w:t>
      </w:r>
      <w:r w:rsidR="00526D71">
        <w:rPr>
          <w:rStyle w:val="Style1"/>
        </w:rPr>
        <w:t>s</w:t>
      </w:r>
      <w:r w:rsidRPr="001838D1">
        <w:rPr>
          <w:rStyle w:val="Style1"/>
        </w:rPr>
        <w:t>, CA</w:t>
      </w:r>
    </w:p>
    <w:p w14:paraId="420214D9" w14:textId="77777777" w:rsidR="008802F5" w:rsidRPr="00D76F8A" w:rsidRDefault="008802F5" w:rsidP="00E03257">
      <w:pPr>
        <w:widowControl/>
        <w:tabs>
          <w:tab w:val="left" w:pos="5040"/>
        </w:tabs>
        <w:ind w:left="720"/>
        <w:rPr>
          <w:sz w:val="22"/>
          <w:szCs w:val="22"/>
        </w:rPr>
      </w:pPr>
      <w:r w:rsidRPr="00D76F8A">
        <w:rPr>
          <w:sz w:val="22"/>
          <w:szCs w:val="22"/>
        </w:rPr>
        <w:t xml:space="preserve">                                               </w:t>
      </w:r>
      <w:r>
        <w:rPr>
          <w:sz w:val="22"/>
          <w:szCs w:val="22"/>
        </w:rPr>
        <w:t xml:space="preserve">                                Facility ID No. 195609</w:t>
      </w:r>
    </w:p>
    <w:p w14:paraId="64E6B33A" w14:textId="77777777" w:rsidR="008802F5" w:rsidRDefault="008802F5" w:rsidP="00E03257">
      <w:pPr>
        <w:widowControl/>
        <w:tabs>
          <w:tab w:val="left" w:pos="4680"/>
          <w:tab w:val="left" w:pos="5040"/>
        </w:tabs>
        <w:rPr>
          <w:sz w:val="22"/>
          <w:szCs w:val="22"/>
        </w:rPr>
      </w:pPr>
      <w:r>
        <w:rPr>
          <w:sz w:val="22"/>
          <w:szCs w:val="22"/>
        </w:rPr>
        <w:t xml:space="preserve"> </w:t>
      </w:r>
      <w:r>
        <w:rPr>
          <w:sz w:val="22"/>
          <w:szCs w:val="22"/>
        </w:rPr>
        <w:tab/>
        <w:t xml:space="preserve">       File No. BLL-20160617AAJ</w:t>
      </w:r>
    </w:p>
    <w:p w14:paraId="0176B594" w14:textId="77777777" w:rsidR="008802F5" w:rsidRDefault="008802F5" w:rsidP="00E03257">
      <w:pPr>
        <w:widowControl/>
        <w:tabs>
          <w:tab w:val="left" w:pos="4680"/>
          <w:tab w:val="left" w:pos="5040"/>
        </w:tabs>
        <w:ind w:left="5760"/>
        <w:rPr>
          <w:sz w:val="22"/>
          <w:szCs w:val="22"/>
        </w:rPr>
      </w:pPr>
    </w:p>
    <w:p w14:paraId="4220ABC2" w14:textId="77777777" w:rsidR="008802F5" w:rsidRDefault="008802F5" w:rsidP="00E03257">
      <w:pPr>
        <w:widowControl/>
        <w:tabs>
          <w:tab w:val="left" w:pos="4680"/>
          <w:tab w:val="left" w:pos="5040"/>
        </w:tabs>
        <w:rPr>
          <w:b/>
          <w:sz w:val="22"/>
          <w:szCs w:val="22"/>
        </w:rPr>
      </w:pPr>
      <w:r>
        <w:rPr>
          <w:rStyle w:val="Style1"/>
        </w:rPr>
        <w:tab/>
      </w:r>
      <w:r>
        <w:rPr>
          <w:rStyle w:val="Style1"/>
        </w:rPr>
        <w:tab/>
        <w:t>Petition for Reconsideration</w:t>
      </w:r>
    </w:p>
    <w:p w14:paraId="7A6A05C5" w14:textId="77777777" w:rsidR="008802F5" w:rsidRPr="005D407D" w:rsidRDefault="008802F5" w:rsidP="00E03257">
      <w:pPr>
        <w:widowControl/>
        <w:tabs>
          <w:tab w:val="left" w:pos="4680"/>
          <w:tab w:val="left" w:pos="5040"/>
        </w:tabs>
        <w:rPr>
          <w:sz w:val="22"/>
          <w:szCs w:val="22"/>
        </w:rPr>
      </w:pPr>
      <w:r w:rsidRPr="005D407D">
        <w:rPr>
          <w:sz w:val="22"/>
          <w:szCs w:val="22"/>
        </w:rPr>
        <w:tab/>
      </w:r>
      <w:r w:rsidRPr="005D407D">
        <w:rPr>
          <w:sz w:val="22"/>
          <w:szCs w:val="22"/>
        </w:rPr>
        <w:tab/>
      </w:r>
    </w:p>
    <w:p w14:paraId="506C4922" w14:textId="77777777" w:rsidR="008802F5" w:rsidRPr="005D407D" w:rsidRDefault="008802F5" w:rsidP="00E03257">
      <w:pPr>
        <w:widowControl/>
        <w:tabs>
          <w:tab w:val="left" w:pos="6840"/>
        </w:tabs>
        <w:rPr>
          <w:sz w:val="22"/>
          <w:szCs w:val="22"/>
        </w:rPr>
      </w:pPr>
      <w:r w:rsidRPr="005D407D">
        <w:rPr>
          <w:sz w:val="22"/>
          <w:szCs w:val="22"/>
        </w:rPr>
        <w:t xml:space="preserve"> Dear</w:t>
      </w:r>
      <w:r>
        <w:rPr>
          <w:sz w:val="22"/>
          <w:szCs w:val="22"/>
        </w:rPr>
        <w:t xml:space="preserve"> Counsel:</w:t>
      </w:r>
    </w:p>
    <w:p w14:paraId="653E6CD9" w14:textId="77777777" w:rsidR="008802F5" w:rsidRPr="005D407D" w:rsidRDefault="008802F5" w:rsidP="00E03257">
      <w:pPr>
        <w:widowControl/>
        <w:tabs>
          <w:tab w:val="left" w:pos="4680"/>
          <w:tab w:val="left" w:pos="5337"/>
        </w:tabs>
        <w:rPr>
          <w:sz w:val="22"/>
          <w:szCs w:val="22"/>
        </w:rPr>
      </w:pPr>
    </w:p>
    <w:p w14:paraId="26E2B652" w14:textId="31542BAA" w:rsidR="008802F5" w:rsidRDefault="008802F5" w:rsidP="00E03257">
      <w:pPr>
        <w:widowControl/>
        <w:ind w:firstLine="720"/>
        <w:rPr>
          <w:sz w:val="22"/>
          <w:szCs w:val="22"/>
        </w:rPr>
      </w:pPr>
      <w:r>
        <w:rPr>
          <w:sz w:val="22"/>
          <w:szCs w:val="22"/>
        </w:rPr>
        <w:t xml:space="preserve">We have before us a petition for reconsideration (Petition) filed on July 25, </w:t>
      </w:r>
      <w:r w:rsidR="00B23545">
        <w:rPr>
          <w:sz w:val="22"/>
          <w:szCs w:val="22"/>
        </w:rPr>
        <w:t>2016</w:t>
      </w:r>
      <w:r>
        <w:rPr>
          <w:sz w:val="22"/>
          <w:szCs w:val="22"/>
        </w:rPr>
        <w:t xml:space="preserve">, by Vida Abundante (Abundante), </w:t>
      </w:r>
      <w:r w:rsidR="0076327B">
        <w:rPr>
          <w:sz w:val="22"/>
          <w:szCs w:val="22"/>
        </w:rPr>
        <w:t>licensee of Station KJVA-LP</w:t>
      </w:r>
      <w:r w:rsidR="00C930D6">
        <w:rPr>
          <w:sz w:val="22"/>
          <w:szCs w:val="22"/>
        </w:rPr>
        <w:t>, San Berna</w:t>
      </w:r>
      <w:r w:rsidR="00121838">
        <w:rPr>
          <w:sz w:val="22"/>
          <w:szCs w:val="22"/>
        </w:rPr>
        <w:t>r</w:t>
      </w:r>
      <w:r w:rsidR="00C930D6">
        <w:rPr>
          <w:sz w:val="22"/>
          <w:szCs w:val="22"/>
        </w:rPr>
        <w:t>dino, California</w:t>
      </w:r>
      <w:r w:rsidR="0076327B">
        <w:rPr>
          <w:sz w:val="22"/>
          <w:szCs w:val="22"/>
        </w:rPr>
        <w:t xml:space="preserve">.  Abundante seeks </w:t>
      </w:r>
      <w:r>
        <w:rPr>
          <w:sz w:val="22"/>
          <w:szCs w:val="22"/>
        </w:rPr>
        <w:t xml:space="preserve"> reconsideration of the Media Bureau’s</w:t>
      </w:r>
      <w:r w:rsidR="00E81D9A">
        <w:rPr>
          <w:sz w:val="22"/>
          <w:szCs w:val="22"/>
        </w:rPr>
        <w:t xml:space="preserve"> (Bureau)</w:t>
      </w:r>
      <w:r>
        <w:rPr>
          <w:sz w:val="22"/>
          <w:szCs w:val="22"/>
        </w:rPr>
        <w:t xml:space="preserve"> grant of the referenced covering license application (License Application) for </w:t>
      </w:r>
      <w:r w:rsidR="00B72D58">
        <w:rPr>
          <w:sz w:val="22"/>
          <w:szCs w:val="22"/>
        </w:rPr>
        <w:t>l</w:t>
      </w:r>
      <w:r>
        <w:rPr>
          <w:sz w:val="22"/>
          <w:szCs w:val="22"/>
        </w:rPr>
        <w:t xml:space="preserve">ow </w:t>
      </w:r>
      <w:r w:rsidR="00B72D58">
        <w:rPr>
          <w:sz w:val="22"/>
          <w:szCs w:val="22"/>
        </w:rPr>
        <w:t>p</w:t>
      </w:r>
      <w:r>
        <w:rPr>
          <w:sz w:val="22"/>
          <w:szCs w:val="22"/>
        </w:rPr>
        <w:t>ower FM (LPFM) station KHSH-LP, San Bernardino (Station), filed by Calvary Chapel of Redlands d/b/a Packinghouse Christian FWP (“Calvary Chapel”).</w:t>
      </w:r>
      <w:r>
        <w:rPr>
          <w:rStyle w:val="FootnoteReference"/>
          <w:szCs w:val="22"/>
        </w:rPr>
        <w:footnoteReference w:id="1"/>
      </w:r>
      <w:r>
        <w:rPr>
          <w:sz w:val="22"/>
          <w:szCs w:val="22"/>
        </w:rPr>
        <w:t xml:space="preserve">  As discussed below, we dismiss the Petition. </w:t>
      </w:r>
    </w:p>
    <w:p w14:paraId="62793A6F" w14:textId="77777777" w:rsidR="008802F5" w:rsidRDefault="008802F5" w:rsidP="00E03257">
      <w:pPr>
        <w:widowControl/>
        <w:ind w:firstLine="720"/>
        <w:rPr>
          <w:sz w:val="22"/>
          <w:szCs w:val="22"/>
        </w:rPr>
      </w:pPr>
    </w:p>
    <w:p w14:paraId="64E63847" w14:textId="35F5D8B1" w:rsidR="008802F5" w:rsidRDefault="008802F5" w:rsidP="00E03257">
      <w:pPr>
        <w:widowControl/>
        <w:ind w:firstLine="720"/>
        <w:rPr>
          <w:sz w:val="22"/>
          <w:szCs w:val="22"/>
        </w:rPr>
      </w:pPr>
      <w:r>
        <w:rPr>
          <w:b/>
          <w:sz w:val="22"/>
          <w:szCs w:val="22"/>
        </w:rPr>
        <w:t>Background.</w:t>
      </w:r>
      <w:r>
        <w:rPr>
          <w:sz w:val="22"/>
          <w:szCs w:val="22"/>
        </w:rPr>
        <w:t xml:space="preserve">  The Bureau granted Calvary Chapel’s application for a construction permit for a new LPFM Station in Redland</w:t>
      </w:r>
      <w:r w:rsidR="0021178D">
        <w:rPr>
          <w:sz w:val="22"/>
          <w:szCs w:val="22"/>
        </w:rPr>
        <w:t>s</w:t>
      </w:r>
      <w:r>
        <w:rPr>
          <w:sz w:val="22"/>
          <w:szCs w:val="22"/>
        </w:rPr>
        <w:t>, California, on December 12, 2014,</w:t>
      </w:r>
      <w:r>
        <w:rPr>
          <w:rStyle w:val="FootnoteReference"/>
          <w:szCs w:val="22"/>
        </w:rPr>
        <w:footnoteReference w:id="2"/>
      </w:r>
      <w:r>
        <w:rPr>
          <w:sz w:val="22"/>
          <w:szCs w:val="22"/>
        </w:rPr>
        <w:t xml:space="preserve"> and issued Calvary Chapel a construction permit (Permit).</w:t>
      </w:r>
      <w:r w:rsidR="00B72D58">
        <w:rPr>
          <w:sz w:val="22"/>
          <w:szCs w:val="22"/>
        </w:rPr>
        <w:t xml:space="preserve">  </w:t>
      </w:r>
      <w:r>
        <w:rPr>
          <w:sz w:val="22"/>
          <w:szCs w:val="22"/>
        </w:rPr>
        <w:t xml:space="preserve">On June 19, 2015, Calvary Chapel filed an application for a minor modification to lower its tower </w:t>
      </w:r>
      <w:r w:rsidR="000D3CF9">
        <w:rPr>
          <w:sz w:val="22"/>
          <w:szCs w:val="22"/>
        </w:rPr>
        <w:t xml:space="preserve">height </w:t>
      </w:r>
      <w:r>
        <w:rPr>
          <w:sz w:val="22"/>
          <w:szCs w:val="22"/>
        </w:rPr>
        <w:t>from 72 feet to 50 feet AGL</w:t>
      </w:r>
      <w:r w:rsidR="00BD57B5">
        <w:rPr>
          <w:sz w:val="22"/>
          <w:szCs w:val="22"/>
        </w:rPr>
        <w:t xml:space="preserve"> at </w:t>
      </w:r>
      <w:r w:rsidR="00663B4D">
        <w:rPr>
          <w:sz w:val="22"/>
          <w:szCs w:val="22"/>
        </w:rPr>
        <w:t>its current</w:t>
      </w:r>
      <w:r w:rsidR="00BD57B5">
        <w:rPr>
          <w:sz w:val="22"/>
          <w:szCs w:val="22"/>
        </w:rPr>
        <w:t xml:space="preserve"> site</w:t>
      </w:r>
      <w:r>
        <w:rPr>
          <w:sz w:val="22"/>
          <w:szCs w:val="22"/>
        </w:rPr>
        <w:t>.</w:t>
      </w:r>
      <w:r>
        <w:rPr>
          <w:rStyle w:val="FootnoteReference"/>
          <w:szCs w:val="22"/>
        </w:rPr>
        <w:footnoteReference w:id="3"/>
      </w:r>
      <w:r>
        <w:rPr>
          <w:sz w:val="22"/>
          <w:szCs w:val="22"/>
        </w:rPr>
        <w:t xml:space="preserve">  The Bureau granted this uncontested application on June 30, 2015.</w:t>
      </w:r>
      <w:r>
        <w:rPr>
          <w:rStyle w:val="FootnoteReference"/>
          <w:szCs w:val="22"/>
        </w:rPr>
        <w:footnoteReference w:id="4"/>
      </w:r>
      <w:r>
        <w:rPr>
          <w:sz w:val="22"/>
          <w:szCs w:val="22"/>
        </w:rPr>
        <w:t xml:space="preserve"> </w:t>
      </w:r>
      <w:r w:rsidR="00BD57B5">
        <w:rPr>
          <w:sz w:val="22"/>
          <w:szCs w:val="22"/>
        </w:rPr>
        <w:t xml:space="preserve"> </w:t>
      </w:r>
      <w:r>
        <w:rPr>
          <w:sz w:val="22"/>
          <w:szCs w:val="22"/>
        </w:rPr>
        <w:t>On June 17, 2016, Calvary Chapel filed the License Appli</w:t>
      </w:r>
      <w:r w:rsidR="002E2598">
        <w:rPr>
          <w:sz w:val="22"/>
          <w:szCs w:val="22"/>
        </w:rPr>
        <w:t>cation to cover the modified K</w:t>
      </w:r>
      <w:r>
        <w:rPr>
          <w:sz w:val="22"/>
          <w:szCs w:val="22"/>
        </w:rPr>
        <w:t>H</w:t>
      </w:r>
      <w:r w:rsidR="002E2598">
        <w:rPr>
          <w:sz w:val="22"/>
          <w:szCs w:val="22"/>
        </w:rPr>
        <w:t>SH</w:t>
      </w:r>
      <w:r>
        <w:rPr>
          <w:sz w:val="22"/>
          <w:szCs w:val="22"/>
        </w:rPr>
        <w:t>-LP permit,</w:t>
      </w:r>
      <w:r>
        <w:rPr>
          <w:rStyle w:val="FootnoteReference"/>
          <w:szCs w:val="22"/>
        </w:rPr>
        <w:footnoteReference w:id="5"/>
      </w:r>
      <w:r>
        <w:rPr>
          <w:sz w:val="22"/>
          <w:szCs w:val="22"/>
        </w:rPr>
        <w:t xml:space="preserve"> which the Bureau granted on June </w:t>
      </w:r>
      <w:r w:rsidR="006A1202">
        <w:rPr>
          <w:sz w:val="22"/>
          <w:szCs w:val="22"/>
        </w:rPr>
        <w:t>2</w:t>
      </w:r>
      <w:r w:rsidR="004E3710">
        <w:rPr>
          <w:sz w:val="22"/>
          <w:szCs w:val="22"/>
        </w:rPr>
        <w:t>0</w:t>
      </w:r>
      <w:r>
        <w:rPr>
          <w:sz w:val="22"/>
          <w:szCs w:val="22"/>
        </w:rPr>
        <w:t>, 2016.</w:t>
      </w:r>
      <w:r>
        <w:rPr>
          <w:rStyle w:val="FootnoteReference"/>
          <w:szCs w:val="22"/>
        </w:rPr>
        <w:footnoteReference w:id="6"/>
      </w:r>
      <w:r>
        <w:rPr>
          <w:sz w:val="22"/>
          <w:szCs w:val="22"/>
        </w:rPr>
        <w:t xml:space="preserve">  </w:t>
      </w:r>
    </w:p>
    <w:p w14:paraId="6F09E6B7" w14:textId="77777777" w:rsidR="008802F5" w:rsidRDefault="008802F5" w:rsidP="00E03257">
      <w:pPr>
        <w:widowControl/>
        <w:ind w:firstLine="720"/>
        <w:rPr>
          <w:sz w:val="22"/>
          <w:szCs w:val="22"/>
        </w:rPr>
      </w:pPr>
    </w:p>
    <w:p w14:paraId="4CC825BC" w14:textId="4707C577" w:rsidR="008802F5" w:rsidRDefault="008802F5" w:rsidP="00E03257">
      <w:pPr>
        <w:widowControl/>
        <w:ind w:firstLine="720"/>
        <w:rPr>
          <w:sz w:val="22"/>
          <w:szCs w:val="22"/>
        </w:rPr>
      </w:pPr>
      <w:r>
        <w:rPr>
          <w:sz w:val="22"/>
          <w:szCs w:val="22"/>
        </w:rPr>
        <w:t>On July 25, 2016, Abundante filed a petition for reconsideration of the grant of the License Application, arguing that the Station is causing interference to co-channel LPFM Station KJVA-LP.</w:t>
      </w:r>
      <w:r w:rsidR="00C930D6">
        <w:rPr>
          <w:sz w:val="22"/>
          <w:szCs w:val="22"/>
        </w:rPr>
        <w:t xml:space="preserve">  </w:t>
      </w:r>
      <w:r>
        <w:rPr>
          <w:sz w:val="22"/>
          <w:szCs w:val="22"/>
        </w:rPr>
        <w:t xml:space="preserve">In its Opposition, Calvary argues Abundante’s Petition is procedurally deficient for a number of reasons.  First, Calvary </w:t>
      </w:r>
      <w:r w:rsidR="00713743">
        <w:rPr>
          <w:sz w:val="22"/>
          <w:szCs w:val="22"/>
        </w:rPr>
        <w:t xml:space="preserve">notes the minor nature of the technical changes proposed in the 2015 Modification Application, which resulted in a decreased signal in the direction of KJVA-LP.  Thus, on this basis, Calvary contends that the Petition is an “untimely collateral attack” on the 2013 Modification Application.  It argues </w:t>
      </w:r>
      <w:r w:rsidR="006A1202">
        <w:rPr>
          <w:sz w:val="22"/>
          <w:szCs w:val="22"/>
        </w:rPr>
        <w:t>that</w:t>
      </w:r>
      <w:r w:rsidR="000D3CF9">
        <w:rPr>
          <w:sz w:val="22"/>
          <w:szCs w:val="22"/>
        </w:rPr>
        <w:t xml:space="preserve"> </w:t>
      </w:r>
      <w:r>
        <w:rPr>
          <w:sz w:val="22"/>
          <w:szCs w:val="22"/>
        </w:rPr>
        <w:t xml:space="preserve">Abundante </w:t>
      </w:r>
      <w:r w:rsidR="000D3CF9">
        <w:rPr>
          <w:sz w:val="22"/>
          <w:szCs w:val="22"/>
        </w:rPr>
        <w:t xml:space="preserve">had </w:t>
      </w:r>
      <w:r>
        <w:rPr>
          <w:sz w:val="22"/>
          <w:szCs w:val="22"/>
        </w:rPr>
        <w:t xml:space="preserve">up to two and a half years to challenge </w:t>
      </w:r>
      <w:r w:rsidR="00713743">
        <w:rPr>
          <w:sz w:val="22"/>
          <w:szCs w:val="22"/>
        </w:rPr>
        <w:t>that</w:t>
      </w:r>
      <w:r>
        <w:rPr>
          <w:sz w:val="22"/>
          <w:szCs w:val="22"/>
        </w:rPr>
        <w:t xml:space="preserve"> application</w:t>
      </w:r>
      <w:r w:rsidR="00713743">
        <w:rPr>
          <w:sz w:val="22"/>
          <w:szCs w:val="22"/>
        </w:rPr>
        <w:t xml:space="preserve"> and “did nothing</w:t>
      </w:r>
      <w:r w:rsidR="003E7E49">
        <w:rPr>
          <w:sz w:val="22"/>
          <w:szCs w:val="22"/>
        </w:rPr>
        <w:t>.</w:t>
      </w:r>
      <w:r w:rsidR="00713743">
        <w:rPr>
          <w:sz w:val="22"/>
          <w:szCs w:val="22"/>
        </w:rPr>
        <w:t>”</w:t>
      </w:r>
      <w:r>
        <w:rPr>
          <w:rStyle w:val="FootnoteReference"/>
          <w:szCs w:val="22"/>
        </w:rPr>
        <w:footnoteReference w:id="7"/>
      </w:r>
      <w:r>
        <w:rPr>
          <w:sz w:val="22"/>
          <w:szCs w:val="22"/>
        </w:rPr>
        <w:t xml:space="preserve">  Second, Calvary Chapel argues that the Petition was incomplete because a petition for reconsideration claim</w:t>
      </w:r>
      <w:r w:rsidR="007F7126">
        <w:rPr>
          <w:sz w:val="22"/>
          <w:szCs w:val="22"/>
        </w:rPr>
        <w:t>ing</w:t>
      </w:r>
      <w:r>
        <w:rPr>
          <w:sz w:val="22"/>
          <w:szCs w:val="22"/>
        </w:rPr>
        <w:t xml:space="preserve"> electrical interference to an existing station must be accompanied by an affidavit of a qualified radio engineer, which Abundante’s Petition did not present.</w:t>
      </w:r>
      <w:r>
        <w:rPr>
          <w:rStyle w:val="FootnoteReference"/>
          <w:szCs w:val="22"/>
        </w:rPr>
        <w:footnoteReference w:id="8"/>
      </w:r>
      <w:r>
        <w:rPr>
          <w:sz w:val="22"/>
          <w:szCs w:val="22"/>
        </w:rPr>
        <w:t xml:space="preserve">  Calvary </w:t>
      </w:r>
      <w:r w:rsidR="00544008">
        <w:rPr>
          <w:sz w:val="22"/>
          <w:szCs w:val="22"/>
        </w:rPr>
        <w:t xml:space="preserve">further </w:t>
      </w:r>
      <w:r>
        <w:rPr>
          <w:sz w:val="22"/>
          <w:szCs w:val="22"/>
        </w:rPr>
        <w:t>argues the Petition did not sufficiently demonstrate a material error or omission in granting KHSH-LP a permit or license, because Abundante never argued that the staff erred in granting the construction permit or license to cover.</w:t>
      </w:r>
      <w:r>
        <w:rPr>
          <w:rStyle w:val="FootnoteReference"/>
          <w:szCs w:val="22"/>
        </w:rPr>
        <w:footnoteReference w:id="9"/>
      </w:r>
      <w:r>
        <w:rPr>
          <w:sz w:val="22"/>
          <w:szCs w:val="22"/>
        </w:rPr>
        <w:t xml:space="preserve">  Calvary also opposes the Petition on substantive grounds, noting that KHSH-LP is fully spaced in compliance with Section 73.807 of the Commission’s Rules (Rules).</w:t>
      </w:r>
      <w:r>
        <w:rPr>
          <w:rStyle w:val="FootnoteReference"/>
          <w:szCs w:val="22"/>
        </w:rPr>
        <w:footnoteReference w:id="10"/>
      </w:r>
      <w:r>
        <w:rPr>
          <w:sz w:val="22"/>
          <w:szCs w:val="22"/>
        </w:rPr>
        <w:t xml:space="preserve">  </w:t>
      </w:r>
    </w:p>
    <w:p w14:paraId="355C89DE" w14:textId="77777777" w:rsidR="008802F5" w:rsidRPr="00C94212" w:rsidRDefault="008802F5" w:rsidP="00E03257">
      <w:pPr>
        <w:widowControl/>
        <w:ind w:firstLine="720"/>
        <w:rPr>
          <w:sz w:val="22"/>
          <w:szCs w:val="22"/>
        </w:rPr>
      </w:pPr>
    </w:p>
    <w:p w14:paraId="2C6E39FA" w14:textId="5E1D89A5" w:rsidR="008802F5" w:rsidRPr="00694DC6" w:rsidRDefault="008802F5" w:rsidP="00E03257">
      <w:pPr>
        <w:widowControl/>
        <w:ind w:firstLine="720"/>
        <w:rPr>
          <w:sz w:val="22"/>
          <w:szCs w:val="22"/>
        </w:rPr>
      </w:pPr>
      <w:r>
        <w:rPr>
          <w:b/>
          <w:sz w:val="22"/>
          <w:szCs w:val="22"/>
        </w:rPr>
        <w:t>Discussion.</w:t>
      </w:r>
      <w:r>
        <w:rPr>
          <w:sz w:val="22"/>
          <w:szCs w:val="22"/>
        </w:rPr>
        <w:t xml:space="preserve">  Reconsideration is appropriate where an applicant demonstrates new facts or an error in the original decision.</w:t>
      </w:r>
      <w:r>
        <w:rPr>
          <w:rStyle w:val="FootnoteReference"/>
          <w:szCs w:val="22"/>
        </w:rPr>
        <w:footnoteReference w:id="11"/>
      </w:r>
      <w:r>
        <w:rPr>
          <w:sz w:val="22"/>
          <w:szCs w:val="22"/>
        </w:rPr>
        <w:t xml:space="preserve">  </w:t>
      </w:r>
      <w:r w:rsidR="004D3FBF">
        <w:rPr>
          <w:sz w:val="22"/>
          <w:szCs w:val="22"/>
        </w:rPr>
        <w:t xml:space="preserve">Additionally, </w:t>
      </w:r>
      <w:r w:rsidR="00436FDA">
        <w:rPr>
          <w:sz w:val="22"/>
          <w:szCs w:val="22"/>
        </w:rPr>
        <w:t>a</w:t>
      </w:r>
      <w:r>
        <w:rPr>
          <w:sz w:val="22"/>
          <w:szCs w:val="22"/>
        </w:rPr>
        <w:t>ccording to Section 1.106(e) of the Commission’s rules, “[w]here a petition for reconsideration is based upon a claim of electrical interference</w:t>
      </w:r>
      <w:r w:rsidR="00182F0D">
        <w:rPr>
          <w:sz w:val="22"/>
          <w:szCs w:val="22"/>
        </w:rPr>
        <w:t>, under appropriate rules in this chapter,</w:t>
      </w:r>
      <w:r>
        <w:rPr>
          <w:sz w:val="22"/>
          <w:szCs w:val="22"/>
        </w:rPr>
        <w:t xml:space="preserve"> to an existing station for which a construction permit is outstanding, such petition</w:t>
      </w:r>
      <w:r w:rsidR="00C5047E">
        <w:rPr>
          <w:sz w:val="22"/>
          <w:szCs w:val="22"/>
        </w:rPr>
        <w:t>,</w:t>
      </w:r>
      <w:r w:rsidR="00182F0D" w:rsidDel="00182F0D">
        <w:rPr>
          <w:sz w:val="22"/>
          <w:szCs w:val="22"/>
        </w:rPr>
        <w:t xml:space="preserve"> </w:t>
      </w:r>
      <w:r w:rsidR="00182F0D">
        <w:rPr>
          <w:sz w:val="22"/>
          <w:szCs w:val="22"/>
        </w:rPr>
        <w:t>in addition to meeting the other requirements of this section</w:t>
      </w:r>
      <w:r w:rsidR="00C5047E">
        <w:rPr>
          <w:sz w:val="22"/>
          <w:szCs w:val="22"/>
        </w:rPr>
        <w:t xml:space="preserve">, </w:t>
      </w:r>
      <w:r>
        <w:rPr>
          <w:i/>
          <w:sz w:val="22"/>
          <w:szCs w:val="22"/>
        </w:rPr>
        <w:t>must</w:t>
      </w:r>
      <w:r>
        <w:rPr>
          <w:sz w:val="22"/>
          <w:szCs w:val="22"/>
        </w:rPr>
        <w:t xml:space="preserve"> be accompanied by an affidavit of a qualified radio engineer.”</w:t>
      </w:r>
      <w:r>
        <w:rPr>
          <w:rStyle w:val="FootnoteReference"/>
          <w:szCs w:val="22"/>
        </w:rPr>
        <w:footnoteReference w:id="12"/>
      </w:r>
      <w:r>
        <w:rPr>
          <w:sz w:val="22"/>
          <w:szCs w:val="22"/>
        </w:rPr>
        <w:t xml:space="preserve">  </w:t>
      </w:r>
      <w:r w:rsidR="00126853">
        <w:rPr>
          <w:sz w:val="22"/>
          <w:szCs w:val="22"/>
        </w:rPr>
        <w:t xml:space="preserve">In 1979, the Commission </w:t>
      </w:r>
      <w:r w:rsidR="008D6903">
        <w:rPr>
          <w:sz w:val="22"/>
          <w:szCs w:val="22"/>
        </w:rPr>
        <w:t>relocat</w:t>
      </w:r>
      <w:r w:rsidR="00623AD2">
        <w:rPr>
          <w:sz w:val="22"/>
          <w:szCs w:val="22"/>
        </w:rPr>
        <w:t>ed</w:t>
      </w:r>
      <w:r w:rsidR="008D6903">
        <w:rPr>
          <w:sz w:val="22"/>
          <w:szCs w:val="22"/>
        </w:rPr>
        <w:t xml:space="preserve"> the broadcast technical rules </w:t>
      </w:r>
      <w:r w:rsidR="00126853">
        <w:rPr>
          <w:sz w:val="22"/>
          <w:szCs w:val="22"/>
        </w:rPr>
        <w:t>from Part 1 to Part 73.</w:t>
      </w:r>
      <w:r w:rsidR="00126853">
        <w:rPr>
          <w:rStyle w:val="FootnoteReference"/>
          <w:szCs w:val="22"/>
        </w:rPr>
        <w:footnoteReference w:id="13"/>
      </w:r>
      <w:r w:rsidR="00126853">
        <w:rPr>
          <w:sz w:val="22"/>
          <w:szCs w:val="22"/>
        </w:rPr>
        <w:t xml:space="preserve"> </w:t>
      </w:r>
      <w:r w:rsidR="005C0B83">
        <w:rPr>
          <w:sz w:val="22"/>
          <w:szCs w:val="22"/>
        </w:rPr>
        <w:t xml:space="preserve"> </w:t>
      </w:r>
      <w:r w:rsidR="000A16CF">
        <w:rPr>
          <w:sz w:val="22"/>
          <w:szCs w:val="22"/>
        </w:rPr>
        <w:t xml:space="preserve">Although </w:t>
      </w:r>
      <w:r w:rsidR="00DB6601">
        <w:rPr>
          <w:sz w:val="22"/>
          <w:szCs w:val="22"/>
        </w:rPr>
        <w:t xml:space="preserve">a literal reading of </w:t>
      </w:r>
      <w:r w:rsidR="000A16CF">
        <w:rPr>
          <w:sz w:val="22"/>
          <w:szCs w:val="22"/>
        </w:rPr>
        <w:t xml:space="preserve">Section 1.106(e) </w:t>
      </w:r>
      <w:r w:rsidR="00C01D42">
        <w:rPr>
          <w:sz w:val="22"/>
          <w:szCs w:val="22"/>
        </w:rPr>
        <w:t xml:space="preserve">would limit the affidavit requirement </w:t>
      </w:r>
      <w:r w:rsidR="00DB6601">
        <w:rPr>
          <w:sz w:val="22"/>
          <w:szCs w:val="22"/>
        </w:rPr>
        <w:t>to Part 1</w:t>
      </w:r>
      <w:r w:rsidR="008D6903">
        <w:rPr>
          <w:sz w:val="22"/>
          <w:szCs w:val="22"/>
        </w:rPr>
        <w:t xml:space="preserve"> services</w:t>
      </w:r>
      <w:r w:rsidR="00C01D42">
        <w:rPr>
          <w:sz w:val="22"/>
          <w:szCs w:val="22"/>
        </w:rPr>
        <w:t>,</w:t>
      </w:r>
      <w:r w:rsidR="005C0B83">
        <w:rPr>
          <w:sz w:val="22"/>
          <w:szCs w:val="22"/>
        </w:rPr>
        <w:t xml:space="preserve"> it is </w:t>
      </w:r>
      <w:r w:rsidR="00C930D6">
        <w:rPr>
          <w:sz w:val="22"/>
          <w:szCs w:val="22"/>
        </w:rPr>
        <w:t>apparent</w:t>
      </w:r>
      <w:r w:rsidR="005C0B83">
        <w:rPr>
          <w:sz w:val="22"/>
          <w:szCs w:val="22"/>
        </w:rPr>
        <w:t xml:space="preserve"> that </w:t>
      </w:r>
      <w:r w:rsidR="00C930D6">
        <w:rPr>
          <w:sz w:val="22"/>
          <w:szCs w:val="22"/>
        </w:rPr>
        <w:t xml:space="preserve">the failure to contemporaneously modify </w:t>
      </w:r>
      <w:r w:rsidR="00286D72">
        <w:rPr>
          <w:sz w:val="22"/>
          <w:szCs w:val="22"/>
        </w:rPr>
        <w:t>this</w:t>
      </w:r>
      <w:r w:rsidR="005C0B83">
        <w:rPr>
          <w:sz w:val="22"/>
          <w:szCs w:val="22"/>
        </w:rPr>
        <w:t xml:space="preserve"> </w:t>
      </w:r>
      <w:r w:rsidR="00C930D6">
        <w:rPr>
          <w:sz w:val="22"/>
          <w:szCs w:val="22"/>
        </w:rPr>
        <w:t xml:space="preserve">rule </w:t>
      </w:r>
      <w:r w:rsidR="005C0B83">
        <w:rPr>
          <w:sz w:val="22"/>
          <w:szCs w:val="22"/>
        </w:rPr>
        <w:t xml:space="preserve">was </w:t>
      </w:r>
      <w:r w:rsidR="007A07C9">
        <w:rPr>
          <w:sz w:val="22"/>
          <w:szCs w:val="22"/>
        </w:rPr>
        <w:t>a drafting</w:t>
      </w:r>
      <w:r w:rsidR="00653B2E">
        <w:rPr>
          <w:sz w:val="22"/>
          <w:szCs w:val="22"/>
        </w:rPr>
        <w:t xml:space="preserve"> error</w:t>
      </w:r>
      <w:r w:rsidR="00B05590">
        <w:rPr>
          <w:sz w:val="22"/>
          <w:szCs w:val="22"/>
        </w:rPr>
        <w:t xml:space="preserve"> and that </w:t>
      </w:r>
      <w:r w:rsidR="00C930D6">
        <w:rPr>
          <w:sz w:val="22"/>
          <w:szCs w:val="22"/>
        </w:rPr>
        <w:t xml:space="preserve">this filing requirement should </w:t>
      </w:r>
      <w:r w:rsidR="00C01D42">
        <w:rPr>
          <w:sz w:val="22"/>
          <w:szCs w:val="22"/>
        </w:rPr>
        <w:t xml:space="preserve">continue to </w:t>
      </w:r>
      <w:r w:rsidR="0086296F">
        <w:rPr>
          <w:sz w:val="22"/>
          <w:szCs w:val="22"/>
        </w:rPr>
        <w:t xml:space="preserve">apply to </w:t>
      </w:r>
      <w:r w:rsidR="00C930D6">
        <w:rPr>
          <w:sz w:val="22"/>
          <w:szCs w:val="22"/>
        </w:rPr>
        <w:t xml:space="preserve">electrical interference claims </w:t>
      </w:r>
      <w:r w:rsidR="00C01D42">
        <w:rPr>
          <w:sz w:val="22"/>
          <w:szCs w:val="22"/>
        </w:rPr>
        <w:t xml:space="preserve">relating to services transferred to </w:t>
      </w:r>
      <w:r w:rsidR="00600764">
        <w:rPr>
          <w:sz w:val="22"/>
          <w:szCs w:val="22"/>
        </w:rPr>
        <w:t>Part 73</w:t>
      </w:r>
      <w:r w:rsidR="005C0B83">
        <w:rPr>
          <w:sz w:val="22"/>
          <w:szCs w:val="22"/>
        </w:rPr>
        <w:t>.</w:t>
      </w:r>
      <w:r w:rsidR="005C500F">
        <w:rPr>
          <w:rStyle w:val="FootnoteReference"/>
          <w:szCs w:val="22"/>
        </w:rPr>
        <w:footnoteReference w:id="14"/>
      </w:r>
      <w:r w:rsidR="005C0B83">
        <w:rPr>
          <w:sz w:val="22"/>
          <w:szCs w:val="22"/>
        </w:rPr>
        <w:t xml:space="preserve"> </w:t>
      </w:r>
      <w:r w:rsidR="00126853">
        <w:rPr>
          <w:sz w:val="22"/>
          <w:szCs w:val="22"/>
        </w:rPr>
        <w:t xml:space="preserve"> </w:t>
      </w:r>
      <w:r w:rsidR="008D6903">
        <w:rPr>
          <w:sz w:val="22"/>
          <w:szCs w:val="22"/>
        </w:rPr>
        <w:t xml:space="preserve">The Commission has </w:t>
      </w:r>
      <w:r w:rsidR="009D5379">
        <w:rPr>
          <w:sz w:val="22"/>
          <w:szCs w:val="22"/>
        </w:rPr>
        <w:t>applied this requirement in the broadcast context following the rule recodification.</w:t>
      </w:r>
      <w:r w:rsidR="009D5379">
        <w:rPr>
          <w:rStyle w:val="FootnoteReference"/>
          <w:szCs w:val="22"/>
        </w:rPr>
        <w:footnoteReference w:id="15"/>
      </w:r>
      <w:r w:rsidR="009D5379">
        <w:rPr>
          <w:sz w:val="22"/>
          <w:szCs w:val="22"/>
        </w:rPr>
        <w:t xml:space="preserve">  </w:t>
      </w:r>
      <w:r>
        <w:rPr>
          <w:sz w:val="22"/>
          <w:szCs w:val="22"/>
        </w:rPr>
        <w:t>Abundante’s Petition</w:t>
      </w:r>
      <w:r w:rsidR="005C500F">
        <w:rPr>
          <w:sz w:val="22"/>
          <w:szCs w:val="22"/>
        </w:rPr>
        <w:t xml:space="preserve"> </w:t>
      </w:r>
      <w:r>
        <w:rPr>
          <w:sz w:val="22"/>
          <w:szCs w:val="22"/>
        </w:rPr>
        <w:t xml:space="preserve">was not accompanied by an affidavit of a qualified radio </w:t>
      </w:r>
      <w:r>
        <w:rPr>
          <w:sz w:val="22"/>
          <w:szCs w:val="22"/>
        </w:rPr>
        <w:lastRenderedPageBreak/>
        <w:t xml:space="preserve">engineer, and thus fails to meet the requirements of Section 1.106(e).  Accordingly, Abundante’s Petition is procedurally defective and is dismissed.  </w:t>
      </w:r>
    </w:p>
    <w:p w14:paraId="1BB2F986" w14:textId="77777777" w:rsidR="008802F5" w:rsidRDefault="008802F5" w:rsidP="00E03257">
      <w:pPr>
        <w:widowControl/>
        <w:rPr>
          <w:sz w:val="22"/>
          <w:szCs w:val="22"/>
        </w:rPr>
      </w:pPr>
    </w:p>
    <w:p w14:paraId="3C1B4B05" w14:textId="0C741561" w:rsidR="008802F5" w:rsidRDefault="008802F5" w:rsidP="00E03257">
      <w:pPr>
        <w:widowControl/>
        <w:rPr>
          <w:sz w:val="22"/>
          <w:szCs w:val="22"/>
        </w:rPr>
      </w:pPr>
      <w:r>
        <w:rPr>
          <w:sz w:val="22"/>
          <w:szCs w:val="22"/>
        </w:rPr>
        <w:tab/>
        <w:t>Even were we to consider the merits of Abundante’s Petition, we would deny it.  KHSH-LP met and still meets the spacing requirements set out in Section 73.807 of the Commission’s rules.</w:t>
      </w:r>
      <w:r>
        <w:rPr>
          <w:rStyle w:val="FootnoteReference"/>
          <w:szCs w:val="22"/>
        </w:rPr>
        <w:footnoteReference w:id="16"/>
      </w:r>
      <w:r w:rsidR="00C129B3">
        <w:rPr>
          <w:sz w:val="22"/>
          <w:szCs w:val="22"/>
        </w:rPr>
        <w:t xml:space="preserve"> </w:t>
      </w:r>
      <w:r>
        <w:rPr>
          <w:sz w:val="22"/>
          <w:szCs w:val="22"/>
        </w:rPr>
        <w:t xml:space="preserve">Abundante’s Petition </w:t>
      </w:r>
      <w:r w:rsidR="00CB0D61">
        <w:rPr>
          <w:sz w:val="22"/>
          <w:szCs w:val="22"/>
        </w:rPr>
        <w:t xml:space="preserve">even </w:t>
      </w:r>
      <w:r>
        <w:rPr>
          <w:sz w:val="22"/>
          <w:szCs w:val="22"/>
        </w:rPr>
        <w:t xml:space="preserve">acknowledges that KHSH-LP meets the </w:t>
      </w:r>
      <w:r w:rsidR="00AD3B0F">
        <w:rPr>
          <w:sz w:val="22"/>
          <w:szCs w:val="22"/>
        </w:rPr>
        <w:t>LPFM</w:t>
      </w:r>
      <w:r>
        <w:rPr>
          <w:sz w:val="22"/>
          <w:szCs w:val="22"/>
        </w:rPr>
        <w:t xml:space="preserve"> spacing rules.</w:t>
      </w:r>
      <w:r>
        <w:rPr>
          <w:rStyle w:val="FootnoteReference"/>
          <w:szCs w:val="22"/>
        </w:rPr>
        <w:footnoteReference w:id="17"/>
      </w:r>
    </w:p>
    <w:p w14:paraId="7E19C146" w14:textId="77777777" w:rsidR="008802F5" w:rsidRDefault="008802F5" w:rsidP="00E03257">
      <w:pPr>
        <w:widowControl/>
        <w:rPr>
          <w:sz w:val="22"/>
          <w:szCs w:val="22"/>
        </w:rPr>
      </w:pPr>
    </w:p>
    <w:p w14:paraId="5D6C22E5" w14:textId="0FCA972E" w:rsidR="000A1348" w:rsidRDefault="008802F5" w:rsidP="009357A4">
      <w:pPr>
        <w:widowControl/>
        <w:ind w:firstLine="720"/>
        <w:rPr>
          <w:sz w:val="22"/>
          <w:szCs w:val="22"/>
        </w:rPr>
      </w:pPr>
      <w:r>
        <w:rPr>
          <w:sz w:val="22"/>
          <w:szCs w:val="22"/>
        </w:rPr>
        <w:t xml:space="preserve">Although Petitioner argues that </w:t>
      </w:r>
      <w:r w:rsidR="00C01D42">
        <w:rPr>
          <w:sz w:val="22"/>
          <w:szCs w:val="22"/>
        </w:rPr>
        <w:t xml:space="preserve">the grant of the License Application is </w:t>
      </w:r>
      <w:r>
        <w:rPr>
          <w:sz w:val="22"/>
          <w:szCs w:val="22"/>
        </w:rPr>
        <w:t>contrary to public interest because of the interferenc</w:t>
      </w:r>
      <w:r w:rsidR="00AD3B0F">
        <w:rPr>
          <w:sz w:val="22"/>
          <w:szCs w:val="22"/>
        </w:rPr>
        <w:t xml:space="preserve">e to </w:t>
      </w:r>
      <w:r w:rsidR="0015583C">
        <w:rPr>
          <w:sz w:val="22"/>
          <w:szCs w:val="22"/>
        </w:rPr>
        <w:t xml:space="preserve">KJVA-LP’s </w:t>
      </w:r>
      <w:r w:rsidR="00AD3B0F">
        <w:rPr>
          <w:sz w:val="22"/>
          <w:szCs w:val="22"/>
        </w:rPr>
        <w:t>listenership, w</w:t>
      </w:r>
      <w:r>
        <w:rPr>
          <w:sz w:val="22"/>
          <w:szCs w:val="22"/>
        </w:rPr>
        <w:t xml:space="preserve">e note that when the Commission created LPFM services, it specifically chose to use spacing requirements </w:t>
      </w:r>
      <w:r w:rsidR="00DB1DCC">
        <w:rPr>
          <w:sz w:val="22"/>
          <w:szCs w:val="22"/>
        </w:rPr>
        <w:t xml:space="preserve">to establish interference protections in order </w:t>
      </w:r>
      <w:r>
        <w:rPr>
          <w:sz w:val="22"/>
          <w:szCs w:val="22"/>
        </w:rPr>
        <w:t xml:space="preserve">to </w:t>
      </w:r>
      <w:r w:rsidR="00623AD2">
        <w:rPr>
          <w:sz w:val="22"/>
          <w:szCs w:val="22"/>
        </w:rPr>
        <w:t>“</w:t>
      </w:r>
      <w:r>
        <w:rPr>
          <w:sz w:val="22"/>
          <w:szCs w:val="22"/>
        </w:rPr>
        <w:t>preserve the integrity and technical excellence of existing FM radio service.</w:t>
      </w:r>
      <w:r w:rsidR="00623AD2">
        <w:rPr>
          <w:sz w:val="22"/>
          <w:szCs w:val="22"/>
        </w:rPr>
        <w:t>”</w:t>
      </w:r>
      <w:r>
        <w:rPr>
          <w:rStyle w:val="FootnoteReference"/>
          <w:szCs w:val="22"/>
        </w:rPr>
        <w:footnoteReference w:id="18"/>
      </w:r>
      <w:r>
        <w:rPr>
          <w:sz w:val="22"/>
          <w:szCs w:val="22"/>
        </w:rPr>
        <w:t xml:space="preserve">  </w:t>
      </w:r>
      <w:r w:rsidR="00CF371B">
        <w:rPr>
          <w:sz w:val="22"/>
          <w:szCs w:val="22"/>
        </w:rPr>
        <w:t>While</w:t>
      </w:r>
      <w:r w:rsidR="00DB1DCC">
        <w:rPr>
          <w:sz w:val="22"/>
          <w:szCs w:val="22"/>
        </w:rPr>
        <w:t xml:space="preserve"> </w:t>
      </w:r>
      <w:r>
        <w:rPr>
          <w:sz w:val="22"/>
          <w:szCs w:val="22"/>
        </w:rPr>
        <w:t xml:space="preserve">KHSH-LP and KJVA-LP operate on </w:t>
      </w:r>
      <w:r w:rsidR="00141557">
        <w:rPr>
          <w:sz w:val="22"/>
          <w:szCs w:val="22"/>
        </w:rPr>
        <w:t>the same channel</w:t>
      </w:r>
      <w:r w:rsidR="00FA4EB1">
        <w:rPr>
          <w:sz w:val="22"/>
          <w:szCs w:val="22"/>
        </w:rPr>
        <w:t>, the stations are fully spaced</w:t>
      </w:r>
      <w:r>
        <w:rPr>
          <w:sz w:val="22"/>
          <w:szCs w:val="22"/>
        </w:rPr>
        <w:t xml:space="preserve">.  </w:t>
      </w:r>
      <w:r w:rsidR="00463B43">
        <w:rPr>
          <w:sz w:val="22"/>
          <w:szCs w:val="22"/>
        </w:rPr>
        <w:t xml:space="preserve">Abundante has neither alleged nor shown </w:t>
      </w:r>
      <w:r w:rsidR="00544008">
        <w:rPr>
          <w:sz w:val="22"/>
          <w:szCs w:val="22"/>
        </w:rPr>
        <w:t xml:space="preserve">that KHSH-LP is operating </w:t>
      </w:r>
      <w:r w:rsidR="00C01D42">
        <w:rPr>
          <w:sz w:val="22"/>
          <w:szCs w:val="22"/>
        </w:rPr>
        <w:t>with unauthorized facilities</w:t>
      </w:r>
      <w:r w:rsidR="00544008">
        <w:rPr>
          <w:sz w:val="22"/>
          <w:szCs w:val="22"/>
        </w:rPr>
        <w:t xml:space="preserve">.  </w:t>
      </w:r>
      <w:r>
        <w:rPr>
          <w:sz w:val="22"/>
          <w:szCs w:val="22"/>
        </w:rPr>
        <w:t>Accordingly, Abundante has not presented an actionable claim of interference to KJVA-LP.</w:t>
      </w:r>
    </w:p>
    <w:p w14:paraId="62AAA30A" w14:textId="77777777" w:rsidR="00CF371B" w:rsidRDefault="00CF371B" w:rsidP="00581E66">
      <w:pPr>
        <w:widowControl/>
        <w:spacing w:line="276" w:lineRule="auto"/>
        <w:rPr>
          <w:b/>
          <w:sz w:val="22"/>
          <w:szCs w:val="22"/>
        </w:rPr>
      </w:pPr>
    </w:p>
    <w:p w14:paraId="6B6DB75B" w14:textId="188380D6" w:rsidR="008802F5" w:rsidRPr="00B229A5" w:rsidRDefault="008802F5" w:rsidP="00581E66">
      <w:pPr>
        <w:widowControl/>
        <w:spacing w:after="200" w:line="276" w:lineRule="auto"/>
        <w:ind w:firstLine="720"/>
        <w:rPr>
          <w:sz w:val="22"/>
          <w:szCs w:val="22"/>
        </w:rPr>
      </w:pPr>
      <w:r>
        <w:rPr>
          <w:b/>
          <w:sz w:val="22"/>
          <w:szCs w:val="22"/>
        </w:rPr>
        <w:t>Conclusion/Action.</w:t>
      </w:r>
      <w:r>
        <w:rPr>
          <w:sz w:val="22"/>
          <w:szCs w:val="22"/>
        </w:rPr>
        <w:t xml:space="preserve">  </w:t>
      </w:r>
      <w:r w:rsidR="00AD3B0F">
        <w:rPr>
          <w:sz w:val="22"/>
          <w:szCs w:val="22"/>
        </w:rPr>
        <w:t>In light of the above discussion</w:t>
      </w:r>
      <w:r>
        <w:rPr>
          <w:sz w:val="22"/>
          <w:szCs w:val="22"/>
        </w:rPr>
        <w:t xml:space="preserve">, the petition for reconsideration of the Bureau’s grant of the license to Station KHSH-LP, San Bernardino IS DISMISSED. </w:t>
      </w:r>
    </w:p>
    <w:p w14:paraId="6B2020A8" w14:textId="77777777" w:rsidR="008802F5" w:rsidRDefault="008802F5" w:rsidP="00206AAD">
      <w:pPr>
        <w:pStyle w:val="BodyText"/>
        <w:ind w:left="5040"/>
        <w:rPr>
          <w:sz w:val="22"/>
          <w:szCs w:val="22"/>
        </w:rPr>
      </w:pPr>
    </w:p>
    <w:p w14:paraId="4A91BDF3" w14:textId="77777777" w:rsidR="008802F5" w:rsidRPr="00DE5E79" w:rsidRDefault="008802F5" w:rsidP="00E03257">
      <w:pPr>
        <w:pStyle w:val="BodyText"/>
        <w:ind w:left="5040"/>
        <w:rPr>
          <w:sz w:val="22"/>
          <w:szCs w:val="22"/>
        </w:rPr>
      </w:pPr>
      <w:r w:rsidRPr="00DE5E79">
        <w:rPr>
          <w:sz w:val="22"/>
          <w:szCs w:val="22"/>
        </w:rPr>
        <w:t>Sincerely,</w:t>
      </w:r>
    </w:p>
    <w:p w14:paraId="5430E2ED" w14:textId="77777777" w:rsidR="008802F5" w:rsidRPr="00DE5E79" w:rsidRDefault="008802F5" w:rsidP="00E03257">
      <w:pPr>
        <w:pStyle w:val="BodyText"/>
        <w:rPr>
          <w:sz w:val="22"/>
          <w:szCs w:val="22"/>
        </w:rPr>
      </w:pPr>
    </w:p>
    <w:p w14:paraId="727E7B28" w14:textId="77777777" w:rsidR="008802F5" w:rsidRPr="00DE5E79" w:rsidRDefault="008802F5" w:rsidP="00E03257">
      <w:pPr>
        <w:pStyle w:val="BodyText"/>
        <w:rPr>
          <w:sz w:val="22"/>
          <w:szCs w:val="22"/>
        </w:rPr>
      </w:pPr>
    </w:p>
    <w:p w14:paraId="79479E4C" w14:textId="77777777" w:rsidR="008802F5" w:rsidRPr="00DE5E79" w:rsidRDefault="008802F5" w:rsidP="00E03257">
      <w:pPr>
        <w:pStyle w:val="BodyText"/>
        <w:rPr>
          <w:sz w:val="22"/>
          <w:szCs w:val="22"/>
        </w:rPr>
      </w:pPr>
    </w:p>
    <w:p w14:paraId="4B90B1AF" w14:textId="77777777" w:rsidR="008802F5" w:rsidRPr="00DE5E79" w:rsidRDefault="008802F5" w:rsidP="00E03257">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t>Peter H. Doyle</w:t>
      </w:r>
    </w:p>
    <w:p w14:paraId="08FD6BF5" w14:textId="77777777" w:rsidR="008802F5" w:rsidRPr="00DE5E79" w:rsidRDefault="008802F5" w:rsidP="00E03257">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t>Chief, Audio Division</w:t>
      </w:r>
    </w:p>
    <w:p w14:paraId="17FF19F0" w14:textId="2BDDEEAF" w:rsidR="00E47C02" w:rsidRPr="008802F5" w:rsidRDefault="008802F5" w:rsidP="00581E66">
      <w:pPr>
        <w:widowControl/>
        <w:ind w:left="2160" w:firstLine="720"/>
      </w:pPr>
      <w:r w:rsidRPr="00DE5E79">
        <w:rPr>
          <w:sz w:val="22"/>
          <w:szCs w:val="22"/>
        </w:rPr>
        <w:tab/>
      </w:r>
      <w:r w:rsidRPr="00DE5E79">
        <w:rPr>
          <w:sz w:val="22"/>
          <w:szCs w:val="22"/>
        </w:rPr>
        <w:tab/>
      </w:r>
      <w:r w:rsidRPr="00DE5E79">
        <w:rPr>
          <w:sz w:val="22"/>
          <w:szCs w:val="22"/>
        </w:rPr>
        <w:tab/>
        <w:t>Media Bureau</w:t>
      </w:r>
    </w:p>
    <w:sectPr w:rsidR="00E47C02" w:rsidRPr="008802F5" w:rsidSect="00BF6E5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5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F54C8" w14:textId="77777777" w:rsidR="0051435A" w:rsidRDefault="0051435A" w:rsidP="00DE5E79">
      <w:r>
        <w:separator/>
      </w:r>
    </w:p>
  </w:endnote>
  <w:endnote w:type="continuationSeparator" w:id="0">
    <w:p w14:paraId="00FF87AA" w14:textId="77777777" w:rsidR="0051435A" w:rsidRDefault="0051435A" w:rsidP="00DE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33051" w14:textId="77777777" w:rsidR="00BF6E58" w:rsidRDefault="0092040F"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316A0B" w14:textId="77777777" w:rsidR="00BF6E58" w:rsidRDefault="009A7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6C1F7" w14:textId="77777777" w:rsidR="00BF6E58" w:rsidRDefault="0092040F"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EFB">
      <w:rPr>
        <w:rStyle w:val="PageNumber"/>
        <w:noProof/>
      </w:rPr>
      <w:t>2</w:t>
    </w:r>
    <w:r>
      <w:rPr>
        <w:rStyle w:val="PageNumber"/>
      </w:rPr>
      <w:fldChar w:fldCharType="end"/>
    </w:r>
  </w:p>
  <w:p w14:paraId="03BC055D" w14:textId="77777777" w:rsidR="00BF6E58" w:rsidRDefault="009A7EFB">
    <w:pPr>
      <w:spacing w:before="140" w:line="100" w:lineRule="exact"/>
      <w:rPr>
        <w:sz w:val="10"/>
      </w:rPr>
    </w:pPr>
  </w:p>
  <w:p w14:paraId="5F267216" w14:textId="77777777" w:rsidR="00BF6E58" w:rsidRDefault="009A7EFB">
    <w:pPr>
      <w:suppressAutoHyphens/>
      <w:spacing w:line="227" w:lineRule="auto"/>
      <w:jc w:val="both"/>
    </w:pPr>
  </w:p>
  <w:p w14:paraId="60F3A3C3" w14:textId="77777777" w:rsidR="00BF6E58" w:rsidRDefault="009A7E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D4487" w14:textId="77777777" w:rsidR="00424A75" w:rsidRDefault="00424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A1C30" w14:textId="77777777" w:rsidR="0051435A" w:rsidRDefault="0051435A" w:rsidP="00DE5E79">
      <w:r>
        <w:separator/>
      </w:r>
    </w:p>
  </w:footnote>
  <w:footnote w:type="continuationSeparator" w:id="0">
    <w:p w14:paraId="13468E5C" w14:textId="77777777" w:rsidR="0051435A" w:rsidRDefault="0051435A" w:rsidP="00DE5E79">
      <w:r>
        <w:continuationSeparator/>
      </w:r>
    </w:p>
  </w:footnote>
  <w:footnote w:id="1">
    <w:p w14:paraId="57792F5F" w14:textId="77777777" w:rsidR="008802F5" w:rsidRPr="00783E8F" w:rsidRDefault="008802F5" w:rsidP="008802F5">
      <w:pPr>
        <w:pStyle w:val="FootnoteText"/>
      </w:pPr>
      <w:r w:rsidRPr="00783E8F">
        <w:rPr>
          <w:rStyle w:val="FootnoteReference"/>
        </w:rPr>
        <w:footnoteRef/>
      </w:r>
      <w:r w:rsidRPr="00783E8F">
        <w:t xml:space="preserve"> Calvary Chapel filed an Opposition to th</w:t>
      </w:r>
      <w:r>
        <w:t xml:space="preserve">e Petition on August 12, 2016. </w:t>
      </w:r>
    </w:p>
  </w:footnote>
  <w:footnote w:id="2">
    <w:p w14:paraId="5F1B4573" w14:textId="08C5B5B9" w:rsidR="008802F5" w:rsidRPr="000D3CF9" w:rsidRDefault="008802F5" w:rsidP="008802F5">
      <w:pPr>
        <w:pStyle w:val="FootnoteText"/>
      </w:pPr>
      <w:r>
        <w:rPr>
          <w:rStyle w:val="FootnoteReference"/>
        </w:rPr>
        <w:footnoteRef/>
      </w:r>
      <w:r>
        <w:t xml:space="preserve"> File No. BNPL-20131113BFV</w:t>
      </w:r>
      <w:r w:rsidR="00713743">
        <w:t xml:space="preserve"> (2013 Modification Application)</w:t>
      </w:r>
      <w:r w:rsidR="000D3CF9">
        <w:t xml:space="preserve">.  </w:t>
      </w:r>
      <w:r w:rsidR="000D3CF9">
        <w:rPr>
          <w:i/>
        </w:rPr>
        <w:t>See Broadcast Actions</w:t>
      </w:r>
      <w:r w:rsidR="000D3CF9">
        <w:t xml:space="preserve">, Public Notice, Report No. </w:t>
      </w:r>
      <w:r w:rsidR="000D3CF9" w:rsidRPr="00B33150">
        <w:t>48388 (MB Dec. 17, 2014).</w:t>
      </w:r>
    </w:p>
  </w:footnote>
  <w:footnote w:id="3">
    <w:p w14:paraId="34FA938A" w14:textId="23D93CE5" w:rsidR="008802F5" w:rsidRPr="00EC2F41" w:rsidRDefault="008802F5" w:rsidP="008802F5">
      <w:pPr>
        <w:pStyle w:val="FootnoteText"/>
      </w:pPr>
      <w:r>
        <w:rPr>
          <w:rStyle w:val="FootnoteReference"/>
        </w:rPr>
        <w:footnoteRef/>
      </w:r>
      <w:r>
        <w:t xml:space="preserve"> </w:t>
      </w:r>
      <w:r>
        <w:rPr>
          <w:i/>
        </w:rPr>
        <w:t>See</w:t>
      </w:r>
      <w:r>
        <w:t xml:space="preserve"> File No. BMPL-20150619AAB</w:t>
      </w:r>
      <w:r w:rsidR="00713743">
        <w:t xml:space="preserve"> (2015 Modification Application)</w:t>
      </w:r>
      <w:r>
        <w:t>.</w:t>
      </w:r>
    </w:p>
  </w:footnote>
  <w:footnote w:id="4">
    <w:p w14:paraId="0BFAD666" w14:textId="782C4704" w:rsidR="008802F5" w:rsidRPr="009B4D1D" w:rsidRDefault="008802F5" w:rsidP="008802F5">
      <w:pPr>
        <w:pStyle w:val="FootnoteText"/>
      </w:pPr>
      <w:r>
        <w:rPr>
          <w:rStyle w:val="FootnoteReference"/>
        </w:rPr>
        <w:footnoteRef/>
      </w:r>
      <w:r>
        <w:t xml:space="preserve"> </w:t>
      </w:r>
      <w:r>
        <w:rPr>
          <w:i/>
        </w:rPr>
        <w:t>Broadcast Actions</w:t>
      </w:r>
      <w:r>
        <w:t>, Public Notice, Report No. 4824 (MB June 30, 2015)</w:t>
      </w:r>
      <w:r w:rsidR="00B23545">
        <w:t>.</w:t>
      </w:r>
    </w:p>
  </w:footnote>
  <w:footnote w:id="5">
    <w:p w14:paraId="30FFC28D" w14:textId="77777777" w:rsidR="008802F5" w:rsidRPr="00D75FA0" w:rsidRDefault="008802F5" w:rsidP="008802F5">
      <w:pPr>
        <w:pStyle w:val="FootnoteText"/>
      </w:pPr>
      <w:r w:rsidRPr="00D75FA0">
        <w:rPr>
          <w:rStyle w:val="FootnoteReference"/>
        </w:rPr>
        <w:footnoteRef/>
      </w:r>
      <w:r w:rsidRPr="00D75FA0">
        <w:t xml:space="preserve"> </w:t>
      </w:r>
      <w:r w:rsidRPr="00D75FA0">
        <w:rPr>
          <w:i/>
        </w:rPr>
        <w:t xml:space="preserve">See </w:t>
      </w:r>
      <w:r w:rsidRPr="00D75FA0">
        <w:t xml:space="preserve">File No. BLL-20160617AAJ. </w:t>
      </w:r>
    </w:p>
  </w:footnote>
  <w:footnote w:id="6">
    <w:p w14:paraId="5ED7573D" w14:textId="48814E70" w:rsidR="008802F5" w:rsidRPr="005A5727" w:rsidRDefault="008802F5" w:rsidP="008802F5">
      <w:pPr>
        <w:pStyle w:val="FootnoteText"/>
      </w:pPr>
      <w:r w:rsidRPr="00D75FA0">
        <w:rPr>
          <w:rStyle w:val="FootnoteReference"/>
        </w:rPr>
        <w:footnoteRef/>
      </w:r>
      <w:r w:rsidRPr="00D75FA0">
        <w:t xml:space="preserve"> </w:t>
      </w:r>
      <w:r w:rsidRPr="005A5727">
        <w:rPr>
          <w:i/>
        </w:rPr>
        <w:t>Broadcast Actions</w:t>
      </w:r>
      <w:r w:rsidRPr="005A5727">
        <w:t>, Public Notice, Report No. 48762 (June 2</w:t>
      </w:r>
      <w:r w:rsidR="000810EA" w:rsidRPr="005A5727">
        <w:t>3</w:t>
      </w:r>
      <w:r w:rsidRPr="005A5727">
        <w:t xml:space="preserve">, 2016). </w:t>
      </w:r>
      <w:r w:rsidR="003273ED">
        <w:t xml:space="preserve"> </w:t>
      </w:r>
      <w:r w:rsidR="005A5727" w:rsidRPr="006A1202">
        <w:t xml:space="preserve">Calvary Chapel </w:t>
      </w:r>
      <w:r w:rsidR="0015583C">
        <w:t>subsequently</w:t>
      </w:r>
      <w:r w:rsidR="005A5727" w:rsidRPr="006A1202">
        <w:t xml:space="preserve"> filed an application to modify the Station’s then licensed facilities,</w:t>
      </w:r>
      <w:r w:rsidR="000E7714">
        <w:t xml:space="preserve"> correcting</w:t>
      </w:r>
      <w:r w:rsidR="000E7714" w:rsidRPr="000E7714">
        <w:t xml:space="preserve"> </w:t>
      </w:r>
      <w:r w:rsidR="000E7714" w:rsidRPr="005A5727">
        <w:t xml:space="preserve">the </w:t>
      </w:r>
      <w:r w:rsidR="000E7714">
        <w:t xml:space="preserve">Station’s </w:t>
      </w:r>
      <w:r w:rsidR="000E7714" w:rsidRPr="005A5727">
        <w:t>coordinates after the antenna site location was remeasured</w:t>
      </w:r>
      <w:r w:rsidR="000E7714">
        <w:t>,</w:t>
      </w:r>
      <w:r w:rsidR="005A5727" w:rsidRPr="006A1202">
        <w:t xml:space="preserve"> and a further covering lice</w:t>
      </w:r>
      <w:r w:rsidR="000E7714" w:rsidRPr="000E7714">
        <w:t xml:space="preserve">nse application.  </w:t>
      </w:r>
      <w:r w:rsidR="005A5727" w:rsidRPr="006A1202">
        <w:rPr>
          <w:i/>
        </w:rPr>
        <w:t xml:space="preserve">See </w:t>
      </w:r>
      <w:r w:rsidR="005A5727" w:rsidRPr="006A1202">
        <w:t>File Nos. BPL-20160803AAL, BLL-20160805AAS</w:t>
      </w:r>
      <w:r w:rsidR="005A5727" w:rsidRPr="005A5727">
        <w:t>.</w:t>
      </w:r>
      <w:r w:rsidR="005A5727">
        <w:t xml:space="preserve"> </w:t>
      </w:r>
      <w:r w:rsidR="000E7714">
        <w:t xml:space="preserve"> The Bureau granted these uncontested applications on August 4, 2016, and August 8, 2016, respectively. </w:t>
      </w:r>
      <w:r w:rsidR="005A5727">
        <w:t xml:space="preserve"> </w:t>
      </w:r>
    </w:p>
  </w:footnote>
  <w:footnote w:id="7">
    <w:p w14:paraId="1F625437" w14:textId="5233B7E2" w:rsidR="008802F5" w:rsidRPr="00D75FA0" w:rsidRDefault="008802F5" w:rsidP="008802F5">
      <w:pPr>
        <w:pStyle w:val="FootnoteText"/>
      </w:pPr>
      <w:r w:rsidRPr="00D75FA0">
        <w:rPr>
          <w:rStyle w:val="FootnoteReference"/>
        </w:rPr>
        <w:footnoteRef/>
      </w:r>
      <w:r w:rsidRPr="00D75FA0">
        <w:t xml:space="preserve"> </w:t>
      </w:r>
      <w:r w:rsidRPr="00D75FA0">
        <w:rPr>
          <w:i/>
        </w:rPr>
        <w:t>See</w:t>
      </w:r>
      <w:r w:rsidRPr="00D75FA0">
        <w:t xml:space="preserve"> Opposition at </w:t>
      </w:r>
      <w:r w:rsidR="00713743">
        <w:t>1-</w:t>
      </w:r>
      <w:r w:rsidRPr="00D75FA0">
        <w:t xml:space="preserve">2.  </w:t>
      </w:r>
    </w:p>
  </w:footnote>
  <w:footnote w:id="8">
    <w:p w14:paraId="1A457BE7" w14:textId="77777777" w:rsidR="008802F5" w:rsidRPr="00D75FA0" w:rsidRDefault="008802F5" w:rsidP="008802F5">
      <w:pPr>
        <w:pStyle w:val="FootnoteText"/>
      </w:pPr>
      <w:r w:rsidRPr="00D75FA0">
        <w:rPr>
          <w:rStyle w:val="FootnoteReference"/>
        </w:rPr>
        <w:footnoteRef/>
      </w:r>
      <w:r w:rsidRPr="00D75FA0">
        <w:t xml:space="preserve"> </w:t>
      </w:r>
      <w:r w:rsidRPr="00D75FA0">
        <w:rPr>
          <w:i/>
        </w:rPr>
        <w:t>Id</w:t>
      </w:r>
      <w:r w:rsidRPr="00D75FA0">
        <w:t xml:space="preserve">. </w:t>
      </w:r>
    </w:p>
  </w:footnote>
  <w:footnote w:id="9">
    <w:p w14:paraId="76AF100D" w14:textId="77777777" w:rsidR="008802F5" w:rsidRPr="00D75FA0" w:rsidRDefault="008802F5" w:rsidP="008802F5">
      <w:pPr>
        <w:pStyle w:val="FootnoteText"/>
      </w:pPr>
      <w:r w:rsidRPr="00D75FA0">
        <w:rPr>
          <w:rStyle w:val="FootnoteReference"/>
        </w:rPr>
        <w:footnoteRef/>
      </w:r>
      <w:r w:rsidRPr="00D75FA0">
        <w:t xml:space="preserve"> </w:t>
      </w:r>
      <w:r w:rsidRPr="00D75FA0">
        <w:rPr>
          <w:i/>
        </w:rPr>
        <w:t>Id.</w:t>
      </w:r>
    </w:p>
  </w:footnote>
  <w:footnote w:id="10">
    <w:p w14:paraId="3507B956" w14:textId="6617EDD2" w:rsidR="008802F5" w:rsidRPr="00D75FA0" w:rsidRDefault="008802F5" w:rsidP="008802F5">
      <w:pPr>
        <w:pStyle w:val="FootnoteText"/>
      </w:pPr>
      <w:r w:rsidRPr="00D75FA0">
        <w:rPr>
          <w:rStyle w:val="FootnoteReference"/>
        </w:rPr>
        <w:footnoteRef/>
      </w:r>
      <w:r w:rsidRPr="00D75FA0">
        <w:t xml:space="preserve"> </w:t>
      </w:r>
      <w:r w:rsidR="007F7126">
        <w:rPr>
          <w:i/>
        </w:rPr>
        <w:t xml:space="preserve">Id. </w:t>
      </w:r>
      <w:r w:rsidR="007F7126">
        <w:t xml:space="preserve">at </w:t>
      </w:r>
      <w:r w:rsidR="005443FE">
        <w:t>3</w:t>
      </w:r>
      <w:r w:rsidR="007F7126">
        <w:t xml:space="preserve">, citing </w:t>
      </w:r>
      <w:r w:rsidRPr="00D75FA0">
        <w:t xml:space="preserve">47 CFR § 73.807. </w:t>
      </w:r>
    </w:p>
  </w:footnote>
  <w:footnote w:id="11">
    <w:p w14:paraId="045DE067" w14:textId="77777777" w:rsidR="008802F5" w:rsidRPr="00D75FA0" w:rsidRDefault="008802F5" w:rsidP="008802F5">
      <w:pPr>
        <w:pStyle w:val="FootnoteText"/>
      </w:pPr>
      <w:r w:rsidRPr="00D75FA0">
        <w:rPr>
          <w:rStyle w:val="FootnoteReference"/>
        </w:rPr>
        <w:footnoteRef/>
      </w:r>
      <w:r w:rsidRPr="00D75FA0">
        <w:t xml:space="preserve"> </w:t>
      </w:r>
      <w:r w:rsidRPr="00D75FA0">
        <w:rPr>
          <w:i/>
        </w:rPr>
        <w:t xml:space="preserve">See </w:t>
      </w:r>
      <w:r w:rsidRPr="00D75FA0">
        <w:t>47 CFR § 1.106</w:t>
      </w:r>
      <w:r>
        <w:t>(c)</w:t>
      </w:r>
      <w:r w:rsidRPr="00D75FA0">
        <w:t>.</w:t>
      </w:r>
    </w:p>
  </w:footnote>
  <w:footnote w:id="12">
    <w:p w14:paraId="20767FD3" w14:textId="2D4BB870" w:rsidR="008802F5" w:rsidRPr="00623AD2" w:rsidRDefault="008802F5" w:rsidP="008802F5">
      <w:pPr>
        <w:pStyle w:val="FootnoteText"/>
        <w:rPr>
          <w:i/>
        </w:rPr>
      </w:pPr>
      <w:r w:rsidRPr="00E71B80">
        <w:rPr>
          <w:rStyle w:val="FootnoteReference"/>
        </w:rPr>
        <w:footnoteRef/>
      </w:r>
      <w:r w:rsidRPr="00E71B80">
        <w:t xml:space="preserve"> </w:t>
      </w:r>
      <w:r w:rsidR="0076327B">
        <w:rPr>
          <w:i/>
        </w:rPr>
        <w:t xml:space="preserve">Id. </w:t>
      </w:r>
      <w:r w:rsidRPr="00E71B80">
        <w:t>§1.106(e) (emphasis added).</w:t>
      </w:r>
      <w:r w:rsidR="009D5379">
        <w:t xml:space="preserve">  </w:t>
      </w:r>
      <w:r w:rsidR="009D5379">
        <w:rPr>
          <w:i/>
        </w:rPr>
        <w:t xml:space="preserve">See also </w:t>
      </w:r>
      <w:r w:rsidR="009D5379" w:rsidRPr="00B75E16">
        <w:rPr>
          <w:i/>
        </w:rPr>
        <w:t>C.L</w:t>
      </w:r>
      <w:r w:rsidR="009D5379">
        <w:rPr>
          <w:i/>
        </w:rPr>
        <w:t>.</w:t>
      </w:r>
      <w:r w:rsidR="009D5379" w:rsidRPr="00B75E16">
        <w:rPr>
          <w:i/>
        </w:rPr>
        <w:t xml:space="preserve"> Tadlock</w:t>
      </w:r>
      <w:r w:rsidR="009D5379">
        <w:t>, Memorandum Opinion and Order, 8 F</w:t>
      </w:r>
      <w:r w:rsidR="00734106">
        <w:t>.</w:t>
      </w:r>
      <w:r w:rsidR="009D5379">
        <w:t>C</w:t>
      </w:r>
      <w:r w:rsidR="00734106">
        <w:t>.</w:t>
      </w:r>
      <w:r w:rsidR="009D5379">
        <w:t>C.</w:t>
      </w:r>
      <w:r w:rsidR="00734106">
        <w:t xml:space="preserve"> </w:t>
      </w:r>
      <w:r w:rsidR="009D5379" w:rsidRPr="00E71B80">
        <w:t xml:space="preserve">2d </w:t>
      </w:r>
      <w:r w:rsidR="009D5379">
        <w:t xml:space="preserve">197 </w:t>
      </w:r>
      <w:r w:rsidR="009D5379" w:rsidRPr="00E71B80">
        <w:t>(1967) (</w:t>
      </w:r>
      <w:r w:rsidR="009D5379">
        <w:t xml:space="preserve">finding a petition defective because “[p]aragraph (e) of section 1.106 requires that a </w:t>
      </w:r>
      <w:r w:rsidR="009D5379" w:rsidRPr="00E71B80">
        <w:t>claim of electrical interference in support of a petition for reconsideration be accompanied by an affidavit of a qualified radio engineer showing […] that such interference will be caused to petitioner’s station within its normally protected contour.”).</w:t>
      </w:r>
    </w:p>
  </w:footnote>
  <w:footnote w:id="13">
    <w:p w14:paraId="78ECDBEF" w14:textId="48DD26DD" w:rsidR="00126853" w:rsidRDefault="00126853">
      <w:pPr>
        <w:pStyle w:val="FootnoteText"/>
      </w:pPr>
      <w:r>
        <w:rPr>
          <w:rStyle w:val="FootnoteReference"/>
        </w:rPr>
        <w:footnoteRef/>
      </w:r>
      <w:r>
        <w:t xml:space="preserve"> </w:t>
      </w:r>
      <w:r>
        <w:rPr>
          <w:i/>
        </w:rPr>
        <w:t>Reregulation of Radio and TV Broad.</w:t>
      </w:r>
      <w:r>
        <w:t xml:space="preserve">, Order, 72 F.C.C. 2d </w:t>
      </w:r>
      <w:r w:rsidRPr="00E422A2">
        <w:t>635 (1979).</w:t>
      </w:r>
    </w:p>
  </w:footnote>
  <w:footnote w:id="14">
    <w:p w14:paraId="278131C1" w14:textId="6728DA0E" w:rsidR="005C500F" w:rsidRPr="001C7C5A" w:rsidRDefault="005C500F">
      <w:pPr>
        <w:pStyle w:val="FootnoteText"/>
      </w:pPr>
      <w:r>
        <w:rPr>
          <w:rStyle w:val="FootnoteReference"/>
        </w:rPr>
        <w:footnoteRef/>
      </w:r>
      <w:r>
        <w:t xml:space="preserve"> </w:t>
      </w:r>
      <w:r>
        <w:rPr>
          <w:i/>
        </w:rPr>
        <w:t>See</w:t>
      </w:r>
      <w:r>
        <w:t xml:space="preserve"> </w:t>
      </w:r>
      <w:r w:rsidR="0075350F">
        <w:rPr>
          <w:i/>
        </w:rPr>
        <w:t>Franklin Commc’</w:t>
      </w:r>
      <w:r w:rsidR="006412F2">
        <w:rPr>
          <w:i/>
        </w:rPr>
        <w:t>n Partners</w:t>
      </w:r>
      <w:r w:rsidR="006412F2">
        <w:t xml:space="preserve">, </w:t>
      </w:r>
      <w:r w:rsidR="006412F2">
        <w:rPr>
          <w:i/>
        </w:rPr>
        <w:t>L.P. Assignor</w:t>
      </w:r>
      <w:r w:rsidR="006412F2">
        <w:t xml:space="preserve">, Memorandum Opinion and Order, 8 FCC Rcd 4909, </w:t>
      </w:r>
      <w:r w:rsidR="006412F2" w:rsidRPr="00E422A2">
        <w:t>4911 (</w:t>
      </w:r>
      <w:r w:rsidR="002F089A" w:rsidRPr="00E422A2">
        <w:t>1993) (</w:t>
      </w:r>
      <w:r w:rsidR="006A4F5D" w:rsidRPr="00E422A2">
        <w:t>finding that the</w:t>
      </w:r>
      <w:r w:rsidR="00AD6959" w:rsidRPr="00E422A2">
        <w:t xml:space="preserve"> Commission still intended to evaluate audience share based on “the most recent</w:t>
      </w:r>
      <w:r w:rsidR="00AD6959">
        <w:t xml:space="preserve"> published” survey data, despite the</w:t>
      </w:r>
      <w:r w:rsidR="002F089A">
        <w:t xml:space="preserve"> rule drafting error </w:t>
      </w:r>
      <w:r w:rsidR="00445EAC">
        <w:t xml:space="preserve">omitting this language </w:t>
      </w:r>
      <w:r w:rsidR="00AD6959">
        <w:t xml:space="preserve">when it </w:t>
      </w:r>
      <w:r w:rsidR="005E79E1">
        <w:t xml:space="preserve">moved broadcasting rules to </w:t>
      </w:r>
      <w:r w:rsidR="00AD6959">
        <w:t xml:space="preserve">Part 73). </w:t>
      </w:r>
      <w:r w:rsidR="002F089A">
        <w:t xml:space="preserve">  </w:t>
      </w:r>
    </w:p>
  </w:footnote>
  <w:footnote w:id="15">
    <w:p w14:paraId="6216EFED" w14:textId="26E39EB7" w:rsidR="009D5379" w:rsidRDefault="009D5379">
      <w:pPr>
        <w:pStyle w:val="FootnoteText"/>
      </w:pPr>
      <w:r>
        <w:rPr>
          <w:rStyle w:val="FootnoteReference"/>
        </w:rPr>
        <w:footnoteRef/>
      </w:r>
      <w:r>
        <w:t xml:space="preserve"> </w:t>
      </w:r>
      <w:r w:rsidRPr="00E422A2">
        <w:rPr>
          <w:i/>
        </w:rPr>
        <w:t>See R.L. Mohr d/b/a Radiocall Corp.</w:t>
      </w:r>
      <w:r w:rsidRPr="00E422A2">
        <w:t>, Memorandum Opinion and Order, 85 F.C.C. 2d 596, 612 n.32 (1981) (dismissing</w:t>
      </w:r>
      <w:r>
        <w:t xml:space="preserve"> petition for reconsideration because application failed to include an affidavit by an engineer); </w:t>
      </w:r>
      <w:r>
        <w:rPr>
          <w:i/>
        </w:rPr>
        <w:t xml:space="preserve">see also </w:t>
      </w:r>
      <w:r w:rsidRPr="00E71B80">
        <w:rPr>
          <w:i/>
        </w:rPr>
        <w:t>New NCE-FM, Bishop, California</w:t>
      </w:r>
      <w:r w:rsidRPr="00E71B80">
        <w:t xml:space="preserve">, </w:t>
      </w:r>
      <w:r>
        <w:t xml:space="preserve">Letter Decision, </w:t>
      </w:r>
      <w:r w:rsidRPr="00E71B80">
        <w:t>25 FCC Rcd 4474, 4476 (MB 2010)</w:t>
      </w:r>
      <w:r>
        <w:t xml:space="preserve"> (dismissing petition for reconsideration procedurally defective because it was filed without a qualified radio engineer’s affidavit).</w:t>
      </w:r>
    </w:p>
  </w:footnote>
  <w:footnote w:id="16">
    <w:p w14:paraId="4A186E28" w14:textId="74773397" w:rsidR="008802F5" w:rsidRPr="005443FE" w:rsidRDefault="008802F5" w:rsidP="008802F5">
      <w:pPr>
        <w:pStyle w:val="FootnoteText"/>
      </w:pPr>
      <w:r w:rsidRPr="00E71B80">
        <w:rPr>
          <w:rStyle w:val="FootnoteReference"/>
        </w:rPr>
        <w:footnoteRef/>
      </w:r>
      <w:r w:rsidRPr="00E71B80">
        <w:t xml:space="preserve"> 47 CFR § 73.807, which requires a minimum distance of 24 kilometers for co-channels stations</w:t>
      </w:r>
      <w:r w:rsidRPr="00544008">
        <w:t>.</w:t>
      </w:r>
      <w:r w:rsidR="00544008" w:rsidRPr="00544008">
        <w:t xml:space="preserve">  </w:t>
      </w:r>
      <w:r w:rsidR="00544008" w:rsidRPr="00CB0D61">
        <w:t>KHSH-LP is considered to be fully spaced at 23.7 kilometers.</w:t>
      </w:r>
      <w:r w:rsidR="005443FE">
        <w:t xml:space="preserve">  </w:t>
      </w:r>
      <w:r w:rsidR="005443FE">
        <w:rPr>
          <w:i/>
        </w:rPr>
        <w:t xml:space="preserve">See </w:t>
      </w:r>
      <w:r w:rsidR="005443FE">
        <w:t>47 CFR § 73.208(c)(8) (round</w:t>
      </w:r>
      <w:r w:rsidR="006A1202">
        <w:t>ing</w:t>
      </w:r>
      <w:r w:rsidR="005443FE">
        <w:t xml:space="preserve"> distances to the nearest kilometer).</w:t>
      </w:r>
    </w:p>
  </w:footnote>
  <w:footnote w:id="17">
    <w:p w14:paraId="071CD088" w14:textId="77777777" w:rsidR="008802F5" w:rsidRPr="00E71B80" w:rsidRDefault="008802F5" w:rsidP="008802F5">
      <w:pPr>
        <w:pStyle w:val="FootnoteText"/>
      </w:pPr>
      <w:r w:rsidRPr="00E71B80">
        <w:rPr>
          <w:rStyle w:val="FootnoteReference"/>
        </w:rPr>
        <w:footnoteRef/>
      </w:r>
      <w:r w:rsidRPr="00E71B80">
        <w:t xml:space="preserve"> Petition at 3.  </w:t>
      </w:r>
    </w:p>
  </w:footnote>
  <w:footnote w:id="18">
    <w:p w14:paraId="777897D7" w14:textId="20A76F1D" w:rsidR="008802F5" w:rsidRPr="00E71B80" w:rsidRDefault="008802F5" w:rsidP="008802F5">
      <w:pPr>
        <w:pStyle w:val="FootnoteText"/>
      </w:pPr>
      <w:r w:rsidRPr="00E71B80">
        <w:rPr>
          <w:rStyle w:val="FootnoteReference"/>
        </w:rPr>
        <w:footnoteRef/>
      </w:r>
      <w:r w:rsidRPr="00E71B80">
        <w:t xml:space="preserve"> </w:t>
      </w:r>
      <w:r w:rsidRPr="00CF371B">
        <w:rPr>
          <w:i/>
        </w:rPr>
        <w:t>Creation of Low Power Radio Service</w:t>
      </w:r>
      <w:r w:rsidRPr="00CF371B">
        <w:t>, Report and Order, 15 FCC Rcd 2205</w:t>
      </w:r>
      <w:r w:rsidR="007D4CF9" w:rsidRPr="00CF371B">
        <w:t>,</w:t>
      </w:r>
      <w:r w:rsidRPr="00CF371B">
        <w:t xml:space="preserve"> </w:t>
      </w:r>
      <w:r w:rsidR="00B23545" w:rsidRPr="00CF371B">
        <w:t>2223</w:t>
      </w:r>
      <w:r w:rsidRPr="00CF371B">
        <w:t>-</w:t>
      </w:r>
      <w:r w:rsidR="00B23545" w:rsidRPr="00CF371B">
        <w:t>33</w:t>
      </w:r>
      <w:r w:rsidR="005B5AA5" w:rsidRPr="00CF371B">
        <w:t>,</w:t>
      </w:r>
      <w:r w:rsidRPr="00CF371B">
        <w:t xml:space="preserve"> paras</w:t>
      </w:r>
      <w:r w:rsidR="00EE6C41" w:rsidRPr="00CF371B">
        <w:t>.</w:t>
      </w:r>
      <w:r w:rsidRPr="00CF371B">
        <w:t xml:space="preserve"> </w:t>
      </w:r>
      <w:r w:rsidR="00877E45" w:rsidRPr="00CF371B">
        <w:t xml:space="preserve">2, </w:t>
      </w:r>
      <w:r w:rsidRPr="00CF371B">
        <w:t xml:space="preserve">70-71 (2000). </w:t>
      </w:r>
      <w:r w:rsidR="00DB1DCC" w:rsidRPr="00581E66">
        <w:t xml:space="preserve">In addition to the general minimum distance separations set forth in Sections 73.807(a) and (b), 47 C.F.R. </w:t>
      </w:r>
      <w:r w:rsidR="00CF371B">
        <w:t>§ 73.807(a)</w:t>
      </w:r>
      <w:r w:rsidR="00DB1DCC" w:rsidRPr="00581E66">
        <w:t xml:space="preserve">-(b), three Commission Rules protect listeners from actual interference allegedly caused by an LPFM station otherwise operating in compliance with its authorization: (1) Section 73.807(e)(2), which is limited to cases involving second-adjacent channel stations operating pursuant to waivers of the spacing rules; (2) Section 73.809, which is limited to situations involving full-service FM stations operating on the same or first-adjacent channel; and (3) Section 73.810, which is limited to cases involving third-adjacent channels that do not meet the minimum spacing requirements.  47 C.F.R. §§ 73.807(e)(2), 73.809, 73.810.  These requirements are designed to provide the “same degree of interference protection that full-service stations provide each other.”  </w:t>
      </w:r>
      <w:r w:rsidR="00DB1DCC" w:rsidRPr="00CF371B">
        <w:rPr>
          <w:i/>
        </w:rPr>
        <w:t>Creation of Low Power Radio Service</w:t>
      </w:r>
      <w:r w:rsidR="00DB1DCC" w:rsidRPr="00CF371B">
        <w:t>,</w:t>
      </w:r>
      <w:r w:rsidR="00DB1DCC" w:rsidRPr="00CF371B">
        <w:rPr>
          <w:i/>
        </w:rPr>
        <w:t xml:space="preserve"> </w:t>
      </w:r>
      <w:r w:rsidR="00DB1DCC" w:rsidRPr="00CF371B">
        <w:t xml:space="preserve">15 FCC Rcd at 2231, para. </w:t>
      </w:r>
      <w:r w:rsidR="00DB1DCC" w:rsidRPr="00E71B80">
        <w:t>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4D99" w14:textId="77777777" w:rsidR="00424A75" w:rsidRDefault="00424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1A6AA" w14:textId="77777777" w:rsidR="00BF6E58" w:rsidRDefault="009A7EFB">
    <w:pPr>
      <w:tabs>
        <w:tab w:val="center" w:pos="4680"/>
        <w:tab w:val="right" w:pos="9360"/>
      </w:tabs>
      <w:suppressAutoHyphens/>
      <w:spacing w:line="227" w:lineRule="auto"/>
      <w:jc w:val="both"/>
      <w:rPr>
        <w:rFonts w:ascii="Calisto MT" w:hAnsi="Calisto MT"/>
        <w:spacing w:val="-2"/>
      </w:rPr>
    </w:pPr>
  </w:p>
  <w:p w14:paraId="429380C7" w14:textId="77777777" w:rsidR="00BF6E58" w:rsidRDefault="009A7EFB">
    <w:pPr>
      <w:tabs>
        <w:tab w:val="left" w:pos="-720"/>
      </w:tabs>
      <w:suppressAutoHyphens/>
      <w:spacing w:line="19" w:lineRule="exact"/>
      <w:jc w:val="both"/>
      <w:rPr>
        <w:sz w:val="10"/>
      </w:rPr>
    </w:pPr>
  </w:p>
  <w:p w14:paraId="2FC034E6" w14:textId="77777777" w:rsidR="00BF6E58" w:rsidRDefault="009A7EFB">
    <w:pPr>
      <w:tabs>
        <w:tab w:val="left" w:pos="-720"/>
      </w:tabs>
      <w:suppressAutoHyphens/>
      <w:spacing w:line="19" w:lineRule="exact"/>
      <w:jc w:val="both"/>
      <w:rPr>
        <w:sz w:val="10"/>
      </w:rPr>
    </w:pPr>
  </w:p>
  <w:p w14:paraId="7BBA36E4" w14:textId="77777777" w:rsidR="00BF6E58" w:rsidRDefault="009A7EFB">
    <w:pPr>
      <w:tabs>
        <w:tab w:val="left" w:pos="-720"/>
      </w:tabs>
      <w:suppressAutoHyphens/>
      <w:spacing w:line="19" w:lineRule="exact"/>
      <w:jc w:val="both"/>
      <w:rPr>
        <w:sz w:val="10"/>
      </w:rPr>
    </w:pPr>
  </w:p>
  <w:p w14:paraId="31D8B2C7" w14:textId="77777777" w:rsidR="00BF6E58" w:rsidRDefault="009A7EFB">
    <w:pPr>
      <w:tabs>
        <w:tab w:val="left" w:pos="-720"/>
      </w:tabs>
      <w:suppressAutoHyphens/>
      <w:spacing w:line="19" w:lineRule="exact"/>
      <w:jc w:val="both"/>
      <w:rPr>
        <w:sz w:val="10"/>
      </w:rPr>
    </w:pPr>
  </w:p>
  <w:p w14:paraId="614F5023" w14:textId="77777777" w:rsidR="00BF6E58" w:rsidRDefault="009A7EFB">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5C307" w14:textId="77777777" w:rsidR="00BF6E58" w:rsidRPr="00504897" w:rsidRDefault="009A7EFB">
    <w:pPr>
      <w:pStyle w:val="Heading2"/>
      <w:spacing w:line="240" w:lineRule="auto"/>
      <w:rPr>
        <w:rFonts w:ascii="CG Times" w:hAnsi="CG Times"/>
        <w:b/>
        <w:color w:val="000000"/>
        <w:szCs w:val="24"/>
      </w:rPr>
    </w:pPr>
    <w:r>
      <w:rPr>
        <w:rFonts w:ascii="CG Times" w:hAnsi="CG Times"/>
        <w:b/>
        <w:noProof/>
        <w:snapToGrid/>
        <w:color w:val="000000"/>
        <w:szCs w:val="24"/>
      </w:rPr>
      <w:pict w14:anchorId="449EC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4.8pt;margin-top:2pt;width:69.3pt;height:64.8pt;z-index:251658240;visibility:visible;mso-wrap-edited:f" o:allowincell="f" filled="t" fillcolor="#3cc">
          <v:imagedata r:id="rId1" o:title="" gain="69719f"/>
        </v:shape>
        <o:OLEObject Type="Embed" ProgID="Word.Picture.8" ShapeID="_x0000_s2051" DrawAspect="Content" ObjectID="_1541832078" r:id="rId2"/>
      </w:pict>
    </w:r>
    <w:r w:rsidR="0092040F" w:rsidRPr="00504897">
      <w:rPr>
        <w:rFonts w:ascii="CG Times" w:hAnsi="CG Times"/>
        <w:b/>
        <w:color w:val="000000"/>
        <w:szCs w:val="24"/>
      </w:rPr>
      <w:t>Federal Communications Commission</w:t>
    </w:r>
  </w:p>
  <w:p w14:paraId="7927C8C5" w14:textId="77777777" w:rsidR="00BF6E58" w:rsidRPr="00504897" w:rsidRDefault="0092040F">
    <w:pPr>
      <w:jc w:val="center"/>
      <w:rPr>
        <w:rFonts w:ascii="CG Times" w:hAnsi="CG Times"/>
        <w:b/>
        <w:color w:val="000000"/>
        <w:spacing w:val="-2"/>
        <w:sz w:val="28"/>
      </w:rPr>
    </w:pPr>
    <w:r w:rsidRPr="00504897">
      <w:rPr>
        <w:rFonts w:ascii="CG Times" w:hAnsi="CG Times"/>
        <w:b/>
        <w:color w:val="000000"/>
        <w:spacing w:val="-2"/>
        <w:szCs w:val="24"/>
      </w:rPr>
      <w:t>Washington, D.C. 20554</w:t>
    </w:r>
  </w:p>
  <w:p w14:paraId="7CC67859" w14:textId="0236BAC6" w:rsidR="00BF6E58" w:rsidRDefault="00700952" w:rsidP="00700952">
    <w:pPr>
      <w:jc w:val="center"/>
      <w:rPr>
        <w:spacing w:val="-2"/>
        <w:sz w:val="22"/>
        <w:szCs w:val="22"/>
      </w:rPr>
    </w:pPr>
    <w:r>
      <w:rPr>
        <w:color w:val="000000"/>
        <w:spacing w:val="-2"/>
        <w:sz w:val="22"/>
      </w:rPr>
      <w:t xml:space="preserve">November </w:t>
    </w:r>
    <w:r w:rsidR="006B342E">
      <w:rPr>
        <w:color w:val="000000"/>
        <w:spacing w:val="-2"/>
        <w:sz w:val="22"/>
      </w:rPr>
      <w:t>28</w:t>
    </w:r>
    <w:r>
      <w:rPr>
        <w:color w:val="000000"/>
        <w:spacing w:val="-2"/>
        <w:sz w:val="22"/>
      </w:rPr>
      <w:t>, 2016</w:t>
    </w:r>
  </w:p>
  <w:p w14:paraId="6503DD13" w14:textId="77777777" w:rsidR="00BF6E58" w:rsidRDefault="009A7EF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F62"/>
    <w:multiLevelType w:val="hybridMultilevel"/>
    <w:tmpl w:val="4D7E380A"/>
    <w:lvl w:ilvl="0" w:tplc="020A71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376C2"/>
    <w:multiLevelType w:val="hybridMultilevel"/>
    <w:tmpl w:val="4D6CA96E"/>
    <w:lvl w:ilvl="0" w:tplc="F886B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3">
    <w:nsid w:val="668971C8"/>
    <w:multiLevelType w:val="hybridMultilevel"/>
    <w:tmpl w:val="BD807D2E"/>
    <w:lvl w:ilvl="0" w:tplc="7F7C2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F5"/>
    <w:rsid w:val="00000F5F"/>
    <w:rsid w:val="00003CBA"/>
    <w:rsid w:val="0000758F"/>
    <w:rsid w:val="00012853"/>
    <w:rsid w:val="00015BD9"/>
    <w:rsid w:val="00022013"/>
    <w:rsid w:val="00034D92"/>
    <w:rsid w:val="0004128E"/>
    <w:rsid w:val="00041977"/>
    <w:rsid w:val="00042D42"/>
    <w:rsid w:val="00042E1B"/>
    <w:rsid w:val="00047815"/>
    <w:rsid w:val="00053B86"/>
    <w:rsid w:val="000624CA"/>
    <w:rsid w:val="000666FD"/>
    <w:rsid w:val="00070FCF"/>
    <w:rsid w:val="0008000F"/>
    <w:rsid w:val="000810EA"/>
    <w:rsid w:val="00082358"/>
    <w:rsid w:val="00087CDE"/>
    <w:rsid w:val="00091CF8"/>
    <w:rsid w:val="000A0EEF"/>
    <w:rsid w:val="000A1348"/>
    <w:rsid w:val="000A16CF"/>
    <w:rsid w:val="000A1BB8"/>
    <w:rsid w:val="000B0118"/>
    <w:rsid w:val="000B690E"/>
    <w:rsid w:val="000C17E2"/>
    <w:rsid w:val="000C4D57"/>
    <w:rsid w:val="000C619E"/>
    <w:rsid w:val="000D3CF9"/>
    <w:rsid w:val="000D401B"/>
    <w:rsid w:val="000D4B6C"/>
    <w:rsid w:val="000E4127"/>
    <w:rsid w:val="000E6F11"/>
    <w:rsid w:val="000E7714"/>
    <w:rsid w:val="000E798B"/>
    <w:rsid w:val="000F1FE7"/>
    <w:rsid w:val="000F400A"/>
    <w:rsid w:val="000F53CC"/>
    <w:rsid w:val="000F71B6"/>
    <w:rsid w:val="00101AA7"/>
    <w:rsid w:val="00107965"/>
    <w:rsid w:val="001106E9"/>
    <w:rsid w:val="00121838"/>
    <w:rsid w:val="00124859"/>
    <w:rsid w:val="00126366"/>
    <w:rsid w:val="00126853"/>
    <w:rsid w:val="00130105"/>
    <w:rsid w:val="0013221A"/>
    <w:rsid w:val="001333BF"/>
    <w:rsid w:val="00134547"/>
    <w:rsid w:val="00136843"/>
    <w:rsid w:val="00136D33"/>
    <w:rsid w:val="00137E5E"/>
    <w:rsid w:val="00140611"/>
    <w:rsid w:val="00141557"/>
    <w:rsid w:val="00141F4C"/>
    <w:rsid w:val="00142DE0"/>
    <w:rsid w:val="00143955"/>
    <w:rsid w:val="001538FE"/>
    <w:rsid w:val="001545B9"/>
    <w:rsid w:val="0015583C"/>
    <w:rsid w:val="001565CA"/>
    <w:rsid w:val="0015710F"/>
    <w:rsid w:val="0016055F"/>
    <w:rsid w:val="00162B9C"/>
    <w:rsid w:val="00163DC2"/>
    <w:rsid w:val="001674FC"/>
    <w:rsid w:val="001708D8"/>
    <w:rsid w:val="00173FDE"/>
    <w:rsid w:val="001746A7"/>
    <w:rsid w:val="00174C40"/>
    <w:rsid w:val="0017645C"/>
    <w:rsid w:val="001773E5"/>
    <w:rsid w:val="00180AAE"/>
    <w:rsid w:val="00182F0D"/>
    <w:rsid w:val="00183782"/>
    <w:rsid w:val="001839C6"/>
    <w:rsid w:val="00186C54"/>
    <w:rsid w:val="0019332E"/>
    <w:rsid w:val="001A1612"/>
    <w:rsid w:val="001A4257"/>
    <w:rsid w:val="001B28FC"/>
    <w:rsid w:val="001B47E9"/>
    <w:rsid w:val="001B66EF"/>
    <w:rsid w:val="001C057C"/>
    <w:rsid w:val="001C32DC"/>
    <w:rsid w:val="001C458A"/>
    <w:rsid w:val="001C481D"/>
    <w:rsid w:val="001C655A"/>
    <w:rsid w:val="001C7C5A"/>
    <w:rsid w:val="001D24A8"/>
    <w:rsid w:val="001F319E"/>
    <w:rsid w:val="001F3C59"/>
    <w:rsid w:val="001F4B25"/>
    <w:rsid w:val="001F53F9"/>
    <w:rsid w:val="001F6D38"/>
    <w:rsid w:val="00201064"/>
    <w:rsid w:val="00202D82"/>
    <w:rsid w:val="00206AAD"/>
    <w:rsid w:val="00206D48"/>
    <w:rsid w:val="002073F7"/>
    <w:rsid w:val="0021178D"/>
    <w:rsid w:val="00214561"/>
    <w:rsid w:val="00220F78"/>
    <w:rsid w:val="0022294E"/>
    <w:rsid w:val="00224DD0"/>
    <w:rsid w:val="00231138"/>
    <w:rsid w:val="002411DD"/>
    <w:rsid w:val="00245934"/>
    <w:rsid w:val="0024615B"/>
    <w:rsid w:val="00247119"/>
    <w:rsid w:val="0024766A"/>
    <w:rsid w:val="00254090"/>
    <w:rsid w:val="00255A77"/>
    <w:rsid w:val="00256682"/>
    <w:rsid w:val="00261967"/>
    <w:rsid w:val="00263563"/>
    <w:rsid w:val="00265761"/>
    <w:rsid w:val="00265D4E"/>
    <w:rsid w:val="002677D3"/>
    <w:rsid w:val="0027052E"/>
    <w:rsid w:val="0027253D"/>
    <w:rsid w:val="00272AF0"/>
    <w:rsid w:val="00273504"/>
    <w:rsid w:val="0027481F"/>
    <w:rsid w:val="00282254"/>
    <w:rsid w:val="00285DB8"/>
    <w:rsid w:val="00286436"/>
    <w:rsid w:val="00286D72"/>
    <w:rsid w:val="00294D17"/>
    <w:rsid w:val="002A3A3E"/>
    <w:rsid w:val="002A51D0"/>
    <w:rsid w:val="002A7D51"/>
    <w:rsid w:val="002C4EA7"/>
    <w:rsid w:val="002D3115"/>
    <w:rsid w:val="002D7B4C"/>
    <w:rsid w:val="002D7DDA"/>
    <w:rsid w:val="002E2598"/>
    <w:rsid w:val="002E6F31"/>
    <w:rsid w:val="002E70F4"/>
    <w:rsid w:val="002F089A"/>
    <w:rsid w:val="0030097C"/>
    <w:rsid w:val="0030131C"/>
    <w:rsid w:val="0030162B"/>
    <w:rsid w:val="00302476"/>
    <w:rsid w:val="00302503"/>
    <w:rsid w:val="0030278D"/>
    <w:rsid w:val="003103E2"/>
    <w:rsid w:val="00323E49"/>
    <w:rsid w:val="003273ED"/>
    <w:rsid w:val="00330C08"/>
    <w:rsid w:val="00340958"/>
    <w:rsid w:val="00344CA0"/>
    <w:rsid w:val="00347EE5"/>
    <w:rsid w:val="00357D30"/>
    <w:rsid w:val="00362AB0"/>
    <w:rsid w:val="0037110B"/>
    <w:rsid w:val="0037772A"/>
    <w:rsid w:val="0038699E"/>
    <w:rsid w:val="0038758C"/>
    <w:rsid w:val="00392984"/>
    <w:rsid w:val="003979BE"/>
    <w:rsid w:val="003A6903"/>
    <w:rsid w:val="003B59B8"/>
    <w:rsid w:val="003C6E5D"/>
    <w:rsid w:val="003D1D72"/>
    <w:rsid w:val="003D38F5"/>
    <w:rsid w:val="003D455E"/>
    <w:rsid w:val="003D4953"/>
    <w:rsid w:val="003D6B6F"/>
    <w:rsid w:val="003E0238"/>
    <w:rsid w:val="003E7E49"/>
    <w:rsid w:val="003F0A77"/>
    <w:rsid w:val="003F2285"/>
    <w:rsid w:val="00403536"/>
    <w:rsid w:val="0040489E"/>
    <w:rsid w:val="00404A2A"/>
    <w:rsid w:val="00411D1B"/>
    <w:rsid w:val="004127E5"/>
    <w:rsid w:val="004134DE"/>
    <w:rsid w:val="00414BF1"/>
    <w:rsid w:val="004152ED"/>
    <w:rsid w:val="00422CE3"/>
    <w:rsid w:val="00424A75"/>
    <w:rsid w:val="00436669"/>
    <w:rsid w:val="00436FDA"/>
    <w:rsid w:val="0044495C"/>
    <w:rsid w:val="00445EAC"/>
    <w:rsid w:val="0045079A"/>
    <w:rsid w:val="00461D4A"/>
    <w:rsid w:val="00463B43"/>
    <w:rsid w:val="00465902"/>
    <w:rsid w:val="004728F3"/>
    <w:rsid w:val="00476BB2"/>
    <w:rsid w:val="00481AC5"/>
    <w:rsid w:val="00493725"/>
    <w:rsid w:val="00494216"/>
    <w:rsid w:val="004977F9"/>
    <w:rsid w:val="004A7EE0"/>
    <w:rsid w:val="004B00BF"/>
    <w:rsid w:val="004B0291"/>
    <w:rsid w:val="004B3D55"/>
    <w:rsid w:val="004B63D4"/>
    <w:rsid w:val="004C4D7F"/>
    <w:rsid w:val="004D026A"/>
    <w:rsid w:val="004D1E20"/>
    <w:rsid w:val="004D280C"/>
    <w:rsid w:val="004D3D01"/>
    <w:rsid w:val="004D3FBF"/>
    <w:rsid w:val="004D511C"/>
    <w:rsid w:val="004D6759"/>
    <w:rsid w:val="004E13A9"/>
    <w:rsid w:val="004E3710"/>
    <w:rsid w:val="004F43CE"/>
    <w:rsid w:val="00504897"/>
    <w:rsid w:val="00512E81"/>
    <w:rsid w:val="0051435A"/>
    <w:rsid w:val="00526333"/>
    <w:rsid w:val="00526D71"/>
    <w:rsid w:val="00527768"/>
    <w:rsid w:val="00531B09"/>
    <w:rsid w:val="00536B6B"/>
    <w:rsid w:val="00542C49"/>
    <w:rsid w:val="00544008"/>
    <w:rsid w:val="00544166"/>
    <w:rsid w:val="005443FE"/>
    <w:rsid w:val="0054492F"/>
    <w:rsid w:val="00544B21"/>
    <w:rsid w:val="005459F8"/>
    <w:rsid w:val="00546FFA"/>
    <w:rsid w:val="00556A2B"/>
    <w:rsid w:val="00557BAD"/>
    <w:rsid w:val="0056590D"/>
    <w:rsid w:val="005745EF"/>
    <w:rsid w:val="00581E66"/>
    <w:rsid w:val="005834B6"/>
    <w:rsid w:val="00585302"/>
    <w:rsid w:val="005937D7"/>
    <w:rsid w:val="00596F4B"/>
    <w:rsid w:val="005A1CF0"/>
    <w:rsid w:val="005A3A94"/>
    <w:rsid w:val="005A5727"/>
    <w:rsid w:val="005B189C"/>
    <w:rsid w:val="005B5AA5"/>
    <w:rsid w:val="005C0B83"/>
    <w:rsid w:val="005C2D6E"/>
    <w:rsid w:val="005C500F"/>
    <w:rsid w:val="005C6A7C"/>
    <w:rsid w:val="005D407D"/>
    <w:rsid w:val="005E5359"/>
    <w:rsid w:val="005E79E1"/>
    <w:rsid w:val="005F3A37"/>
    <w:rsid w:val="005F5198"/>
    <w:rsid w:val="005F581E"/>
    <w:rsid w:val="005F6B6F"/>
    <w:rsid w:val="00600764"/>
    <w:rsid w:val="0060135A"/>
    <w:rsid w:val="00602923"/>
    <w:rsid w:val="00605D6B"/>
    <w:rsid w:val="00613658"/>
    <w:rsid w:val="00623AD2"/>
    <w:rsid w:val="00627072"/>
    <w:rsid w:val="0063006B"/>
    <w:rsid w:val="00631A89"/>
    <w:rsid w:val="006412F2"/>
    <w:rsid w:val="00653B2E"/>
    <w:rsid w:val="00656B66"/>
    <w:rsid w:val="00662424"/>
    <w:rsid w:val="00663B4D"/>
    <w:rsid w:val="00664B48"/>
    <w:rsid w:val="00666CE1"/>
    <w:rsid w:val="00667DA3"/>
    <w:rsid w:val="00675837"/>
    <w:rsid w:val="00682E31"/>
    <w:rsid w:val="00684012"/>
    <w:rsid w:val="00687E44"/>
    <w:rsid w:val="00691010"/>
    <w:rsid w:val="006A1202"/>
    <w:rsid w:val="006A143E"/>
    <w:rsid w:val="006A3E62"/>
    <w:rsid w:val="006A4F5D"/>
    <w:rsid w:val="006B26A7"/>
    <w:rsid w:val="006B342E"/>
    <w:rsid w:val="006B7804"/>
    <w:rsid w:val="006C1725"/>
    <w:rsid w:val="006C4231"/>
    <w:rsid w:val="006C4A14"/>
    <w:rsid w:val="006C6791"/>
    <w:rsid w:val="006D085C"/>
    <w:rsid w:val="006E128B"/>
    <w:rsid w:val="006E3675"/>
    <w:rsid w:val="006E3AF1"/>
    <w:rsid w:val="006E46F6"/>
    <w:rsid w:val="006F259A"/>
    <w:rsid w:val="00700952"/>
    <w:rsid w:val="00713743"/>
    <w:rsid w:val="007257A6"/>
    <w:rsid w:val="00733D52"/>
    <w:rsid w:val="00734106"/>
    <w:rsid w:val="007378CF"/>
    <w:rsid w:val="00740E18"/>
    <w:rsid w:val="007414E0"/>
    <w:rsid w:val="00742038"/>
    <w:rsid w:val="00744739"/>
    <w:rsid w:val="00746101"/>
    <w:rsid w:val="00752679"/>
    <w:rsid w:val="0075350F"/>
    <w:rsid w:val="0075508F"/>
    <w:rsid w:val="00756F39"/>
    <w:rsid w:val="00762D7C"/>
    <w:rsid w:val="0076327B"/>
    <w:rsid w:val="00763AFB"/>
    <w:rsid w:val="00763B66"/>
    <w:rsid w:val="00771A46"/>
    <w:rsid w:val="0077599A"/>
    <w:rsid w:val="00776968"/>
    <w:rsid w:val="007828C8"/>
    <w:rsid w:val="00782DFF"/>
    <w:rsid w:val="00785359"/>
    <w:rsid w:val="00793F60"/>
    <w:rsid w:val="007971DC"/>
    <w:rsid w:val="007A07C9"/>
    <w:rsid w:val="007A3A93"/>
    <w:rsid w:val="007A5F15"/>
    <w:rsid w:val="007B0610"/>
    <w:rsid w:val="007B44A2"/>
    <w:rsid w:val="007C2C8D"/>
    <w:rsid w:val="007C2FFE"/>
    <w:rsid w:val="007C4294"/>
    <w:rsid w:val="007C79FB"/>
    <w:rsid w:val="007C7FE1"/>
    <w:rsid w:val="007D188F"/>
    <w:rsid w:val="007D4CF9"/>
    <w:rsid w:val="007D4EB1"/>
    <w:rsid w:val="007E01BB"/>
    <w:rsid w:val="007E57FE"/>
    <w:rsid w:val="007F2959"/>
    <w:rsid w:val="007F7126"/>
    <w:rsid w:val="007F7EC1"/>
    <w:rsid w:val="0080577C"/>
    <w:rsid w:val="00806E9C"/>
    <w:rsid w:val="00810780"/>
    <w:rsid w:val="008107D4"/>
    <w:rsid w:val="00811565"/>
    <w:rsid w:val="00812A68"/>
    <w:rsid w:val="00816977"/>
    <w:rsid w:val="00817999"/>
    <w:rsid w:val="008241A7"/>
    <w:rsid w:val="00826CB1"/>
    <w:rsid w:val="008301F7"/>
    <w:rsid w:val="00830993"/>
    <w:rsid w:val="0083143B"/>
    <w:rsid w:val="00831CFE"/>
    <w:rsid w:val="00842060"/>
    <w:rsid w:val="0085133B"/>
    <w:rsid w:val="0086296F"/>
    <w:rsid w:val="008751C6"/>
    <w:rsid w:val="00877D93"/>
    <w:rsid w:val="00877E45"/>
    <w:rsid w:val="008802F5"/>
    <w:rsid w:val="00887496"/>
    <w:rsid w:val="00892F27"/>
    <w:rsid w:val="008A0F7C"/>
    <w:rsid w:val="008A2A90"/>
    <w:rsid w:val="008A3DAC"/>
    <w:rsid w:val="008B018C"/>
    <w:rsid w:val="008B132D"/>
    <w:rsid w:val="008C1026"/>
    <w:rsid w:val="008C2CC0"/>
    <w:rsid w:val="008C39CC"/>
    <w:rsid w:val="008C73F6"/>
    <w:rsid w:val="008D2845"/>
    <w:rsid w:val="008D6903"/>
    <w:rsid w:val="008E08F9"/>
    <w:rsid w:val="008E2529"/>
    <w:rsid w:val="008E4553"/>
    <w:rsid w:val="008E477B"/>
    <w:rsid w:val="008E4F70"/>
    <w:rsid w:val="008E735F"/>
    <w:rsid w:val="008F124A"/>
    <w:rsid w:val="00910FAA"/>
    <w:rsid w:val="0092040F"/>
    <w:rsid w:val="009232E8"/>
    <w:rsid w:val="009250D8"/>
    <w:rsid w:val="0092591D"/>
    <w:rsid w:val="009357A4"/>
    <w:rsid w:val="00940421"/>
    <w:rsid w:val="00941830"/>
    <w:rsid w:val="00943117"/>
    <w:rsid w:val="00952364"/>
    <w:rsid w:val="00956255"/>
    <w:rsid w:val="00957D4A"/>
    <w:rsid w:val="0096145A"/>
    <w:rsid w:val="00962D32"/>
    <w:rsid w:val="00972258"/>
    <w:rsid w:val="00974C3C"/>
    <w:rsid w:val="009774D0"/>
    <w:rsid w:val="00977F6F"/>
    <w:rsid w:val="00983FB7"/>
    <w:rsid w:val="009841C8"/>
    <w:rsid w:val="009939E8"/>
    <w:rsid w:val="00995D89"/>
    <w:rsid w:val="00997DEA"/>
    <w:rsid w:val="009A7EFB"/>
    <w:rsid w:val="009B7C4A"/>
    <w:rsid w:val="009C03F3"/>
    <w:rsid w:val="009C4A06"/>
    <w:rsid w:val="009D0FE8"/>
    <w:rsid w:val="009D4F17"/>
    <w:rsid w:val="009D5379"/>
    <w:rsid w:val="009D6D00"/>
    <w:rsid w:val="009D7B1A"/>
    <w:rsid w:val="009E01A4"/>
    <w:rsid w:val="009E4CBB"/>
    <w:rsid w:val="009E50F4"/>
    <w:rsid w:val="009E75F2"/>
    <w:rsid w:val="009E7C1A"/>
    <w:rsid w:val="009F097A"/>
    <w:rsid w:val="009F53F8"/>
    <w:rsid w:val="00A00449"/>
    <w:rsid w:val="00A027DB"/>
    <w:rsid w:val="00A04AC0"/>
    <w:rsid w:val="00A164D6"/>
    <w:rsid w:val="00A25268"/>
    <w:rsid w:val="00A25BA9"/>
    <w:rsid w:val="00A26A72"/>
    <w:rsid w:val="00A26E0B"/>
    <w:rsid w:val="00A34539"/>
    <w:rsid w:val="00A416AB"/>
    <w:rsid w:val="00A4415F"/>
    <w:rsid w:val="00A47B6D"/>
    <w:rsid w:val="00A53E1D"/>
    <w:rsid w:val="00A55D3A"/>
    <w:rsid w:val="00A632C0"/>
    <w:rsid w:val="00A65E0B"/>
    <w:rsid w:val="00A7439D"/>
    <w:rsid w:val="00A82A67"/>
    <w:rsid w:val="00A84C5B"/>
    <w:rsid w:val="00A85CED"/>
    <w:rsid w:val="00A90AD0"/>
    <w:rsid w:val="00A941D1"/>
    <w:rsid w:val="00AA0C4E"/>
    <w:rsid w:val="00AB3552"/>
    <w:rsid w:val="00AB434D"/>
    <w:rsid w:val="00AB551F"/>
    <w:rsid w:val="00AB6A52"/>
    <w:rsid w:val="00AC38C9"/>
    <w:rsid w:val="00AC585F"/>
    <w:rsid w:val="00AD0F3C"/>
    <w:rsid w:val="00AD3B0F"/>
    <w:rsid w:val="00AD6959"/>
    <w:rsid w:val="00AD7798"/>
    <w:rsid w:val="00AD7CF1"/>
    <w:rsid w:val="00AE0822"/>
    <w:rsid w:val="00AE6389"/>
    <w:rsid w:val="00AE707E"/>
    <w:rsid w:val="00AF25CF"/>
    <w:rsid w:val="00AF415F"/>
    <w:rsid w:val="00AF769D"/>
    <w:rsid w:val="00B013E4"/>
    <w:rsid w:val="00B0557A"/>
    <w:rsid w:val="00B05590"/>
    <w:rsid w:val="00B07B0F"/>
    <w:rsid w:val="00B1001D"/>
    <w:rsid w:val="00B14142"/>
    <w:rsid w:val="00B210EB"/>
    <w:rsid w:val="00B21BF1"/>
    <w:rsid w:val="00B2225C"/>
    <w:rsid w:val="00B23545"/>
    <w:rsid w:val="00B32503"/>
    <w:rsid w:val="00B347AE"/>
    <w:rsid w:val="00B47A4C"/>
    <w:rsid w:val="00B634BB"/>
    <w:rsid w:val="00B72341"/>
    <w:rsid w:val="00B72380"/>
    <w:rsid w:val="00B72D58"/>
    <w:rsid w:val="00B811CD"/>
    <w:rsid w:val="00B83121"/>
    <w:rsid w:val="00B834CB"/>
    <w:rsid w:val="00B8372F"/>
    <w:rsid w:val="00B85E10"/>
    <w:rsid w:val="00B94BF9"/>
    <w:rsid w:val="00B967C9"/>
    <w:rsid w:val="00BA318D"/>
    <w:rsid w:val="00BA3EF8"/>
    <w:rsid w:val="00BA553D"/>
    <w:rsid w:val="00BB4EE0"/>
    <w:rsid w:val="00BB52F7"/>
    <w:rsid w:val="00BC190E"/>
    <w:rsid w:val="00BD57B5"/>
    <w:rsid w:val="00BD68B0"/>
    <w:rsid w:val="00BE07EB"/>
    <w:rsid w:val="00BF123A"/>
    <w:rsid w:val="00C01D42"/>
    <w:rsid w:val="00C042D0"/>
    <w:rsid w:val="00C04F1C"/>
    <w:rsid w:val="00C11431"/>
    <w:rsid w:val="00C1217A"/>
    <w:rsid w:val="00C129B3"/>
    <w:rsid w:val="00C12B90"/>
    <w:rsid w:val="00C16F3B"/>
    <w:rsid w:val="00C25BA6"/>
    <w:rsid w:val="00C2749A"/>
    <w:rsid w:val="00C300B4"/>
    <w:rsid w:val="00C34168"/>
    <w:rsid w:val="00C41848"/>
    <w:rsid w:val="00C47B05"/>
    <w:rsid w:val="00C5047E"/>
    <w:rsid w:val="00C5616B"/>
    <w:rsid w:val="00C577C2"/>
    <w:rsid w:val="00C63236"/>
    <w:rsid w:val="00C6371B"/>
    <w:rsid w:val="00C661BD"/>
    <w:rsid w:val="00C679E2"/>
    <w:rsid w:val="00C70DE7"/>
    <w:rsid w:val="00C81AA5"/>
    <w:rsid w:val="00C87C06"/>
    <w:rsid w:val="00C90D1B"/>
    <w:rsid w:val="00C929D2"/>
    <w:rsid w:val="00C930D6"/>
    <w:rsid w:val="00CA01C7"/>
    <w:rsid w:val="00CA1882"/>
    <w:rsid w:val="00CA796E"/>
    <w:rsid w:val="00CB0D61"/>
    <w:rsid w:val="00CC5E5B"/>
    <w:rsid w:val="00CD1EC6"/>
    <w:rsid w:val="00CD28FD"/>
    <w:rsid w:val="00CD4E42"/>
    <w:rsid w:val="00CD6ACF"/>
    <w:rsid w:val="00CE11EA"/>
    <w:rsid w:val="00CE12ED"/>
    <w:rsid w:val="00CE1EB5"/>
    <w:rsid w:val="00CE20D7"/>
    <w:rsid w:val="00CF1BC9"/>
    <w:rsid w:val="00CF371B"/>
    <w:rsid w:val="00CF7641"/>
    <w:rsid w:val="00D015FD"/>
    <w:rsid w:val="00D01965"/>
    <w:rsid w:val="00D17DE4"/>
    <w:rsid w:val="00D265CD"/>
    <w:rsid w:val="00D27559"/>
    <w:rsid w:val="00D32885"/>
    <w:rsid w:val="00D340F1"/>
    <w:rsid w:val="00D354CE"/>
    <w:rsid w:val="00D37475"/>
    <w:rsid w:val="00D403AF"/>
    <w:rsid w:val="00D44A6F"/>
    <w:rsid w:val="00D541F4"/>
    <w:rsid w:val="00D5510E"/>
    <w:rsid w:val="00D63BB3"/>
    <w:rsid w:val="00D72206"/>
    <w:rsid w:val="00D73460"/>
    <w:rsid w:val="00D734A6"/>
    <w:rsid w:val="00D7731A"/>
    <w:rsid w:val="00D804A1"/>
    <w:rsid w:val="00D8069F"/>
    <w:rsid w:val="00D80CFA"/>
    <w:rsid w:val="00D816DA"/>
    <w:rsid w:val="00D82D7D"/>
    <w:rsid w:val="00D872E4"/>
    <w:rsid w:val="00D933D1"/>
    <w:rsid w:val="00D93A62"/>
    <w:rsid w:val="00D9620C"/>
    <w:rsid w:val="00D9638C"/>
    <w:rsid w:val="00D97B39"/>
    <w:rsid w:val="00DA21CC"/>
    <w:rsid w:val="00DA621E"/>
    <w:rsid w:val="00DB1DCC"/>
    <w:rsid w:val="00DB3164"/>
    <w:rsid w:val="00DB4E31"/>
    <w:rsid w:val="00DB6601"/>
    <w:rsid w:val="00DC3653"/>
    <w:rsid w:val="00DC3AA8"/>
    <w:rsid w:val="00DC55BE"/>
    <w:rsid w:val="00DD0852"/>
    <w:rsid w:val="00DD0DAA"/>
    <w:rsid w:val="00DE0E5F"/>
    <w:rsid w:val="00DE408A"/>
    <w:rsid w:val="00DE5E79"/>
    <w:rsid w:val="00DF3226"/>
    <w:rsid w:val="00DF4004"/>
    <w:rsid w:val="00DF4787"/>
    <w:rsid w:val="00E004E5"/>
    <w:rsid w:val="00E03257"/>
    <w:rsid w:val="00E03733"/>
    <w:rsid w:val="00E064D7"/>
    <w:rsid w:val="00E078A8"/>
    <w:rsid w:val="00E07B6E"/>
    <w:rsid w:val="00E126AC"/>
    <w:rsid w:val="00E14275"/>
    <w:rsid w:val="00E15396"/>
    <w:rsid w:val="00E15B66"/>
    <w:rsid w:val="00E17251"/>
    <w:rsid w:val="00E202D0"/>
    <w:rsid w:val="00E32245"/>
    <w:rsid w:val="00E34D9A"/>
    <w:rsid w:val="00E422A2"/>
    <w:rsid w:val="00E4320E"/>
    <w:rsid w:val="00E4532C"/>
    <w:rsid w:val="00E47C02"/>
    <w:rsid w:val="00E507CA"/>
    <w:rsid w:val="00E51198"/>
    <w:rsid w:val="00E80676"/>
    <w:rsid w:val="00E80D54"/>
    <w:rsid w:val="00E81D9A"/>
    <w:rsid w:val="00E82352"/>
    <w:rsid w:val="00E85C45"/>
    <w:rsid w:val="00E92677"/>
    <w:rsid w:val="00E97407"/>
    <w:rsid w:val="00EA222F"/>
    <w:rsid w:val="00EA451F"/>
    <w:rsid w:val="00EA48CE"/>
    <w:rsid w:val="00EB2772"/>
    <w:rsid w:val="00EB37B8"/>
    <w:rsid w:val="00EB4794"/>
    <w:rsid w:val="00EC190E"/>
    <w:rsid w:val="00EC2A43"/>
    <w:rsid w:val="00EC6AC1"/>
    <w:rsid w:val="00ED334E"/>
    <w:rsid w:val="00EE381C"/>
    <w:rsid w:val="00EE4BA2"/>
    <w:rsid w:val="00EE631F"/>
    <w:rsid w:val="00EE6C41"/>
    <w:rsid w:val="00EF1A2D"/>
    <w:rsid w:val="00EF3AE7"/>
    <w:rsid w:val="00F017F1"/>
    <w:rsid w:val="00F02BFF"/>
    <w:rsid w:val="00F144D3"/>
    <w:rsid w:val="00F16681"/>
    <w:rsid w:val="00F1714A"/>
    <w:rsid w:val="00F22217"/>
    <w:rsid w:val="00F27AF1"/>
    <w:rsid w:val="00F32678"/>
    <w:rsid w:val="00F33E8B"/>
    <w:rsid w:val="00F34E58"/>
    <w:rsid w:val="00F35809"/>
    <w:rsid w:val="00F41F37"/>
    <w:rsid w:val="00F4556A"/>
    <w:rsid w:val="00F47688"/>
    <w:rsid w:val="00F519EA"/>
    <w:rsid w:val="00F53246"/>
    <w:rsid w:val="00F536A5"/>
    <w:rsid w:val="00F6086C"/>
    <w:rsid w:val="00F60EE2"/>
    <w:rsid w:val="00F61B8E"/>
    <w:rsid w:val="00F61FF1"/>
    <w:rsid w:val="00F762EE"/>
    <w:rsid w:val="00F82086"/>
    <w:rsid w:val="00F8553F"/>
    <w:rsid w:val="00F86F50"/>
    <w:rsid w:val="00F90EAF"/>
    <w:rsid w:val="00F91375"/>
    <w:rsid w:val="00F95451"/>
    <w:rsid w:val="00F96333"/>
    <w:rsid w:val="00FA4EB1"/>
    <w:rsid w:val="00FA6DF5"/>
    <w:rsid w:val="00FB139B"/>
    <w:rsid w:val="00FB4150"/>
    <w:rsid w:val="00FB5640"/>
    <w:rsid w:val="00FB7113"/>
    <w:rsid w:val="00FC16F5"/>
    <w:rsid w:val="00FC3D13"/>
    <w:rsid w:val="00FD1D24"/>
    <w:rsid w:val="00FD5136"/>
    <w:rsid w:val="00FE3B5B"/>
    <w:rsid w:val="00FE3C3A"/>
    <w:rsid w:val="00FE4CB1"/>
    <w:rsid w:val="00FF1E66"/>
    <w:rsid w:val="00FF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1F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F5"/>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rrfootnote,fn,fn Char,f,fn Char Char"/>
    <w:basedOn w:val="Normal"/>
    <w:link w:val="FootnoteTextChar"/>
    <w:rsid w:val="00DE5E79"/>
    <w:pPr>
      <w:widowControl/>
      <w:spacing w:after="120"/>
    </w:pPr>
    <w:rPr>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rsid w:val="00DE5E79"/>
    <w:rPr>
      <w:rFonts w:ascii="Times New Roman" w:eastAsia="Times New Roman" w:hAnsi="Times New Roman" w:cs="Times New Roman"/>
      <w:snapToGrid w:val="0"/>
      <w:sz w:val="20"/>
      <w:szCs w:val="20"/>
    </w:rPr>
  </w:style>
  <w:style w:type="character" w:styleId="FootnoteReference">
    <w:name w:val="footnote reference"/>
    <w:aliases w:val="Style 12,(NECG) Footnote Reference,o,fr,Style 3,Appel note de bas de p,Style 124,Style 13,Style 17,FR,Footnote Reference/,Style 6,Style 7"/>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 w:type="paragraph" w:styleId="Revision">
    <w:name w:val="Revision"/>
    <w:hidden/>
    <w:uiPriority w:val="99"/>
    <w:semiHidden/>
    <w:rsid w:val="00663B4D"/>
    <w:pPr>
      <w:spacing w:after="0" w:line="240" w:lineRule="auto"/>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F5"/>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rrfootnote,fn,fn Char,f,fn Char Char"/>
    <w:basedOn w:val="Normal"/>
    <w:link w:val="FootnoteTextChar"/>
    <w:rsid w:val="00DE5E79"/>
    <w:pPr>
      <w:widowControl/>
      <w:spacing w:after="120"/>
    </w:pPr>
    <w:rPr>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rsid w:val="00DE5E79"/>
    <w:rPr>
      <w:rFonts w:ascii="Times New Roman" w:eastAsia="Times New Roman" w:hAnsi="Times New Roman" w:cs="Times New Roman"/>
      <w:snapToGrid w:val="0"/>
      <w:sz w:val="20"/>
      <w:szCs w:val="20"/>
    </w:rPr>
  </w:style>
  <w:style w:type="character" w:styleId="FootnoteReference">
    <w:name w:val="footnote reference"/>
    <w:aliases w:val="Style 12,(NECG) Footnote Reference,o,fr,Style 3,Appel note de bas de p,Style 124,Style 13,Style 17,FR,Footnote Reference/,Style 6,Style 7"/>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 w:type="paragraph" w:styleId="Revision">
    <w:name w:val="Revision"/>
    <w:hidden/>
    <w:uiPriority w:val="99"/>
    <w:semiHidden/>
    <w:rsid w:val="00663B4D"/>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rian.Attar\Documents\Custom%20Office%20Templates\MB-AD%20Letter%20Template%20(unpu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MB-AD Letter Template (unpub)</Template>
  <TotalTime>0</TotalTime>
  <Pages>3</Pages>
  <Words>811</Words>
  <Characters>4616</Characters>
  <Application>Microsoft Office Word</Application>
  <DocSecurity>0</DocSecurity>
  <Lines>92</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2016-11-28T14:25:00Z</cp:lastPrinted>
  <dcterms:created xsi:type="dcterms:W3CDTF">2016-11-28T14:55:00Z</dcterms:created>
  <dcterms:modified xsi:type="dcterms:W3CDTF">2016-11-28T14:55:00Z</dcterms:modified>
  <cp:category> </cp:category>
  <cp:contentStatus> </cp:contentStatus>
</cp:coreProperties>
</file>