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B368C"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7D585A91" w14:textId="77777777" w:rsidR="00921803" w:rsidRDefault="00921803" w:rsidP="00921803">
      <w:pPr>
        <w:pStyle w:val="StyleBoldCentered"/>
      </w:pPr>
      <w:r>
        <w:t>F</w:t>
      </w:r>
      <w:r>
        <w:rPr>
          <w:caps w:val="0"/>
        </w:rPr>
        <w:t>ederal Communications Commission</w:t>
      </w:r>
    </w:p>
    <w:p w14:paraId="41977858" w14:textId="77777777" w:rsidR="004C2EE3" w:rsidRDefault="00810B6F" w:rsidP="00096D8C">
      <w:pPr>
        <w:pStyle w:val="StyleBoldCentered"/>
      </w:pPr>
      <w:r>
        <w:rPr>
          <w:caps w:val="0"/>
        </w:rPr>
        <w:t>Washington, D.C. 20554</w:t>
      </w:r>
    </w:p>
    <w:p w14:paraId="6AF0A8B3" w14:textId="77777777" w:rsidR="004C2EE3" w:rsidRDefault="004C2EE3" w:rsidP="0070224F"/>
    <w:p w14:paraId="2D84C7F9"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35A2C45A" w14:textId="77777777">
        <w:tc>
          <w:tcPr>
            <w:tcW w:w="4698" w:type="dxa"/>
          </w:tcPr>
          <w:p w14:paraId="59F8797E" w14:textId="7E73F166" w:rsidR="004C2EE3" w:rsidRDefault="004C2EE3">
            <w:pPr>
              <w:tabs>
                <w:tab w:val="center" w:pos="4680"/>
              </w:tabs>
              <w:suppressAutoHyphens/>
              <w:rPr>
                <w:spacing w:val="-2"/>
              </w:rPr>
            </w:pPr>
            <w:r>
              <w:rPr>
                <w:spacing w:val="-2"/>
              </w:rPr>
              <w:t>In the Matter of</w:t>
            </w:r>
          </w:p>
          <w:p w14:paraId="2C59AF0A" w14:textId="77777777" w:rsidR="004C2EE3" w:rsidRDefault="004C2EE3">
            <w:pPr>
              <w:tabs>
                <w:tab w:val="center" w:pos="4680"/>
              </w:tabs>
              <w:suppressAutoHyphens/>
              <w:rPr>
                <w:spacing w:val="-2"/>
              </w:rPr>
            </w:pPr>
          </w:p>
          <w:p w14:paraId="032F5842" w14:textId="77777777" w:rsidR="006C314A" w:rsidRDefault="006C314A" w:rsidP="007115F7">
            <w:pPr>
              <w:tabs>
                <w:tab w:val="center" w:pos="4680"/>
              </w:tabs>
              <w:suppressAutoHyphens/>
              <w:rPr>
                <w:spacing w:val="-2"/>
              </w:rPr>
            </w:pPr>
            <w:r>
              <w:rPr>
                <w:spacing w:val="-2"/>
              </w:rPr>
              <w:t>Iglesia el Remanente Fraternidad Elim, Inc.</w:t>
            </w:r>
          </w:p>
          <w:p w14:paraId="6AAA3240" w14:textId="77777777" w:rsidR="006C314A" w:rsidRDefault="006C314A" w:rsidP="007115F7">
            <w:pPr>
              <w:tabs>
                <w:tab w:val="center" w:pos="4680"/>
              </w:tabs>
              <w:suppressAutoHyphens/>
              <w:rPr>
                <w:spacing w:val="-2"/>
              </w:rPr>
            </w:pPr>
            <w:r>
              <w:rPr>
                <w:spacing w:val="-2"/>
              </w:rPr>
              <w:t>Arleta, California</w:t>
            </w:r>
          </w:p>
          <w:p w14:paraId="1E56AE93" w14:textId="77777777" w:rsidR="006C314A" w:rsidRDefault="006C314A" w:rsidP="007115F7">
            <w:pPr>
              <w:tabs>
                <w:tab w:val="center" w:pos="4680"/>
              </w:tabs>
              <w:suppressAutoHyphens/>
              <w:rPr>
                <w:spacing w:val="-2"/>
              </w:rPr>
            </w:pPr>
          </w:p>
          <w:p w14:paraId="079CEB6D" w14:textId="24CE609C" w:rsidR="004C2EE3" w:rsidRDefault="00200E09" w:rsidP="007115F7">
            <w:pPr>
              <w:tabs>
                <w:tab w:val="center" w:pos="4680"/>
              </w:tabs>
              <w:suppressAutoHyphens/>
              <w:rPr>
                <w:spacing w:val="-2"/>
              </w:rPr>
            </w:pPr>
            <w:r>
              <w:rPr>
                <w:spacing w:val="-2"/>
              </w:rPr>
              <w:t>Belarmino Lara</w:t>
            </w:r>
          </w:p>
          <w:p w14:paraId="0F505BA5" w14:textId="77777777" w:rsidR="00200E09" w:rsidRDefault="00200E09" w:rsidP="007115F7">
            <w:pPr>
              <w:tabs>
                <w:tab w:val="center" w:pos="4680"/>
              </w:tabs>
              <w:suppressAutoHyphens/>
              <w:rPr>
                <w:spacing w:val="-2"/>
              </w:rPr>
            </w:pPr>
            <w:r>
              <w:rPr>
                <w:spacing w:val="-2"/>
              </w:rPr>
              <w:t>Arleta, California</w:t>
            </w:r>
          </w:p>
          <w:p w14:paraId="18D87CB8" w14:textId="77777777" w:rsidR="007A7A2E" w:rsidRDefault="007A7A2E" w:rsidP="007115F7">
            <w:pPr>
              <w:tabs>
                <w:tab w:val="center" w:pos="4680"/>
              </w:tabs>
              <w:suppressAutoHyphens/>
              <w:rPr>
                <w:spacing w:val="-2"/>
              </w:rPr>
            </w:pPr>
          </w:p>
          <w:p w14:paraId="2A007171" w14:textId="77777777" w:rsidR="007A7A2E" w:rsidRPr="007115F7" w:rsidRDefault="007A7A2E" w:rsidP="007115F7">
            <w:pPr>
              <w:tabs>
                <w:tab w:val="center" w:pos="4680"/>
              </w:tabs>
              <w:suppressAutoHyphens/>
              <w:rPr>
                <w:spacing w:val="-2"/>
              </w:rPr>
            </w:pPr>
          </w:p>
        </w:tc>
        <w:tc>
          <w:tcPr>
            <w:tcW w:w="630" w:type="dxa"/>
          </w:tcPr>
          <w:p w14:paraId="6E0CC268" w14:textId="77777777" w:rsidR="004C2EE3" w:rsidRDefault="004C2EE3">
            <w:pPr>
              <w:tabs>
                <w:tab w:val="center" w:pos="4680"/>
              </w:tabs>
              <w:suppressAutoHyphens/>
              <w:rPr>
                <w:b/>
                <w:spacing w:val="-2"/>
              </w:rPr>
            </w:pPr>
            <w:r>
              <w:rPr>
                <w:b/>
                <w:spacing w:val="-2"/>
              </w:rPr>
              <w:t>)</w:t>
            </w:r>
          </w:p>
          <w:p w14:paraId="7A8AFF1F" w14:textId="77777777" w:rsidR="004C2EE3" w:rsidRDefault="004C2EE3">
            <w:pPr>
              <w:tabs>
                <w:tab w:val="center" w:pos="4680"/>
              </w:tabs>
              <w:suppressAutoHyphens/>
              <w:rPr>
                <w:b/>
                <w:spacing w:val="-2"/>
              </w:rPr>
            </w:pPr>
            <w:r>
              <w:rPr>
                <w:b/>
                <w:spacing w:val="-2"/>
              </w:rPr>
              <w:t>)</w:t>
            </w:r>
          </w:p>
          <w:p w14:paraId="416A4578" w14:textId="77777777" w:rsidR="004C2EE3" w:rsidRDefault="004C2EE3">
            <w:pPr>
              <w:tabs>
                <w:tab w:val="center" w:pos="4680"/>
              </w:tabs>
              <w:suppressAutoHyphens/>
              <w:rPr>
                <w:b/>
                <w:spacing w:val="-2"/>
              </w:rPr>
            </w:pPr>
            <w:r>
              <w:rPr>
                <w:b/>
                <w:spacing w:val="-2"/>
              </w:rPr>
              <w:t>)</w:t>
            </w:r>
          </w:p>
          <w:p w14:paraId="24F7D427" w14:textId="77777777" w:rsidR="004C2EE3" w:rsidRDefault="004C2EE3">
            <w:pPr>
              <w:tabs>
                <w:tab w:val="center" w:pos="4680"/>
              </w:tabs>
              <w:suppressAutoHyphens/>
              <w:rPr>
                <w:b/>
                <w:spacing w:val="-2"/>
              </w:rPr>
            </w:pPr>
            <w:r>
              <w:rPr>
                <w:b/>
                <w:spacing w:val="-2"/>
              </w:rPr>
              <w:t>)</w:t>
            </w:r>
          </w:p>
          <w:p w14:paraId="5292A18D" w14:textId="77777777" w:rsidR="004C2EE3" w:rsidRDefault="004C2EE3">
            <w:pPr>
              <w:tabs>
                <w:tab w:val="center" w:pos="4680"/>
              </w:tabs>
              <w:suppressAutoHyphens/>
              <w:rPr>
                <w:b/>
                <w:spacing w:val="-2"/>
              </w:rPr>
            </w:pPr>
            <w:r>
              <w:rPr>
                <w:b/>
                <w:spacing w:val="-2"/>
              </w:rPr>
              <w:t>)</w:t>
            </w:r>
          </w:p>
          <w:p w14:paraId="5E4C7FB4" w14:textId="77777777" w:rsidR="004C2EE3" w:rsidRDefault="004C2EE3">
            <w:pPr>
              <w:tabs>
                <w:tab w:val="center" w:pos="4680"/>
              </w:tabs>
              <w:suppressAutoHyphens/>
              <w:rPr>
                <w:b/>
                <w:spacing w:val="-2"/>
              </w:rPr>
            </w:pPr>
            <w:r>
              <w:rPr>
                <w:b/>
                <w:spacing w:val="-2"/>
              </w:rPr>
              <w:t>)</w:t>
            </w:r>
          </w:p>
          <w:p w14:paraId="37CC024B" w14:textId="77777777" w:rsidR="004C2EE3" w:rsidRDefault="004C2EE3">
            <w:pPr>
              <w:tabs>
                <w:tab w:val="center" w:pos="4680"/>
              </w:tabs>
              <w:suppressAutoHyphens/>
              <w:rPr>
                <w:b/>
                <w:spacing w:val="-2"/>
              </w:rPr>
            </w:pPr>
            <w:r>
              <w:rPr>
                <w:b/>
                <w:spacing w:val="-2"/>
              </w:rPr>
              <w:t>)</w:t>
            </w:r>
          </w:p>
          <w:p w14:paraId="2880D249" w14:textId="77777777" w:rsidR="004C2EE3" w:rsidRDefault="004C2EE3">
            <w:pPr>
              <w:tabs>
                <w:tab w:val="center" w:pos="4680"/>
              </w:tabs>
              <w:suppressAutoHyphens/>
              <w:rPr>
                <w:b/>
                <w:spacing w:val="-2"/>
              </w:rPr>
            </w:pPr>
            <w:r>
              <w:rPr>
                <w:b/>
                <w:spacing w:val="-2"/>
              </w:rPr>
              <w:t>)</w:t>
            </w:r>
          </w:p>
          <w:p w14:paraId="71100898" w14:textId="77777777" w:rsidR="004C2EE3" w:rsidRDefault="004C2EE3">
            <w:pPr>
              <w:tabs>
                <w:tab w:val="center" w:pos="4680"/>
              </w:tabs>
              <w:suppressAutoHyphens/>
              <w:rPr>
                <w:spacing w:val="-2"/>
              </w:rPr>
            </w:pPr>
            <w:r>
              <w:rPr>
                <w:b/>
                <w:spacing w:val="-2"/>
              </w:rPr>
              <w:t>)</w:t>
            </w:r>
          </w:p>
        </w:tc>
        <w:tc>
          <w:tcPr>
            <w:tcW w:w="4248" w:type="dxa"/>
          </w:tcPr>
          <w:p w14:paraId="0F269367" w14:textId="77777777" w:rsidR="004C2EE3" w:rsidRDefault="004C2EE3">
            <w:pPr>
              <w:tabs>
                <w:tab w:val="center" w:pos="4680"/>
              </w:tabs>
              <w:suppressAutoHyphens/>
              <w:rPr>
                <w:spacing w:val="-2"/>
              </w:rPr>
            </w:pPr>
          </w:p>
          <w:p w14:paraId="2D6F316F" w14:textId="6ECBAA15" w:rsidR="004C2EE3" w:rsidRDefault="00200E09" w:rsidP="008664B1">
            <w:pPr>
              <w:tabs>
                <w:tab w:val="center" w:pos="4680"/>
              </w:tabs>
              <w:suppressAutoHyphens/>
              <w:rPr>
                <w:spacing w:val="-2"/>
              </w:rPr>
            </w:pPr>
            <w:r>
              <w:rPr>
                <w:spacing w:val="-2"/>
              </w:rPr>
              <w:t xml:space="preserve">File No. </w:t>
            </w:r>
            <w:r w:rsidRPr="00200E09">
              <w:rPr>
                <w:spacing w:val="-2"/>
              </w:rPr>
              <w:t>EB-FIELDWR-15-00019600</w:t>
            </w:r>
            <w:r w:rsidR="008664B1">
              <w:rPr>
                <w:rStyle w:val="FootnoteReference"/>
                <w:spacing w:val="-2"/>
              </w:rPr>
              <w:footnoteReference w:id="2"/>
            </w:r>
          </w:p>
          <w:p w14:paraId="1DC846C5" w14:textId="6E24406F" w:rsidR="00200E09" w:rsidRDefault="00200E09">
            <w:pPr>
              <w:tabs>
                <w:tab w:val="center" w:pos="4680"/>
              </w:tabs>
              <w:suppressAutoHyphens/>
              <w:rPr>
                <w:spacing w:val="-2"/>
              </w:rPr>
            </w:pPr>
            <w:r>
              <w:rPr>
                <w:spacing w:val="-2"/>
              </w:rPr>
              <w:t>NAL/Acct. No.</w:t>
            </w:r>
            <w:r w:rsidR="00AD1B7C">
              <w:rPr>
                <w:spacing w:val="-2"/>
              </w:rPr>
              <w:t xml:space="preserve">  </w:t>
            </w:r>
            <w:r w:rsidR="00AD1B7C" w:rsidRPr="00AD1B7C">
              <w:rPr>
                <w:spacing w:val="-2"/>
              </w:rPr>
              <w:t>201732900001</w:t>
            </w:r>
          </w:p>
          <w:p w14:paraId="0F2CC94A" w14:textId="1D786F3F" w:rsidR="00200E09" w:rsidRDefault="00200E09">
            <w:pPr>
              <w:tabs>
                <w:tab w:val="center" w:pos="4680"/>
              </w:tabs>
              <w:suppressAutoHyphens/>
              <w:rPr>
                <w:spacing w:val="-2"/>
              </w:rPr>
            </w:pPr>
            <w:r>
              <w:rPr>
                <w:spacing w:val="-2"/>
              </w:rPr>
              <w:t>FRN:</w:t>
            </w:r>
            <w:r w:rsidR="00527304">
              <w:rPr>
                <w:spacing w:val="-2"/>
              </w:rPr>
              <w:t xml:space="preserve"> </w:t>
            </w:r>
            <w:r w:rsidR="000F388A" w:rsidRPr="000F388A">
              <w:rPr>
                <w:spacing w:val="-2"/>
              </w:rPr>
              <w:t>0026067942</w:t>
            </w:r>
          </w:p>
          <w:p w14:paraId="4432CADD" w14:textId="77777777" w:rsidR="006C314A" w:rsidRDefault="006C314A">
            <w:pPr>
              <w:tabs>
                <w:tab w:val="center" w:pos="4680"/>
              </w:tabs>
              <w:suppressAutoHyphens/>
              <w:rPr>
                <w:spacing w:val="-2"/>
              </w:rPr>
            </w:pPr>
          </w:p>
          <w:p w14:paraId="274FA612" w14:textId="0B75F057" w:rsidR="006C314A" w:rsidRDefault="006C314A">
            <w:pPr>
              <w:tabs>
                <w:tab w:val="center" w:pos="4680"/>
              </w:tabs>
              <w:suppressAutoHyphens/>
              <w:rPr>
                <w:spacing w:val="-2"/>
              </w:rPr>
            </w:pPr>
            <w:r>
              <w:rPr>
                <w:spacing w:val="-2"/>
              </w:rPr>
              <w:t>FRN:</w:t>
            </w:r>
            <w:r w:rsidR="00527304">
              <w:rPr>
                <w:spacing w:val="-2"/>
              </w:rPr>
              <w:t xml:space="preserve"> </w:t>
            </w:r>
            <w:r w:rsidR="000F388A" w:rsidRPr="000F388A">
              <w:rPr>
                <w:spacing w:val="-2"/>
              </w:rPr>
              <w:t>0026067959</w:t>
            </w:r>
          </w:p>
        </w:tc>
      </w:tr>
    </w:tbl>
    <w:p w14:paraId="405372EF" w14:textId="77777777" w:rsidR="004C2EE3" w:rsidRDefault="004C2EE3" w:rsidP="0070224F"/>
    <w:p w14:paraId="5C6D042D" w14:textId="77777777" w:rsidR="00841AB1" w:rsidRDefault="00200E09" w:rsidP="00F021FA">
      <w:pPr>
        <w:pStyle w:val="StyleBoldCentered"/>
      </w:pPr>
      <w:r>
        <w:t>Notice of Apparent Liability for Forfeiture</w:t>
      </w:r>
    </w:p>
    <w:p w14:paraId="5D462BE1" w14:textId="77777777" w:rsidR="004C2EE3" w:rsidRDefault="004C2EE3">
      <w:pPr>
        <w:tabs>
          <w:tab w:val="left" w:pos="-720"/>
        </w:tabs>
        <w:suppressAutoHyphens/>
        <w:spacing w:line="227" w:lineRule="auto"/>
        <w:rPr>
          <w:spacing w:val="-2"/>
        </w:rPr>
      </w:pPr>
    </w:p>
    <w:p w14:paraId="680E4867" w14:textId="5DE09D1C" w:rsidR="004C2EE3" w:rsidRDefault="004C2EE3" w:rsidP="00133F79">
      <w:pPr>
        <w:tabs>
          <w:tab w:val="left" w:pos="720"/>
          <w:tab w:val="right" w:pos="9360"/>
        </w:tabs>
        <w:suppressAutoHyphens/>
        <w:spacing w:line="227" w:lineRule="auto"/>
        <w:rPr>
          <w:spacing w:val="-2"/>
        </w:rPr>
      </w:pPr>
      <w:r>
        <w:rPr>
          <w:b/>
          <w:spacing w:val="-2"/>
        </w:rPr>
        <w:t xml:space="preserve">Adopted:  </w:t>
      </w:r>
      <w:r w:rsidR="00CD7F07">
        <w:rPr>
          <w:b/>
          <w:spacing w:val="-2"/>
        </w:rPr>
        <w:t>December 7,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D7F07">
        <w:rPr>
          <w:b/>
          <w:spacing w:val="-2"/>
        </w:rPr>
        <w:t>December 8, 2016</w:t>
      </w:r>
    </w:p>
    <w:p w14:paraId="06FC8651" w14:textId="77777777" w:rsidR="00822CE0" w:rsidRDefault="00822CE0"/>
    <w:p w14:paraId="20B97E4F" w14:textId="77777777" w:rsidR="004C2EE3" w:rsidRDefault="004C2EE3">
      <w:pPr>
        <w:rPr>
          <w:spacing w:val="-2"/>
        </w:rPr>
      </w:pPr>
      <w:r>
        <w:t xml:space="preserve">By </w:t>
      </w:r>
      <w:r w:rsidR="004E4A22">
        <w:t>the</w:t>
      </w:r>
      <w:r w:rsidR="00200E09">
        <w:t xml:space="preserve"> Regional Director, Region Three, Enforcement Bureau</w:t>
      </w:r>
      <w:r>
        <w:rPr>
          <w:spacing w:val="-2"/>
        </w:rPr>
        <w:t>:</w:t>
      </w:r>
    </w:p>
    <w:p w14:paraId="072F6EF9" w14:textId="77777777" w:rsidR="00822CE0" w:rsidRDefault="00822CE0">
      <w:pPr>
        <w:rPr>
          <w:spacing w:val="-2"/>
        </w:rPr>
      </w:pPr>
    </w:p>
    <w:p w14:paraId="41C10ADE" w14:textId="77777777" w:rsidR="00412FC5" w:rsidRDefault="00412FC5" w:rsidP="00412FC5"/>
    <w:p w14:paraId="25CABA45" w14:textId="77777777" w:rsidR="002C00E8" w:rsidRDefault="00200E09" w:rsidP="002C00E8">
      <w:pPr>
        <w:pStyle w:val="Heading1"/>
      </w:pPr>
      <w:r>
        <w:t>introduction</w:t>
      </w:r>
    </w:p>
    <w:p w14:paraId="74A3F492" w14:textId="533EDE8E" w:rsidR="007E7FCF" w:rsidRPr="007E7FCF" w:rsidRDefault="007E7FCF" w:rsidP="00FA338B">
      <w:pPr>
        <w:pStyle w:val="ParaNum"/>
        <w:widowControl/>
      </w:pPr>
      <w:r w:rsidRPr="007E7FCF">
        <w:t>We propose a penalty of $</w:t>
      </w:r>
      <w:r w:rsidR="000F388A">
        <w:t>2</w:t>
      </w:r>
      <w:r>
        <w:t>5,000</w:t>
      </w:r>
      <w:r w:rsidRPr="007E7FCF">
        <w:t xml:space="preserve"> against </w:t>
      </w:r>
      <w:r w:rsidR="006C314A">
        <w:t xml:space="preserve">Iglesia el Remanente Fraternidad Elim, Inc. (Iglesia el Remanente) and </w:t>
      </w:r>
      <w:r>
        <w:t xml:space="preserve">Belarmino Lara </w:t>
      </w:r>
      <w:r w:rsidR="006C314A">
        <w:t xml:space="preserve">(Lara, and, together with Iglesia el Remanente, Station Operators) </w:t>
      </w:r>
      <w:r w:rsidRPr="007E7FCF">
        <w:t xml:space="preserve">for operating an unlicensed radio station on </w:t>
      </w:r>
      <w:r>
        <w:t xml:space="preserve">93.7 MHz in Arleta, California.  </w:t>
      </w:r>
      <w:r w:rsidRPr="007E7FCF">
        <w:t xml:space="preserve">The Commission </w:t>
      </w:r>
      <w:r w:rsidR="00307AEE">
        <w:t xml:space="preserve">has repeatedly </w:t>
      </w:r>
      <w:r w:rsidRPr="007E7FCF">
        <w:t xml:space="preserve">warned </w:t>
      </w:r>
      <w:r w:rsidR="006C314A">
        <w:t xml:space="preserve">the Station Operators that </w:t>
      </w:r>
      <w:r w:rsidRPr="007E7FCF">
        <w:t xml:space="preserve">operation of this unlicensed station was illegal and that continued operation could result in further enforcement action.  </w:t>
      </w:r>
      <w:r w:rsidR="006C314A">
        <w:t xml:space="preserve">The Station Operators’ </w:t>
      </w:r>
      <w:r w:rsidRPr="007E7FCF">
        <w:t>deliberate disregard of the Commission’s warning warrants a significant penalty.  Commission action in this area is essential because unlicensed radio stations create a danger of interference to licensed communications and undermine the Commission’s authority over FM broadcast radio operations.</w:t>
      </w:r>
    </w:p>
    <w:p w14:paraId="6D58B7D0" w14:textId="6296CC96" w:rsidR="00200E09" w:rsidRDefault="009342C9" w:rsidP="009342C9">
      <w:pPr>
        <w:pStyle w:val="Heading1"/>
      </w:pPr>
      <w:r>
        <w:t>Background</w:t>
      </w:r>
    </w:p>
    <w:p w14:paraId="789AB821" w14:textId="22C80DBF" w:rsidR="009342C9" w:rsidRDefault="00307AEE" w:rsidP="00FA338B">
      <w:pPr>
        <w:pStyle w:val="ParaNum"/>
        <w:widowControl/>
      </w:pPr>
      <w:r>
        <w:t>On July 16, 2013, the Enforcement Bureau</w:t>
      </w:r>
      <w:r w:rsidR="00BD6CB3">
        <w:t>’s Los Angeles</w:t>
      </w:r>
      <w:r w:rsidR="00F71E79">
        <w:t xml:space="preserve"> Field</w:t>
      </w:r>
      <w:r w:rsidR="00BD6CB3">
        <w:t xml:space="preserve"> Office (Los Angeles Office)</w:t>
      </w:r>
      <w:r>
        <w:t xml:space="preserve"> received a complaint that an unlicensed FM broadcast station was operating on 93.7 M</w:t>
      </w:r>
      <w:r w:rsidR="00F75C2C">
        <w:t>Hz in the San Fernando Valley.</w:t>
      </w:r>
      <w:r w:rsidR="004C7967">
        <w:t xml:space="preserve">  </w:t>
      </w:r>
      <w:r w:rsidR="00BD6CB3">
        <w:t xml:space="preserve">On July 30, 2013, two agents from the Los Angeles Office used </w:t>
      </w:r>
      <w:r w:rsidR="00BD6CB3" w:rsidRPr="00C30755">
        <w:t xml:space="preserve">mobile direction-finding techniques to identify the source of </w:t>
      </w:r>
      <w:r w:rsidR="00B5776D">
        <w:t>radio frequency</w:t>
      </w:r>
      <w:r w:rsidR="00BD6CB3" w:rsidRPr="00C30755">
        <w:t xml:space="preserve"> transmissions on the frequency </w:t>
      </w:r>
      <w:r w:rsidR="00BD6CB3">
        <w:t xml:space="preserve">93.7 MHz </w:t>
      </w:r>
      <w:r w:rsidR="00BD6CB3" w:rsidRPr="00C30755">
        <w:t xml:space="preserve">as an FM </w:t>
      </w:r>
      <w:r w:rsidR="00BD6CB3">
        <w:t xml:space="preserve">antenna mounted </w:t>
      </w:r>
      <w:r w:rsidR="00D773BF">
        <w:t xml:space="preserve">on a guyed structure located on the roof </w:t>
      </w:r>
      <w:r w:rsidR="00BD6CB3">
        <w:t xml:space="preserve">of a single family home located at </w:t>
      </w:r>
      <w:r w:rsidR="001314CE">
        <w:t xml:space="preserve">a single family home in </w:t>
      </w:r>
      <w:r w:rsidR="00BD6CB3">
        <w:t>Arleta, California (Transmission Site).  The agents photographed the FM antenna and its coaxial cable leading into the building.  The agents then took</w:t>
      </w:r>
      <w:r w:rsidR="00BD6CB3" w:rsidRPr="00C30755">
        <w:t xml:space="preserve"> </w:t>
      </w:r>
      <w:r w:rsidR="00BD6CB3">
        <w:t xml:space="preserve">field </w:t>
      </w:r>
      <w:r w:rsidR="00BD6CB3" w:rsidRPr="00C30755">
        <w:t>strength measurements of the station’s signal</w:t>
      </w:r>
      <w:r w:rsidR="00BD6CB3">
        <w:t>,</w:t>
      </w:r>
      <w:r w:rsidR="00BD6CB3" w:rsidRPr="00C30755">
        <w:t xml:space="preserve"> determined that the transmissions on </w:t>
      </w:r>
      <w:r w:rsidR="00BD6CB3">
        <w:t>93.7 </w:t>
      </w:r>
      <w:r w:rsidR="00BD6CB3" w:rsidRPr="00C30755">
        <w:t>MHz exceeded the limits for operation under Part 15 of the Commission’s rules (Rules), an</w:t>
      </w:r>
      <w:r w:rsidR="00BD6CB3">
        <w:t>d therefore required a license.</w:t>
      </w:r>
      <w:r w:rsidR="00BD6CB3">
        <w:rPr>
          <w:rStyle w:val="FootnoteReference"/>
        </w:rPr>
        <w:footnoteReference w:id="3"/>
      </w:r>
      <w:r w:rsidR="00BD6CB3" w:rsidRPr="00C30755">
        <w:t xml:space="preserve">  The agent</w:t>
      </w:r>
      <w:r w:rsidR="00BD6CB3">
        <w:t>s</w:t>
      </w:r>
      <w:r w:rsidR="00BD6CB3" w:rsidRPr="00C30755">
        <w:t xml:space="preserve"> consulted the Commission’s records and confirmed that the Commission had not authorized an FM broadcast station to </w:t>
      </w:r>
      <w:r w:rsidR="00BD6CB3" w:rsidRPr="00C30755">
        <w:lastRenderedPageBreak/>
        <w:t xml:space="preserve">operate on </w:t>
      </w:r>
      <w:r w:rsidR="00BD6CB3">
        <w:t xml:space="preserve">93.7 MHz at or near </w:t>
      </w:r>
      <w:r w:rsidR="005C3752">
        <w:t xml:space="preserve">the </w:t>
      </w:r>
      <w:r w:rsidR="00BD6CB3">
        <w:t>Transmission Site</w:t>
      </w:r>
      <w:r w:rsidR="00BD6CB3" w:rsidRPr="00C30755">
        <w:t>.  The agent</w:t>
      </w:r>
      <w:r w:rsidR="00BD6CB3">
        <w:t xml:space="preserve">s then consulted public records to confirm that the building located at </w:t>
      </w:r>
      <w:r w:rsidR="005C3752">
        <w:t xml:space="preserve">the </w:t>
      </w:r>
      <w:r w:rsidR="00BD6CB3">
        <w:t>Transmission Site was owned by Mr. Lara</w:t>
      </w:r>
      <w:r w:rsidR="006C314A">
        <w:t xml:space="preserve"> and his wife</w:t>
      </w:r>
      <w:r w:rsidR="00BD6CB3">
        <w:t xml:space="preserve">.  At the conclusion of the inspection on July 30, 2013, the agents </w:t>
      </w:r>
      <w:r w:rsidR="00B5776D">
        <w:t>left</w:t>
      </w:r>
      <w:r w:rsidR="00BD6CB3">
        <w:t xml:space="preserve"> a Notice of Unlicensed Radio Operation </w:t>
      </w:r>
      <w:r w:rsidR="00B5776D">
        <w:t xml:space="preserve">under the front </w:t>
      </w:r>
      <w:r w:rsidR="00BD6CB3">
        <w:t xml:space="preserve">door of </w:t>
      </w:r>
      <w:r w:rsidR="001314CE">
        <w:t xml:space="preserve">the </w:t>
      </w:r>
      <w:r w:rsidR="00BD6CB3">
        <w:t>Transmission Site (First Field Notice).</w:t>
      </w:r>
      <w:r w:rsidR="00BD6CB3">
        <w:rPr>
          <w:rStyle w:val="FootnoteReference"/>
        </w:rPr>
        <w:footnoteReference w:id="4"/>
      </w:r>
      <w:r w:rsidR="00BD6CB3">
        <w:t xml:space="preserve">  On August 6, 2013, the Los Angeles Office issued a Notice of Unlicensed Operation (First NOUO) to Mr. Lara.</w:t>
      </w:r>
      <w:r w:rsidR="00BD6CB3">
        <w:rPr>
          <w:rStyle w:val="FootnoteReference"/>
        </w:rPr>
        <w:footnoteReference w:id="5"/>
      </w:r>
      <w:r w:rsidR="00BD6CB3">
        <w:t xml:space="preserve">  Both the First Field Notice and the First NOUO informed Mr. Lara that </w:t>
      </w:r>
      <w:r w:rsidR="00BD6CB3" w:rsidRPr="00C30755">
        <w:t>an unlicense</w:t>
      </w:r>
      <w:r w:rsidR="00BD6CB3">
        <w:t>d radio station was operating on</w:t>
      </w:r>
      <w:r w:rsidR="00BD6CB3" w:rsidRPr="00C30755">
        <w:t xml:space="preserve"> </w:t>
      </w:r>
      <w:r w:rsidR="00BD6CB3">
        <w:t xml:space="preserve">93.7 MHz at </w:t>
      </w:r>
      <w:r w:rsidR="001314CE">
        <w:t xml:space="preserve">the </w:t>
      </w:r>
      <w:r w:rsidR="00BD6CB3">
        <w:t xml:space="preserve">Transmission Site and warned him that </w:t>
      </w:r>
      <w:r w:rsidR="00BD6CB3" w:rsidRPr="00C30755">
        <w:t>continued unlicensed operations could result in additional enforcement action.</w:t>
      </w:r>
    </w:p>
    <w:p w14:paraId="6D08EE8E" w14:textId="682C007B" w:rsidR="00BD6CB3" w:rsidRDefault="00BD6CB3" w:rsidP="00FA338B">
      <w:pPr>
        <w:pStyle w:val="ParaNum"/>
        <w:widowControl/>
      </w:pPr>
      <w:r>
        <w:t xml:space="preserve">On </w:t>
      </w:r>
      <w:r w:rsidR="00C32CFE">
        <w:t xml:space="preserve">August 9, 2013, Mr. Lara’s adult children contacted the Los Angeles Office to obtain additional information about the First Field Notice and First NOUO.  Over the course of several conversations with agents of the Los Angeles Office, Mr. Lara’s children acknowledged that their father operated the unlicensed station located at the Transmission Site.  Agents of the Los Angeles Office also advised that continued operation of the unlicensed station violates the Communications Act of 1934, as amended (Act) and could result in significant monetary penalties.  On August 22, 2013, the Los Angeles Office </w:t>
      </w:r>
      <w:r w:rsidR="003F5AFA">
        <w:t xml:space="preserve">was informed that Mr. Lara’s </w:t>
      </w:r>
      <w:r w:rsidR="00C32CFE">
        <w:t xml:space="preserve">station was no longer on the air, but the following day, the Los Angeles Office received a complaint that the station was still on the air, </w:t>
      </w:r>
      <w:r w:rsidR="00CC2BF4">
        <w:t xml:space="preserve">albeit </w:t>
      </w:r>
      <w:r w:rsidR="00C32CFE">
        <w:t xml:space="preserve">without modulation.  On September 4, 2013, Mr. Lara temporarily ceased operating the unlicensed station on </w:t>
      </w:r>
      <w:r w:rsidR="008E4C9D">
        <w:t>93.7</w:t>
      </w:r>
      <w:r w:rsidR="00C32CFE">
        <w:t xml:space="preserve"> MHz at the Transmission Site. </w:t>
      </w:r>
    </w:p>
    <w:p w14:paraId="70432AE2" w14:textId="6F8E643E" w:rsidR="00C32CFE" w:rsidRDefault="00C32CFE" w:rsidP="00FA338B">
      <w:pPr>
        <w:pStyle w:val="ParaNum"/>
        <w:widowControl/>
      </w:pPr>
      <w:r>
        <w:t xml:space="preserve">On </w:t>
      </w:r>
      <w:r w:rsidR="008E4C9D">
        <w:t xml:space="preserve">January 12, 2015, </w:t>
      </w:r>
      <w:r>
        <w:t xml:space="preserve">the </w:t>
      </w:r>
      <w:r w:rsidR="008E4C9D">
        <w:t>Los Angeles</w:t>
      </w:r>
      <w:r>
        <w:t xml:space="preserve"> Office received a complaint that an unlicensed FM broadcast station was operating on </w:t>
      </w:r>
      <w:r w:rsidR="008E4C9D">
        <w:t>93.7</w:t>
      </w:r>
      <w:r>
        <w:t xml:space="preserve"> MHz in </w:t>
      </w:r>
      <w:r w:rsidR="008E4C9D">
        <w:t>the San Fernando Valley</w:t>
      </w:r>
      <w:r>
        <w:t xml:space="preserve">.  On </w:t>
      </w:r>
      <w:r w:rsidR="008E4C9D">
        <w:t xml:space="preserve">February 17, 2015, an </w:t>
      </w:r>
      <w:r>
        <w:t xml:space="preserve">agent from the </w:t>
      </w:r>
      <w:r w:rsidR="008E4C9D">
        <w:t>Los Angeles</w:t>
      </w:r>
      <w:r>
        <w:t xml:space="preserve"> Office used </w:t>
      </w:r>
      <w:r w:rsidRPr="00C30755">
        <w:t xml:space="preserve">mobile direction-finding techniques to identify the source of </w:t>
      </w:r>
      <w:r w:rsidR="00B5776D">
        <w:t>radio frequency</w:t>
      </w:r>
      <w:r w:rsidRPr="00C30755">
        <w:t xml:space="preserve"> transmissions on the frequency </w:t>
      </w:r>
      <w:r w:rsidR="008E4C9D">
        <w:t>93.7</w:t>
      </w:r>
      <w:r>
        <w:t xml:space="preserve"> MHz </w:t>
      </w:r>
      <w:r w:rsidRPr="00C30755">
        <w:t xml:space="preserve">as </w:t>
      </w:r>
      <w:r w:rsidR="00D773BF">
        <w:t xml:space="preserve">the FM antenna located at the Transmission Site and first observed on July 30, 2013.  </w:t>
      </w:r>
      <w:r>
        <w:t xml:space="preserve">On </w:t>
      </w:r>
      <w:r w:rsidR="008E4C9D">
        <w:t xml:space="preserve">March </w:t>
      </w:r>
      <w:r w:rsidR="00F75C2C">
        <w:t>6</w:t>
      </w:r>
      <w:r w:rsidR="008E4C9D">
        <w:t xml:space="preserve">, 2015, </w:t>
      </w:r>
      <w:r>
        <w:t xml:space="preserve">the agent returned to </w:t>
      </w:r>
      <w:r w:rsidR="001314CE">
        <w:t xml:space="preserve">the </w:t>
      </w:r>
      <w:r>
        <w:t>Transmission Site and, upon taking</w:t>
      </w:r>
      <w:r w:rsidR="008E4C9D">
        <w:t xml:space="preserve"> </w:t>
      </w:r>
      <w:r>
        <w:t xml:space="preserve">field </w:t>
      </w:r>
      <w:r w:rsidRPr="00C30755">
        <w:t>strength measurements of the station’s signal</w:t>
      </w:r>
      <w:r>
        <w:t>,</w:t>
      </w:r>
      <w:r w:rsidRPr="00C30755">
        <w:t xml:space="preserve"> determined that the transmissions on </w:t>
      </w:r>
      <w:r w:rsidR="008E4C9D">
        <w:t>93.7</w:t>
      </w:r>
      <w:r>
        <w:t> </w:t>
      </w:r>
      <w:r w:rsidRPr="00C30755">
        <w:t>MHz exceeded the limits for operation under Part 15 of the Rules an</w:t>
      </w:r>
      <w:r>
        <w:t>d therefore required a license.</w:t>
      </w:r>
      <w:r>
        <w:rPr>
          <w:rStyle w:val="FootnoteReference"/>
        </w:rPr>
        <w:footnoteReference w:id="6"/>
      </w:r>
      <w:r w:rsidRPr="00C30755">
        <w:t xml:space="preserve">  The agent</w:t>
      </w:r>
      <w:r>
        <w:t>s</w:t>
      </w:r>
      <w:r w:rsidRPr="00C30755">
        <w:t xml:space="preserve"> consulted the Commission’s records and confirmed that the Commission had not authorized an FM broadcast station to operate on </w:t>
      </w:r>
      <w:r w:rsidR="008E4C9D">
        <w:t>93.7</w:t>
      </w:r>
      <w:r>
        <w:t xml:space="preserve"> MHz at or near </w:t>
      </w:r>
      <w:r w:rsidR="001314CE">
        <w:t xml:space="preserve">the </w:t>
      </w:r>
      <w:r>
        <w:t>Transmission Site</w:t>
      </w:r>
      <w:r w:rsidRPr="00C30755">
        <w:t xml:space="preserve">.  </w:t>
      </w:r>
      <w:r>
        <w:t xml:space="preserve">On </w:t>
      </w:r>
      <w:r w:rsidR="008E4C9D">
        <w:t xml:space="preserve">April 13, 2015, </w:t>
      </w:r>
      <w:r>
        <w:t xml:space="preserve">the </w:t>
      </w:r>
      <w:r w:rsidR="008E4C9D">
        <w:t>Los Angeles</w:t>
      </w:r>
      <w:r>
        <w:t xml:space="preserve"> Office issued a Notice of Unlicensed Operation to </w:t>
      </w:r>
      <w:r w:rsidR="008E4C9D">
        <w:t>Mr. Lara</w:t>
      </w:r>
      <w:r w:rsidR="00F75C2C">
        <w:t xml:space="preserve"> in his capacity as pastor of Iglesia el Remenente</w:t>
      </w:r>
      <w:r w:rsidR="00CD5F01">
        <w:t xml:space="preserve"> (Second NOUO).</w:t>
      </w:r>
      <w:r>
        <w:rPr>
          <w:rStyle w:val="FootnoteReference"/>
        </w:rPr>
        <w:footnoteReference w:id="7"/>
      </w:r>
      <w:r w:rsidR="008E4C9D">
        <w:t xml:space="preserve"> </w:t>
      </w:r>
      <w:r w:rsidR="00CD5F01">
        <w:t xml:space="preserve"> Although Mr. Lara did not respond to the Second NOUO, </w:t>
      </w:r>
      <w:r w:rsidR="008E4C9D">
        <w:t xml:space="preserve">several days after </w:t>
      </w:r>
      <w:r w:rsidR="00CD5F01">
        <w:t xml:space="preserve">the Los Angeles Office issued the Second NOUO, the complainant contacted the Los Angeles Office to advise that Mr. Lara’s unlicensed FM broadcast station was no longer on the air. </w:t>
      </w:r>
    </w:p>
    <w:p w14:paraId="6A55D08A" w14:textId="1FD6CE77" w:rsidR="008E4C9D" w:rsidRDefault="008E4C9D" w:rsidP="00FA338B">
      <w:pPr>
        <w:pStyle w:val="ParaNum"/>
      </w:pPr>
      <w:r>
        <w:t xml:space="preserve">On </w:t>
      </w:r>
      <w:r w:rsidR="00555EAE">
        <w:t>June 26</w:t>
      </w:r>
      <w:r>
        <w:t xml:space="preserve">, 2015, the Los Angeles Office received a report that Mr. Lara’s unlicensed station had returned to air.  </w:t>
      </w:r>
      <w:r w:rsidR="00555EAE">
        <w:t xml:space="preserve">On July 15, 2015, an agent from the Los Angeles Office used </w:t>
      </w:r>
      <w:r w:rsidR="00555EAE" w:rsidRPr="00C30755">
        <w:t xml:space="preserve">mobile direction-finding techniques to identify the source of </w:t>
      </w:r>
      <w:r w:rsidR="00B5776D">
        <w:t>radio frequency</w:t>
      </w:r>
      <w:r w:rsidR="00555EAE" w:rsidRPr="00C30755">
        <w:t xml:space="preserve"> transmissions on the frequency </w:t>
      </w:r>
      <w:r w:rsidR="00555EAE">
        <w:t xml:space="preserve">93.7 MHz </w:t>
      </w:r>
      <w:r w:rsidR="00555EAE" w:rsidRPr="00C30755">
        <w:t xml:space="preserve">as </w:t>
      </w:r>
      <w:r w:rsidR="00D773BF">
        <w:t>the FM antenna located at the Transmission Site and first observed on July 30, 2013.</w:t>
      </w:r>
      <w:r w:rsidR="00555EAE">
        <w:t xml:space="preserve">  The agent then took field strength measurements of the station’s signal and determined that the transmissions on 93.7 MHz exceeded the limits for operation under Part 15 of the Rules and therefore required a license.</w:t>
      </w:r>
      <w:r w:rsidR="00555EAE">
        <w:rPr>
          <w:rStyle w:val="FootnoteReference"/>
        </w:rPr>
        <w:footnoteReference w:id="8"/>
      </w:r>
      <w:r w:rsidR="00555EAE">
        <w:t xml:space="preserve"> </w:t>
      </w:r>
      <w:r w:rsidR="00CD5F01">
        <w:t xml:space="preserve"> </w:t>
      </w:r>
    </w:p>
    <w:p w14:paraId="0B979451" w14:textId="5CF68127" w:rsidR="00CD5F01" w:rsidRDefault="00CD5F01" w:rsidP="00FA338B">
      <w:pPr>
        <w:pStyle w:val="ParaNum"/>
      </w:pPr>
      <w:r>
        <w:t xml:space="preserve">Agents returned to the Transmission Site on February 26, 2016 and found that Mr. Lara’s unlicensed station was still operating.  The agents took field strength measurements of the station’s signal </w:t>
      </w:r>
      <w:r>
        <w:lastRenderedPageBreak/>
        <w:t>and determined that the transmissions on 93.7 MHz exceeded the limits for operation under Part 15 of the Rules and therefore required a license.</w:t>
      </w:r>
      <w:r>
        <w:rPr>
          <w:rStyle w:val="FootnoteReference"/>
        </w:rPr>
        <w:footnoteReference w:id="9"/>
      </w:r>
      <w:r>
        <w:t xml:space="preserve">  On April 13, 2016, the Los Angeles Office issued a Notice of Unlicensed Operation (Third NOUO) to Mr. Lara.</w:t>
      </w:r>
      <w:r w:rsidR="0048728A">
        <w:rPr>
          <w:rStyle w:val="FootnoteReference"/>
        </w:rPr>
        <w:footnoteReference w:id="10"/>
      </w:r>
      <w:r>
        <w:t xml:space="preserve">  The Los Angeles Office did not receive a response from Mr. Lara to the Third NOUO, and so, on June 17, 2016, an agent from the Los Angeles Office returned to the Transmission Site and determined that Mr. Lara’s unlicensed station remained on the air.  On June 24, 2016, the Los Angeles Office mailed Mr. Lara a copy of the Third NOUO, but received no response.  </w:t>
      </w:r>
    </w:p>
    <w:p w14:paraId="4ED816BA" w14:textId="7093895A" w:rsidR="00CD5F01" w:rsidRDefault="00CD5F01" w:rsidP="00FA338B">
      <w:pPr>
        <w:pStyle w:val="ParaNum"/>
      </w:pPr>
      <w:r>
        <w:t>On July 8, 2016, two agents from the Los Angeles Office returned to the Transmission Site and determined that Mr. Lara was still operating an unlicensed FM broadcast station</w:t>
      </w:r>
      <w:r w:rsidR="0048728A">
        <w:t xml:space="preserve"> on 93.7 MHz</w:t>
      </w:r>
      <w:r>
        <w:t>.  The agents spoke w</w:t>
      </w:r>
      <w:r w:rsidR="0048728A">
        <w:t>ith Mr. Lara and informed him that the operation of the station violated the Act</w:t>
      </w:r>
      <w:r w:rsidR="003E61F2">
        <w:t xml:space="preserve"> and issued an on-scene Notice of Unlicensed Radio Operation (Second Field Notice)</w:t>
      </w:r>
      <w:r w:rsidR="0048728A">
        <w:t>.</w:t>
      </w:r>
      <w:r w:rsidR="003E61F2">
        <w:rPr>
          <w:rStyle w:val="FootnoteReference"/>
        </w:rPr>
        <w:footnoteReference w:id="11"/>
      </w:r>
      <w:r w:rsidR="0048728A">
        <w:t xml:space="preserve">  The agents also instructed Mr. Lara to cease operating the station by the end of the day and informed him that the station must not operate the station in the future without a license.  At the conclusion of the agents’ inspection of the Transmission Site, Mr. Lara committed to cease operating the unlicensed station.  </w:t>
      </w:r>
    </w:p>
    <w:p w14:paraId="74254FD7" w14:textId="31B5C9C7" w:rsidR="0048728A" w:rsidRDefault="0048728A" w:rsidP="00FA338B">
      <w:pPr>
        <w:pStyle w:val="ParaNum"/>
      </w:pPr>
      <w:r>
        <w:t xml:space="preserve">On August 29, 2016, an agent from the Los Angeles Office returned to the Transmission Site and determined that Mr. Lara had resumed operating the unlicensed station on 93.7 MHz.  The agent </w:t>
      </w:r>
      <w:r w:rsidR="00F75C2C">
        <w:t xml:space="preserve">recorded the station’s audio stream, </w:t>
      </w:r>
      <w:r>
        <w:t>took field strength measurements of the station’s signal</w:t>
      </w:r>
      <w:r w:rsidR="00F75C2C">
        <w:t>,</w:t>
      </w:r>
      <w:r>
        <w:t xml:space="preserve"> and determined that the transmissions on 93.7 MHz exceeded the limits for operation under Part 15 of the Rules</w:t>
      </w:r>
      <w:r w:rsidR="00F75C2C">
        <w:t>, thus requiring a license</w:t>
      </w:r>
      <w:r>
        <w:t>.</w:t>
      </w:r>
      <w:r>
        <w:rPr>
          <w:rStyle w:val="FootnoteReference"/>
        </w:rPr>
        <w:footnoteReference w:id="12"/>
      </w:r>
      <w:r w:rsidR="00B5776D">
        <w:t xml:space="preserve">  On November 8, 2016, an agent from the Los Angeles Office returned to the Transmission Site and determined that Mr. Lara continued to operate a station on 93.7 MHz from that location.</w:t>
      </w:r>
    </w:p>
    <w:p w14:paraId="4E338769" w14:textId="52E2ED74" w:rsidR="009342C9" w:rsidRDefault="009342C9" w:rsidP="009342C9">
      <w:pPr>
        <w:pStyle w:val="Heading1"/>
      </w:pPr>
      <w:r>
        <w:t>Discussion</w:t>
      </w:r>
    </w:p>
    <w:p w14:paraId="502C69C8" w14:textId="26BEE579" w:rsidR="009342C9" w:rsidRDefault="0048728A" w:rsidP="00FA338B">
      <w:pPr>
        <w:pStyle w:val="ParaNum"/>
        <w:tabs>
          <w:tab w:val="num" w:pos="1440"/>
        </w:tabs>
      </w:pPr>
      <w:r w:rsidRPr="0048728A">
        <w:t xml:space="preserve">We find that </w:t>
      </w:r>
      <w:r w:rsidR="000A4FEE">
        <w:t xml:space="preserve">both Mr. Lara and Iglesia el Remanente </w:t>
      </w:r>
      <w:r w:rsidRPr="0048728A">
        <w:t>willfully and repeatedly violated Section 301 of the Communications Act of 1934, as amended (Act).  Section 301 of the Act states that no person shall use or operate any apparatus for the transmission of energy or communications or signals by radio within the United States without a licen</w:t>
      </w:r>
      <w:r w:rsidR="00DF1D6D">
        <w:t>se granted by the Commission.</w:t>
      </w:r>
      <w:r w:rsidR="00DF1D6D">
        <w:rPr>
          <w:rStyle w:val="FootnoteReference"/>
        </w:rPr>
        <w:footnoteReference w:id="13"/>
      </w:r>
      <w:r w:rsidR="00DF1D6D">
        <w:t xml:space="preserve">  </w:t>
      </w:r>
      <w:r w:rsidRPr="0048728A">
        <w:t xml:space="preserve">Here, agents from the </w:t>
      </w:r>
      <w:r w:rsidR="00D773BF">
        <w:t xml:space="preserve">Los Angeles </w:t>
      </w:r>
      <w:r w:rsidRPr="0048728A">
        <w:t xml:space="preserve">Office determined that the Station Operators operated an unlicensed FM broadcast station on </w:t>
      </w:r>
      <w:r w:rsidR="00D773BF">
        <w:t xml:space="preserve">93.7 MHz at the Transmission site on </w:t>
      </w:r>
      <w:r w:rsidR="003F5AFA">
        <w:t>July 30, 2013, March 6, 2015</w:t>
      </w:r>
      <w:r w:rsidR="003E61F2">
        <w:t>; July 15, 2015; February 26, 2016; and August 29, 2016.</w:t>
      </w:r>
      <w:r w:rsidR="00D773BF">
        <w:t xml:space="preserve"> </w:t>
      </w:r>
    </w:p>
    <w:p w14:paraId="75E64700" w14:textId="77777777" w:rsidR="008A246C" w:rsidRDefault="00DF1D6D" w:rsidP="00FA338B">
      <w:pPr>
        <w:pStyle w:val="ParaNum"/>
        <w:tabs>
          <w:tab w:val="num" w:pos="1440"/>
        </w:tabs>
      </w:pPr>
      <w:r>
        <w:t>Over the course of three years, the Los Angeles Office has issued multiple enforcement actions</w:t>
      </w:r>
      <w:r>
        <w:rPr>
          <w:rStyle w:val="FootnoteReference"/>
        </w:rPr>
        <w:footnoteReference w:id="14"/>
      </w:r>
      <w:r>
        <w:t xml:space="preserve"> and has met with Mr. Lara and his adult children to explain that operating the unlicensed FM broadcast station on 93.7 MHz from the Transmission violated the Act and continued unlicensed operation could result in significant monetary penalties.  Yet, despite these repeated warnings, the Station Operators have continued to transmit on 93.7 MHz from the Transmission Site, in apparent willful and repeated violation of Section 301 of the Act.</w:t>
      </w:r>
    </w:p>
    <w:p w14:paraId="691B2479" w14:textId="05F2DE1D" w:rsidR="00DF1D6D" w:rsidRDefault="008A246C" w:rsidP="00FA338B">
      <w:pPr>
        <w:pStyle w:val="ParaNum"/>
        <w:widowControl/>
      </w:pPr>
      <w:r>
        <w:t>We find further that the Station Operators are jointly and severally liable for unauthorized operation under Section 301 of the Act.  The Enforcement Bureau has previously found that joint and several liability is appropriate when more than one party demonstrates control over a station</w:t>
      </w:r>
      <w:r w:rsidR="00083DE1">
        <w:t>.</w:t>
      </w:r>
      <w:r>
        <w:rPr>
          <w:rStyle w:val="FootnoteReference"/>
        </w:rPr>
        <w:footnoteReference w:id="15"/>
      </w:r>
      <w:r>
        <w:t xml:space="preserve"> </w:t>
      </w:r>
      <w:r w:rsidR="00083DE1">
        <w:t xml:space="preserve"> W</w:t>
      </w:r>
      <w:r>
        <w:t>e find that such joint and several liability is appropriate here in light of</w:t>
      </w:r>
      <w:r w:rsidR="00D33DB2">
        <w:t xml:space="preserve"> the fact that</w:t>
      </w:r>
      <w:r w:rsidR="00D33DB2" w:rsidRPr="00D33DB2">
        <w:t>, although Mr. Lara has acknowledged operating the unlicensed station located at his home, the station appears to be operated as part of Iglesia el Remanente’s religious mission and is featured prominently on the church’s website (http://elremanenteelim.org/).  In addition, as Iglesia el Remaneente has a further connection with the unlicensed station: Iglesia el Remanente’s registered corporate address is the Transmission Site</w:t>
      </w:r>
      <w:r>
        <w:t>.  Such liability “may be assigned to any individual taking part in the operation of the unlicensed station, regardless of who else may be responsible for the operation.”</w:t>
      </w:r>
      <w:r>
        <w:rPr>
          <w:rStyle w:val="FootnoteReference"/>
        </w:rPr>
        <w:footnoteReference w:id="16"/>
      </w:r>
      <w:r>
        <w:t xml:space="preserve">  </w:t>
      </w:r>
      <w:r w:rsidR="00DF1D6D">
        <w:t xml:space="preserve"> </w:t>
      </w:r>
    </w:p>
    <w:p w14:paraId="5153199C" w14:textId="763603C6" w:rsidR="00DF1D6D" w:rsidRDefault="00DF1D6D" w:rsidP="00FA338B">
      <w:pPr>
        <w:pStyle w:val="ParaNum"/>
        <w:tabs>
          <w:tab w:val="num" w:pos="1440"/>
        </w:tabs>
      </w:pPr>
      <w:r w:rsidRPr="001F48A5">
        <w:t>Section 503(b) of the Act authorizes the Commission to impose a forfeiture against any entity that “willfully or repeatedly fail[s] to comply with any of the provisions of [the Act] or of any rule, regulation, or order issued by the Commission.”</w:t>
      </w:r>
      <w:r>
        <w:rPr>
          <w:rStyle w:val="FootnoteReference"/>
        </w:rPr>
        <w:footnoteReference w:id="17"/>
      </w:r>
      <w:r>
        <w:t xml:space="preserve"> </w:t>
      </w:r>
      <w:r w:rsidRPr="001F48A5">
        <w:t xml:space="preserve"> Here, Section 503(b)(2)(E) of the Act authorizes us to assess a forfeiture against </w:t>
      </w:r>
      <w:r w:rsidR="000D4FA5">
        <w:t xml:space="preserve">the Station Operators </w:t>
      </w:r>
      <w:r w:rsidRPr="001F48A5">
        <w:t>of up to $18,936 for each day of a continuing violation, up to a statutory maximum of $142,021 for a single act or failure to act.</w:t>
      </w:r>
      <w:r>
        <w:rPr>
          <w:rStyle w:val="FootnoteReference"/>
        </w:rPr>
        <w:footnoteReference w:id="18"/>
      </w:r>
      <w:r w:rsidRPr="001F48A5">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9"/>
      </w:r>
      <w:r w:rsidRPr="001F48A5">
        <w:t xml:space="preserve">  In addition, the Commission has established forfeiture guidelines; they establish base penalties for certain violations and identify criteria that we consider when determining the appropriate penalty in any given case.</w:t>
      </w:r>
      <w:r>
        <w:rPr>
          <w:rStyle w:val="FootnoteReference"/>
        </w:rPr>
        <w:footnoteReference w:id="20"/>
      </w:r>
      <w:r w:rsidRPr="001F48A5">
        <w:t xml:space="preserve">  Under these guidelines, we may adjust a forfeiture upward for violations that are egregious, intentional, or repeated, or that cause substantial harm or generate substantial economic gain for the violator.</w:t>
      </w:r>
      <w:r>
        <w:rPr>
          <w:rStyle w:val="FootnoteReference"/>
        </w:rPr>
        <w:footnoteReference w:id="21"/>
      </w:r>
      <w:r w:rsidRPr="001F48A5">
        <w:t xml:space="preserve">  </w:t>
      </w:r>
      <w:r w:rsidR="000D4FA5" w:rsidRPr="001F48A5">
        <w:t>Section 1.80(b) of the Rules sets a base forfeiture of $10,000 for operation without an instrument of authorization for each violation or each day of a continuing violation.</w:t>
      </w:r>
      <w:r w:rsidR="000D4FA5">
        <w:rPr>
          <w:rStyle w:val="FootnoteReference"/>
        </w:rPr>
        <w:footnoteReference w:id="22"/>
      </w:r>
      <w:r w:rsidR="000D4FA5" w:rsidRPr="001F48A5">
        <w:t xml:space="preserve">  </w:t>
      </w:r>
    </w:p>
    <w:p w14:paraId="3CC4E977" w14:textId="488890EB" w:rsidR="00D773BF" w:rsidRDefault="000D4FA5" w:rsidP="00FA338B">
      <w:pPr>
        <w:pStyle w:val="ParaNum"/>
        <w:widowControl/>
        <w:tabs>
          <w:tab w:val="num" w:pos="1440"/>
        </w:tabs>
      </w:pPr>
      <w:r>
        <w:t xml:space="preserve">Through its investigation, the Enforcement Bureau has determined that the Station Operators operated an unlicensed station on 93.7 MHz from the Transmission Site on </w:t>
      </w:r>
      <w:r w:rsidR="00577911">
        <w:t>February 26, 2016 and August 29, 2016</w:t>
      </w:r>
      <w:r>
        <w:t xml:space="preserve"> in apparent violation of Section 301 of the Act.  In light of these findings, we propose a base forfeiture of $10,000 for </w:t>
      </w:r>
      <w:r w:rsidR="000F388A">
        <w:t xml:space="preserve">each of </w:t>
      </w:r>
      <w:r>
        <w:t>these apparent violation of Section 301 of the Act</w:t>
      </w:r>
      <w:r w:rsidR="000F388A">
        <w:t>, for an aggregate base forfeiture in the amount of $20,000</w:t>
      </w:r>
      <w:r w:rsidR="00777E08">
        <w:t xml:space="preserve">.  </w:t>
      </w:r>
      <w:r w:rsidRPr="00981F23">
        <w:t>We have discretion, however, to depart from these guidelines, taking into account the particular facts of each individual case.</w:t>
      </w:r>
      <w:r w:rsidRPr="009328F0">
        <w:rPr>
          <w:rStyle w:val="FootnoteReference"/>
          <w:color w:val="000000"/>
          <w:szCs w:val="22"/>
        </w:rPr>
        <w:footnoteReference w:id="23"/>
      </w:r>
      <w:r w:rsidRPr="00981F23">
        <w:t xml:space="preserve">  </w:t>
      </w:r>
      <w:r>
        <w:t xml:space="preserve">On </w:t>
      </w:r>
      <w:r w:rsidR="00577911">
        <w:t>July 30, 2013; August 6, 2013; April 13, 2015; April 13, 20</w:t>
      </w:r>
      <w:r w:rsidR="00A41BAC">
        <w:t>1</w:t>
      </w:r>
      <w:r w:rsidR="00577911">
        <w:t xml:space="preserve">6; and July 8, 2016, </w:t>
      </w:r>
      <w:r>
        <w:t xml:space="preserve">the Los Angeles Office issued written warnings to the Station Operators that transmissions on 93.7 MHz from the Transmission Site were unlawful and </w:t>
      </w:r>
      <w:r w:rsidR="00DF1D6D" w:rsidRPr="0076799A">
        <w:t xml:space="preserve">could subject </w:t>
      </w:r>
      <w:r w:rsidR="00DF1D6D">
        <w:t xml:space="preserve">the Station Operators </w:t>
      </w:r>
      <w:r w:rsidR="00DF1D6D" w:rsidRPr="0076799A">
        <w:t>to further enforcement action, including a substantial monetary forfeiture.</w:t>
      </w:r>
      <w:r w:rsidR="00DF1D6D">
        <w:t xml:space="preserve">  The fact that the Station Operators continued to operate an unlicensed station after being put on notice that their actions contravened the Act, the Rules, and related Commission decisions and orders, demonstrates a deliberate disregard </w:t>
      </w:r>
      <w:r w:rsidR="00DF1D6D" w:rsidRPr="0076799A">
        <w:t xml:space="preserve">for the Commission's authority and requirements. </w:t>
      </w:r>
      <w:r w:rsidR="00DF1D6D">
        <w:t xml:space="preserve"> </w:t>
      </w:r>
      <w:r w:rsidR="00777E08">
        <w:t xml:space="preserve">Based on the record in this case, and </w:t>
      </w:r>
      <w:r w:rsidR="00DF1D6D">
        <w:t>a</w:t>
      </w:r>
      <w:r w:rsidR="00DF1D6D" w:rsidRPr="001F48A5">
        <w:t xml:space="preserve">fter applying the </w:t>
      </w:r>
      <w:r w:rsidR="00DF1D6D" w:rsidRPr="00777E08">
        <w:rPr>
          <w:i/>
        </w:rPr>
        <w:t>Forfeiture Policy Statement</w:t>
      </w:r>
      <w:r w:rsidR="00DF1D6D" w:rsidRPr="001F48A5">
        <w:t>, Section 1.80 of the Rules, and the statutory factors, we propose a total forfeiture of $</w:t>
      </w:r>
      <w:r w:rsidR="000F388A">
        <w:t>2</w:t>
      </w:r>
      <w:r w:rsidR="00DF1D6D">
        <w:t>5</w:t>
      </w:r>
      <w:r w:rsidR="00DF1D6D" w:rsidRPr="001F48A5">
        <w:t xml:space="preserve">,000 for which </w:t>
      </w:r>
      <w:r w:rsidR="00DF1D6D">
        <w:t>the Station Operators are apparently jointly and severally liable.</w:t>
      </w:r>
      <w:r w:rsidR="00577911">
        <w:t xml:space="preserve"> </w:t>
      </w:r>
    </w:p>
    <w:p w14:paraId="66BC6623" w14:textId="24FF4071" w:rsidR="009342C9" w:rsidRDefault="009342C9" w:rsidP="009342C9">
      <w:pPr>
        <w:pStyle w:val="Heading1"/>
      </w:pPr>
      <w:r>
        <w:t>Conclusion</w:t>
      </w:r>
    </w:p>
    <w:p w14:paraId="3C0648C8" w14:textId="683487D3" w:rsidR="009342C9" w:rsidRPr="009342C9" w:rsidRDefault="009342C9" w:rsidP="009342C9">
      <w:pPr>
        <w:pStyle w:val="ParaNum"/>
      </w:pPr>
      <w:r w:rsidRPr="009342C9">
        <w:t xml:space="preserve">We have determined that </w:t>
      </w:r>
      <w:r w:rsidR="000D4FA5">
        <w:t xml:space="preserve">Iglesia el Remanente and </w:t>
      </w:r>
      <w:r w:rsidRPr="009342C9">
        <w:t xml:space="preserve">Mr. </w:t>
      </w:r>
      <w:r>
        <w:t>Lara</w:t>
      </w:r>
      <w:r w:rsidRPr="009342C9">
        <w:t xml:space="preserve"> apparently willfully and repeatedly violated Section 301 of the Act.  As such, </w:t>
      </w:r>
      <w:r w:rsidR="000D4FA5">
        <w:t xml:space="preserve">Iglesia el Remanente and </w:t>
      </w:r>
      <w:r w:rsidRPr="009342C9">
        <w:t xml:space="preserve">Mr. </w:t>
      </w:r>
      <w:r>
        <w:t xml:space="preserve">Lara </w:t>
      </w:r>
      <w:r w:rsidR="000D4FA5">
        <w:t xml:space="preserve">are </w:t>
      </w:r>
      <w:r w:rsidRPr="009342C9">
        <w:t>apparently</w:t>
      </w:r>
      <w:r w:rsidR="000D4FA5">
        <w:t xml:space="preserve"> jointly and severally </w:t>
      </w:r>
      <w:r w:rsidRPr="009342C9">
        <w:t>liable for a forfeiture of $</w:t>
      </w:r>
      <w:r w:rsidR="00F75C2C">
        <w:t>25</w:t>
      </w:r>
      <w:r w:rsidRPr="009342C9">
        <w:t>,000.</w:t>
      </w:r>
    </w:p>
    <w:p w14:paraId="5822E79D" w14:textId="77777777" w:rsidR="009342C9" w:rsidRDefault="009342C9" w:rsidP="009342C9">
      <w:pPr>
        <w:pStyle w:val="Heading1"/>
      </w:pPr>
      <w:r w:rsidRPr="009342C9">
        <w:t>ORDERING CLAUSES</w:t>
      </w:r>
    </w:p>
    <w:p w14:paraId="720CEF57" w14:textId="68D615AD" w:rsidR="009342C9" w:rsidRDefault="009342C9" w:rsidP="009342C9">
      <w:pPr>
        <w:pStyle w:val="ParaNum"/>
      </w:pPr>
      <w:r w:rsidRPr="009342C9">
        <w:t xml:space="preserve">Accordingly, </w:t>
      </w:r>
      <w:r w:rsidRPr="009342C9">
        <w:rPr>
          <w:b/>
        </w:rPr>
        <w:t>IT IS ORDERED</w:t>
      </w:r>
      <w:r w:rsidRPr="009342C9">
        <w:t xml:space="preserve"> that, pursuant to Section 503(b) of the Act</w:t>
      </w:r>
      <w:r w:rsidR="00001547">
        <w:rPr>
          <w:rStyle w:val="FootnoteReference"/>
        </w:rPr>
        <w:footnoteReference w:id="24"/>
      </w:r>
      <w:r w:rsidRPr="009342C9">
        <w:t xml:space="preserve"> and Section 1.80 of the </w:t>
      </w:r>
      <w:r w:rsidR="00001547">
        <w:t>Rules,</w:t>
      </w:r>
      <w:r w:rsidR="00001547">
        <w:rPr>
          <w:rStyle w:val="FootnoteReference"/>
        </w:rPr>
        <w:footnoteReference w:id="25"/>
      </w:r>
      <w:r w:rsidRPr="009342C9">
        <w:t xml:space="preserve"> </w:t>
      </w:r>
      <w:r w:rsidR="000D4FA5">
        <w:t xml:space="preserve">Iglesia el Remanente Fraternidad Elim, Inc. and </w:t>
      </w:r>
      <w:r>
        <w:t xml:space="preserve">Belarmino Lara </w:t>
      </w:r>
      <w:r w:rsidR="000D4FA5">
        <w:t xml:space="preserve">are </w:t>
      </w:r>
      <w:r w:rsidRPr="009342C9">
        <w:t xml:space="preserve">hereby </w:t>
      </w:r>
      <w:r w:rsidRPr="009342C9">
        <w:rPr>
          <w:b/>
        </w:rPr>
        <w:t>NOTIFIED</w:t>
      </w:r>
      <w:r w:rsidRPr="009342C9">
        <w:t xml:space="preserve"> of this </w:t>
      </w:r>
      <w:r w:rsidRPr="009342C9">
        <w:rPr>
          <w:b/>
        </w:rPr>
        <w:t xml:space="preserve">APPARENT </w:t>
      </w:r>
      <w:r w:rsidR="000D4FA5">
        <w:rPr>
          <w:b/>
        </w:rPr>
        <w:t xml:space="preserve">JOINT AND SEVERAL </w:t>
      </w:r>
      <w:r w:rsidRPr="009342C9">
        <w:rPr>
          <w:b/>
        </w:rPr>
        <w:t>LIABILITY FOR A FORFEITURE</w:t>
      </w:r>
      <w:r w:rsidRPr="009342C9">
        <w:t xml:space="preserve"> in the amount of </w:t>
      </w:r>
      <w:r w:rsidR="00F75C2C">
        <w:t>Twenty-Five</w:t>
      </w:r>
      <w:r w:rsidR="00777E08">
        <w:t xml:space="preserve"> </w:t>
      </w:r>
      <w:r w:rsidRPr="009342C9">
        <w:t>Thousand Dollars ($</w:t>
      </w:r>
      <w:r w:rsidR="00F75C2C">
        <w:t>25</w:t>
      </w:r>
      <w:r w:rsidRPr="009342C9">
        <w:t>,000) for willful and repeated violations of Section 301 of the Act.</w:t>
      </w:r>
      <w:r w:rsidR="00001547">
        <w:rPr>
          <w:rStyle w:val="FootnoteReference"/>
        </w:rPr>
        <w:footnoteReference w:id="26"/>
      </w:r>
    </w:p>
    <w:p w14:paraId="3EFE884B" w14:textId="0CC73230" w:rsidR="009342C9" w:rsidRDefault="009342C9" w:rsidP="00D33DB2">
      <w:pPr>
        <w:pStyle w:val="ParaNum"/>
        <w:widowControl/>
      </w:pPr>
      <w:r w:rsidRPr="009342C9">
        <w:rPr>
          <w:b/>
        </w:rPr>
        <w:t>IT IS FURTHER ORDERED</w:t>
      </w:r>
      <w:r w:rsidRPr="009342C9">
        <w:t xml:space="preserve"> that, pursuant to Section 1.80 of the Rules,</w:t>
      </w:r>
      <w:r>
        <w:rPr>
          <w:rStyle w:val="FootnoteReference"/>
        </w:rPr>
        <w:footnoteReference w:id="27"/>
      </w:r>
      <w:r>
        <w:t xml:space="preserve"> </w:t>
      </w:r>
      <w:r w:rsidRPr="009342C9">
        <w:t xml:space="preserve">within thirty (30) calendar days of the release date of this Notice of Apparent Liability for Forfeiture, </w:t>
      </w:r>
      <w:r w:rsidR="000D4FA5">
        <w:rPr>
          <w:spacing w:val="-2"/>
        </w:rPr>
        <w:t xml:space="preserve">Iglesia el Remanente Fraternidad Elim, Inc. and </w:t>
      </w:r>
      <w:r>
        <w:t xml:space="preserve">Belarmino Lara </w:t>
      </w:r>
      <w:r w:rsidRPr="009342C9">
        <w:rPr>
          <w:b/>
        </w:rPr>
        <w:t>SHALL PAY</w:t>
      </w:r>
      <w:r w:rsidRPr="009342C9">
        <w:t xml:space="preserve"> the full amount of the proposed forfeiture or </w:t>
      </w:r>
      <w:r w:rsidRPr="009342C9">
        <w:rPr>
          <w:b/>
        </w:rPr>
        <w:t>SHALL FILE</w:t>
      </w:r>
      <w:r w:rsidRPr="009342C9">
        <w:t xml:space="preserve"> a written statement seeking reduction or cancellation of the proposed forfeiture consistent with paragraph </w:t>
      </w:r>
      <w:r w:rsidR="00B5776D">
        <w:t>19</w:t>
      </w:r>
      <w:r>
        <w:t xml:space="preserve"> </w:t>
      </w:r>
      <w:r w:rsidRPr="009342C9">
        <w:t>below.</w:t>
      </w:r>
    </w:p>
    <w:p w14:paraId="0E1D64FD" w14:textId="46EEAA63" w:rsidR="009342C9" w:rsidRPr="009342C9" w:rsidRDefault="009342C9" w:rsidP="009342C9">
      <w:pPr>
        <w:pStyle w:val="ParaNum"/>
      </w:pPr>
      <w:r w:rsidRPr="009342C9">
        <w:t xml:space="preserve">Payment of the forfeiture must be made by check or similar instrument, wire transfer, or credit card, and must include the NAL/Account Number and FRN referenced above.  </w:t>
      </w:r>
      <w:r w:rsidR="000D4FA5">
        <w:rPr>
          <w:spacing w:val="-2"/>
        </w:rPr>
        <w:t xml:space="preserve">Iglesia el Remanente Fraternidad Elim, Inc. and </w:t>
      </w:r>
      <w:r w:rsidR="00001547">
        <w:t>Belarmino Lara</w:t>
      </w:r>
      <w:r w:rsidRPr="009342C9">
        <w:t xml:space="preserve"> shall send electronic notification of payment to </w:t>
      </w:r>
      <w:r>
        <w:t>WR</w:t>
      </w:r>
      <w:r w:rsidRPr="009342C9">
        <w:t>-Response@fcc.gov and Matthew.Gibson@fcc.gov on the date said payment is made.  Regardless of the form of payment, a completed FCC Form 159 (Remittance Advice) must be submitted.</w:t>
      </w:r>
      <w:r w:rsidR="00001547">
        <w:rPr>
          <w:rStyle w:val="FootnoteReference"/>
        </w:rPr>
        <w:footnoteReference w:id="28"/>
      </w:r>
      <w:r w:rsidRPr="009342C9">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r w:rsidRPr="009342C9">
        <w:tab/>
      </w:r>
    </w:p>
    <w:p w14:paraId="18B7E866" w14:textId="77777777" w:rsidR="009342C9" w:rsidRPr="009342C9" w:rsidRDefault="009342C9" w:rsidP="009342C9">
      <w:pPr>
        <w:numPr>
          <w:ilvl w:val="0"/>
          <w:numId w:val="17"/>
        </w:numPr>
        <w:spacing w:after="120"/>
      </w:pPr>
      <w:r w:rsidRPr="009342C9">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625287B9" w14:textId="77777777" w:rsidR="009342C9" w:rsidRPr="009342C9" w:rsidRDefault="009342C9" w:rsidP="009342C9">
      <w:pPr>
        <w:numPr>
          <w:ilvl w:val="0"/>
          <w:numId w:val="17"/>
        </w:numPr>
        <w:spacing w:after="120"/>
      </w:pPr>
      <w:r w:rsidRPr="009342C9">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1945C4E3" w14:textId="32681E56" w:rsidR="009342C9" w:rsidRPr="009342C9" w:rsidRDefault="009342C9" w:rsidP="009342C9">
      <w:pPr>
        <w:numPr>
          <w:ilvl w:val="0"/>
          <w:numId w:val="17"/>
        </w:numPr>
        <w:spacing w:after="120"/>
      </w:pPr>
      <w:r w:rsidRPr="009342C9">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3E4F20F9" w14:textId="6E9EF44F" w:rsidR="009342C9" w:rsidRDefault="009342C9" w:rsidP="009342C9">
      <w:pPr>
        <w:pStyle w:val="ParaNum"/>
      </w:pPr>
      <w:r w:rsidRPr="009342C9">
        <w:t>Any request for making full payment over time under an installment plan should be sent to:  Chief Financial Officer—Financial Operations, Federal Communications Commission, 445 12th Street, SW, Roo</w:t>
      </w:r>
      <w:r w:rsidR="00001547">
        <w:t>m 1-A625, Washington, DC 20554.</w:t>
      </w:r>
      <w:r w:rsidR="00001547">
        <w:rPr>
          <w:rStyle w:val="FootnoteReference"/>
        </w:rPr>
        <w:footnoteReference w:id="29"/>
      </w:r>
      <w:r w:rsidRPr="009342C9">
        <w:t xml:space="preserve">  Questions regarding payment procedures should be directed to the Financial Operations Group Help Desk by phone, 1-877-480-3201, or by e-mail, ARINQUIRIES@fcc.gov.</w:t>
      </w:r>
    </w:p>
    <w:p w14:paraId="553CE507" w14:textId="3A03607D" w:rsidR="009342C9" w:rsidRDefault="009342C9" w:rsidP="009342C9">
      <w:pPr>
        <w:pStyle w:val="ParaNum"/>
      </w:pPr>
      <w:r w:rsidRPr="009342C9">
        <w:t>The written statement seeking reduction or cancellation of the proposed forfeiture, if any, must include a detailed factual statement supported by appropriate documentation and affidavits pursuant to Sections 1.16 and 1.80(f)(3) of the Rules.</w:t>
      </w:r>
      <w:r w:rsidR="00001547">
        <w:rPr>
          <w:rStyle w:val="FootnoteReference"/>
        </w:rPr>
        <w:footnoteReference w:id="30"/>
      </w:r>
      <w:r w:rsidRPr="009342C9">
        <w:t xml:space="preserve">  The written statement must be mailed to the Federal Communications Commission, </w:t>
      </w:r>
      <w:r w:rsidR="00577911">
        <w:t xml:space="preserve">Los Angeles Field Office, 18000 Studebaker Road, Suite 660, Cerritos, CA 90703 </w:t>
      </w:r>
      <w:r w:rsidRPr="009342C9">
        <w:t xml:space="preserve">and must include the NAL/Account Number referenced in the caption. The statement must also be e-mailed to </w:t>
      </w:r>
      <w:r>
        <w:t>WR</w:t>
      </w:r>
      <w:r w:rsidRPr="009342C9">
        <w:t>-Response@fcc.gov and Matthew.Gibson@fcc.gov.</w:t>
      </w:r>
    </w:p>
    <w:p w14:paraId="093567D9" w14:textId="7F9D06D7" w:rsidR="00CC2BF4" w:rsidRDefault="009342C9" w:rsidP="009342C9">
      <w:pPr>
        <w:pStyle w:val="ParaNum"/>
      </w:pPr>
      <w:r w:rsidRPr="009342C9">
        <w:t>The Commission will not consider reducing or canceling a forfeiture in response to a claim of inability to pay unless the petitioner submits:  (</w:t>
      </w:r>
      <w:r w:rsidRPr="009342C9">
        <w:rPr>
          <w:i/>
        </w:rPr>
        <w:t>1</w:t>
      </w:r>
      <w:r w:rsidRPr="009342C9">
        <w:t>)</w:t>
      </w:r>
      <w:r>
        <w:t> </w:t>
      </w:r>
      <w:r w:rsidRPr="009342C9">
        <w:t>federal tax returns for the most recent three-year period; (</w:t>
      </w:r>
      <w:r w:rsidRPr="009342C9">
        <w:rPr>
          <w:i/>
        </w:rPr>
        <w:t>2</w:t>
      </w:r>
      <w:r w:rsidRPr="009342C9">
        <w:t>)</w:t>
      </w:r>
      <w:r>
        <w:t> </w:t>
      </w:r>
      <w:r w:rsidRPr="009342C9">
        <w:t>financial statements prepared according to generally accepted accounting practices; or (</w:t>
      </w:r>
      <w:r w:rsidRPr="009342C9">
        <w:rPr>
          <w:i/>
        </w:rPr>
        <w:t>3</w:t>
      </w:r>
      <w:r w:rsidRPr="009342C9">
        <w:t>)</w:t>
      </w:r>
      <w:r>
        <w:t> </w:t>
      </w:r>
      <w:r w:rsidRPr="009342C9">
        <w:t>some other reliable and objective documentation that accurately reflects the petitioner’s current financial status.  Any claim of inability to pay must specifically identify the basis for the claim by reference to the financial documentation.</w:t>
      </w:r>
      <w:r>
        <w:t xml:space="preserve"> </w:t>
      </w:r>
    </w:p>
    <w:p w14:paraId="461C6795" w14:textId="77777777" w:rsidR="00CC2BF4" w:rsidRDefault="00CC2BF4">
      <w:pPr>
        <w:widowControl/>
      </w:pPr>
      <w:r>
        <w:br w:type="page"/>
      </w:r>
    </w:p>
    <w:p w14:paraId="1CBB20F9" w14:textId="388EA5B2" w:rsidR="009342C9" w:rsidRDefault="009342C9" w:rsidP="00777E08">
      <w:pPr>
        <w:pStyle w:val="ParaNum"/>
        <w:keepNext/>
        <w:widowControl/>
      </w:pPr>
      <w:r w:rsidRPr="009342C9">
        <w:rPr>
          <w:b/>
        </w:rPr>
        <w:t>IT IS FURTHER ORDERED</w:t>
      </w:r>
      <w:r w:rsidRPr="009342C9">
        <w:t xml:space="preserve"> that a copy of this Notice of Apparent Liability for Forfeiture shall be sent by first class mail and certified mail, return receipt requested, to </w:t>
      </w:r>
      <w:r w:rsidR="000D4FA5">
        <w:rPr>
          <w:spacing w:val="-2"/>
        </w:rPr>
        <w:t xml:space="preserve">Iglesia el Remanente Fraternidad Elim, Inc. and </w:t>
      </w:r>
      <w:r>
        <w:t>Belarmino Lara</w:t>
      </w:r>
      <w:r w:rsidRPr="009342C9">
        <w:t xml:space="preserve"> at </w:t>
      </w:r>
      <w:r w:rsidR="000D4FA5">
        <w:t xml:space="preserve">their mutual </w:t>
      </w:r>
      <w:r w:rsidRPr="009342C9">
        <w:t>address of record.</w:t>
      </w:r>
    </w:p>
    <w:p w14:paraId="4BE41449" w14:textId="77777777" w:rsidR="00D537D9" w:rsidRPr="009342C9" w:rsidRDefault="00D537D9" w:rsidP="00D33DB2">
      <w:pPr>
        <w:pStyle w:val="ParaNum"/>
        <w:keepNext/>
        <w:widowControl/>
        <w:numPr>
          <w:ilvl w:val="0"/>
          <w:numId w:val="0"/>
        </w:numPr>
        <w:ind w:left="720"/>
      </w:pPr>
    </w:p>
    <w:p w14:paraId="7AA0097E" w14:textId="571B65F8" w:rsidR="009342C9" w:rsidRDefault="009342C9" w:rsidP="00777E08">
      <w:pPr>
        <w:keepNext/>
        <w:ind w:left="4320"/>
      </w:pPr>
      <w:r w:rsidRPr="009342C9">
        <w:rPr>
          <w:caps/>
        </w:rPr>
        <w:t>FEDER</w:t>
      </w:r>
      <w:r w:rsidRPr="009342C9">
        <w:t>AL COMMUNICATIONS COMMISSION</w:t>
      </w:r>
    </w:p>
    <w:p w14:paraId="066E78C2" w14:textId="77777777" w:rsidR="009342C9" w:rsidRDefault="009342C9" w:rsidP="009342C9">
      <w:pPr>
        <w:ind w:left="4320"/>
      </w:pPr>
    </w:p>
    <w:p w14:paraId="1B45C59A" w14:textId="77777777" w:rsidR="009342C9" w:rsidRDefault="009342C9" w:rsidP="009342C9">
      <w:pPr>
        <w:ind w:left="4320"/>
      </w:pPr>
    </w:p>
    <w:p w14:paraId="07EB2391" w14:textId="77777777" w:rsidR="00D537D9" w:rsidRDefault="00D537D9" w:rsidP="009342C9">
      <w:pPr>
        <w:ind w:left="4320"/>
      </w:pPr>
    </w:p>
    <w:p w14:paraId="62C02C7E" w14:textId="77777777" w:rsidR="00D537D9" w:rsidRDefault="00D537D9" w:rsidP="009342C9">
      <w:pPr>
        <w:ind w:left="4320"/>
      </w:pPr>
    </w:p>
    <w:p w14:paraId="44CD0090" w14:textId="1A25957F" w:rsidR="009342C9" w:rsidRDefault="009342C9" w:rsidP="009342C9">
      <w:pPr>
        <w:ind w:left="4320"/>
      </w:pPr>
      <w:r>
        <w:t>Lark Hadley</w:t>
      </w:r>
    </w:p>
    <w:p w14:paraId="06F257F9" w14:textId="3C962A20" w:rsidR="009342C9" w:rsidRDefault="009342C9" w:rsidP="009342C9">
      <w:pPr>
        <w:ind w:left="4320"/>
      </w:pPr>
      <w:r>
        <w:t>Regional Director, Region Three</w:t>
      </w:r>
    </w:p>
    <w:p w14:paraId="4604AE0E" w14:textId="3EE812EB" w:rsidR="009342C9" w:rsidRPr="009342C9" w:rsidRDefault="009342C9" w:rsidP="009342C9">
      <w:pPr>
        <w:ind w:left="4320"/>
      </w:pPr>
      <w:r>
        <w:t>Enforcement Bureau</w:t>
      </w:r>
    </w:p>
    <w:sectPr w:rsidR="009342C9" w:rsidRPr="009342C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4409A" w14:textId="77777777" w:rsidR="00BB4946" w:rsidRDefault="00BB4946">
      <w:pPr>
        <w:spacing w:line="20" w:lineRule="exact"/>
      </w:pPr>
    </w:p>
  </w:endnote>
  <w:endnote w:type="continuationSeparator" w:id="0">
    <w:p w14:paraId="08335937" w14:textId="77777777" w:rsidR="00BB4946" w:rsidRDefault="00BB4946">
      <w:r>
        <w:t xml:space="preserve"> </w:t>
      </w:r>
    </w:p>
  </w:endnote>
  <w:endnote w:type="continuationNotice" w:id="1">
    <w:p w14:paraId="4CD39032" w14:textId="77777777" w:rsidR="00BB4946" w:rsidRDefault="00BB494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34509" w14:textId="77777777" w:rsidR="009123B2" w:rsidRDefault="009123B2" w:rsidP="0055614C">
    <w:pPr>
      <w:pStyle w:val="Footer"/>
      <w:framePr w:wrap="around" w:vAnchor="text" w:hAnchor="margin" w:xAlign="center" w:y="1"/>
    </w:pPr>
    <w:r>
      <w:fldChar w:fldCharType="begin"/>
    </w:r>
    <w:r>
      <w:instrText xml:space="preserve">PAGE  </w:instrText>
    </w:r>
    <w:r>
      <w:fldChar w:fldCharType="end"/>
    </w:r>
  </w:p>
  <w:p w14:paraId="4DEC5EB5" w14:textId="77777777" w:rsidR="009123B2" w:rsidRDefault="00912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78A0B" w14:textId="77777777" w:rsidR="009123B2" w:rsidRDefault="009123B2" w:rsidP="0055614C">
    <w:pPr>
      <w:pStyle w:val="Footer"/>
      <w:framePr w:wrap="around" w:vAnchor="text" w:hAnchor="margin" w:xAlign="center" w:y="1"/>
    </w:pPr>
    <w:r>
      <w:fldChar w:fldCharType="begin"/>
    </w:r>
    <w:r>
      <w:instrText xml:space="preserve">PAGE  </w:instrText>
    </w:r>
    <w:r>
      <w:fldChar w:fldCharType="separate"/>
    </w:r>
    <w:r w:rsidR="00E860A2">
      <w:rPr>
        <w:noProof/>
      </w:rPr>
      <w:t>2</w:t>
    </w:r>
    <w:r>
      <w:fldChar w:fldCharType="end"/>
    </w:r>
  </w:p>
  <w:p w14:paraId="76E7A820" w14:textId="77777777" w:rsidR="009123B2" w:rsidRDefault="009123B2">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00730" w14:textId="77777777" w:rsidR="009123B2" w:rsidRDefault="009123B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EAB29" w14:textId="77777777" w:rsidR="00BB4946" w:rsidRDefault="00BB4946">
      <w:r>
        <w:separator/>
      </w:r>
    </w:p>
  </w:footnote>
  <w:footnote w:type="continuationSeparator" w:id="0">
    <w:p w14:paraId="629D5005" w14:textId="77777777" w:rsidR="00BB4946" w:rsidRDefault="00BB4946" w:rsidP="00C721AC">
      <w:pPr>
        <w:spacing w:before="120"/>
        <w:rPr>
          <w:sz w:val="20"/>
        </w:rPr>
      </w:pPr>
      <w:r>
        <w:rPr>
          <w:sz w:val="20"/>
        </w:rPr>
        <w:t xml:space="preserve">(Continued from previous page)  </w:t>
      </w:r>
      <w:r>
        <w:rPr>
          <w:sz w:val="20"/>
        </w:rPr>
        <w:separator/>
      </w:r>
    </w:p>
  </w:footnote>
  <w:footnote w:type="continuationNotice" w:id="1">
    <w:p w14:paraId="384BC214" w14:textId="77777777" w:rsidR="00BB4946" w:rsidRDefault="00BB4946" w:rsidP="00C721AC">
      <w:pPr>
        <w:jc w:val="right"/>
        <w:rPr>
          <w:sz w:val="20"/>
        </w:rPr>
      </w:pPr>
      <w:r>
        <w:rPr>
          <w:sz w:val="20"/>
        </w:rPr>
        <w:t>(continued….)</w:t>
      </w:r>
    </w:p>
  </w:footnote>
  <w:footnote w:id="2">
    <w:p w14:paraId="1648ECEE" w14:textId="5CCA3275" w:rsidR="009123B2" w:rsidRDefault="009123B2">
      <w:pPr>
        <w:pStyle w:val="FootnoteText"/>
      </w:pPr>
      <w:r>
        <w:rPr>
          <w:rStyle w:val="FootnoteReference"/>
        </w:rPr>
        <w:footnoteRef/>
      </w:r>
      <w:r>
        <w:t xml:space="preserve"> </w:t>
      </w:r>
      <w:r w:rsidRPr="008664B1">
        <w:t xml:space="preserve">The investigation began under </w:t>
      </w:r>
      <w:r>
        <w:t xml:space="preserve">File No. EB-FIELDWR-13-00010320 </w:t>
      </w:r>
      <w:r w:rsidRPr="008664B1">
        <w:t>and was subsequently assigned File No</w:t>
      </w:r>
      <w:r>
        <w:t>s</w:t>
      </w:r>
      <w:r w:rsidRPr="008664B1">
        <w:t xml:space="preserve">. </w:t>
      </w:r>
      <w:r>
        <w:t>EB-FIELDWR-15-00018342 and then EB-FIELDWR-15-00019600</w:t>
      </w:r>
      <w:r w:rsidRPr="008664B1">
        <w:t xml:space="preserve">.  Any future correspondence with the Commission concerning this matter should reflect the </w:t>
      </w:r>
      <w:r>
        <w:t xml:space="preserve">most recently assigned </w:t>
      </w:r>
      <w:r w:rsidRPr="008664B1">
        <w:t>case number.</w:t>
      </w:r>
    </w:p>
  </w:footnote>
  <w:footnote w:id="3">
    <w:p w14:paraId="00420A61" w14:textId="234E454F" w:rsidR="009123B2" w:rsidRDefault="009123B2" w:rsidP="00BD6CB3">
      <w:pPr>
        <w:pStyle w:val="FootnoteText"/>
      </w:pPr>
      <w:r>
        <w:rPr>
          <w:rStyle w:val="FootnoteReference"/>
        </w:rPr>
        <w:footnoteRef/>
      </w:r>
      <w:r>
        <w:t xml:space="preserve"> </w:t>
      </w:r>
      <w:r w:rsidRPr="00012728">
        <w:t>Section 15.239 of the Rules provides that non-licensed broadcasting in the 88-108 MHz band is permitted only if the field strength of the transmission does not exceed 250 micro volts per meter (“μV/m”) at three meters.  47 CFR §</w:t>
      </w:r>
      <w:r>
        <w:t> </w:t>
      </w:r>
      <w:r w:rsidRPr="00012728">
        <w:t xml:space="preserve">15.239.  </w:t>
      </w:r>
      <w:r w:rsidRPr="007906BC">
        <w:t xml:space="preserve">Measurements </w:t>
      </w:r>
      <w:r>
        <w:t xml:space="preserve">taken on </w:t>
      </w:r>
      <w:r w:rsidR="003F5AFA">
        <w:t>July 30, 2013</w:t>
      </w:r>
      <w:r>
        <w:t xml:space="preserve">, </w:t>
      </w:r>
      <w:r w:rsidRPr="007906BC">
        <w:t xml:space="preserve">showed </w:t>
      </w:r>
      <w:r>
        <w:t xml:space="preserve">that the station’s field strength significantly exceeded the levels permitted under Part 15.  </w:t>
      </w:r>
    </w:p>
  </w:footnote>
  <w:footnote w:id="4">
    <w:p w14:paraId="0094E4DD" w14:textId="3FC9B867" w:rsidR="009123B2" w:rsidRDefault="009123B2" w:rsidP="00BD6CB3">
      <w:pPr>
        <w:pStyle w:val="FootnoteText"/>
      </w:pPr>
      <w:r>
        <w:rPr>
          <w:rStyle w:val="FootnoteReference"/>
        </w:rPr>
        <w:footnoteRef/>
      </w:r>
      <w:r>
        <w:t xml:space="preserve"> </w:t>
      </w:r>
      <w:r>
        <w:rPr>
          <w:i/>
        </w:rPr>
        <w:t>Resident, Transmission Site</w:t>
      </w:r>
      <w:r>
        <w:t>, Notice of Unlicensed Radio Operation (Los Angeles Field Office, EB, July 30, 2013).</w:t>
      </w:r>
    </w:p>
  </w:footnote>
  <w:footnote w:id="5">
    <w:p w14:paraId="6B1C998C" w14:textId="779F2B28" w:rsidR="009123B2" w:rsidRDefault="009123B2" w:rsidP="00BD6CB3">
      <w:pPr>
        <w:pStyle w:val="FootnoteText"/>
      </w:pPr>
      <w:r>
        <w:rPr>
          <w:rStyle w:val="FootnoteReference"/>
        </w:rPr>
        <w:footnoteRef/>
      </w:r>
      <w:r>
        <w:t xml:space="preserve"> </w:t>
      </w:r>
      <w:r w:rsidRPr="000A4FEE">
        <w:rPr>
          <w:i/>
        </w:rPr>
        <w:t>Belarmino and Sonia Lara</w:t>
      </w:r>
      <w:r>
        <w:t>, Notice of Unlicensed Operation (Los Angeles Field Office, EB, Aug. 6, 2013).</w:t>
      </w:r>
    </w:p>
  </w:footnote>
  <w:footnote w:id="6">
    <w:p w14:paraId="3CA6CFF7" w14:textId="73A711B1" w:rsidR="009123B2" w:rsidRDefault="009123B2" w:rsidP="00C32CFE">
      <w:pPr>
        <w:pStyle w:val="FootnoteText"/>
      </w:pPr>
      <w:r>
        <w:rPr>
          <w:rStyle w:val="FootnoteReference"/>
        </w:rPr>
        <w:footnoteRef/>
      </w:r>
      <w:r>
        <w:t xml:space="preserve"> </w:t>
      </w:r>
      <w:r w:rsidRPr="00012728">
        <w:t>47 CFR §</w:t>
      </w:r>
      <w:r>
        <w:t> </w:t>
      </w:r>
      <w:r w:rsidRPr="00012728">
        <w:t xml:space="preserve">15.239.  </w:t>
      </w:r>
      <w:r w:rsidRPr="007906BC">
        <w:t xml:space="preserve">Measurements </w:t>
      </w:r>
      <w:r>
        <w:t xml:space="preserve">taken on March </w:t>
      </w:r>
      <w:r w:rsidR="003F5AFA">
        <w:t>6</w:t>
      </w:r>
      <w:r>
        <w:t xml:space="preserve">, 2015 </w:t>
      </w:r>
      <w:r w:rsidRPr="007906BC">
        <w:t xml:space="preserve">showed </w:t>
      </w:r>
      <w:r>
        <w:t xml:space="preserve">a field strength that exceeded </w:t>
      </w:r>
      <w:r w:rsidRPr="007906BC">
        <w:t>the permissible level for a non-licensed Part 15 transmitter</w:t>
      </w:r>
      <w:r>
        <w:t>.</w:t>
      </w:r>
    </w:p>
  </w:footnote>
  <w:footnote w:id="7">
    <w:p w14:paraId="1B6BF09C" w14:textId="2BD6CBD1" w:rsidR="009123B2" w:rsidRDefault="009123B2" w:rsidP="00C32CFE">
      <w:pPr>
        <w:pStyle w:val="FootnoteText"/>
      </w:pPr>
      <w:r>
        <w:rPr>
          <w:rStyle w:val="FootnoteReference"/>
        </w:rPr>
        <w:footnoteRef/>
      </w:r>
      <w:r>
        <w:t xml:space="preserve"> </w:t>
      </w:r>
      <w:r w:rsidRPr="008E4C9D">
        <w:rPr>
          <w:i/>
        </w:rPr>
        <w:t>Pastor Belarmino Lara</w:t>
      </w:r>
      <w:r>
        <w:t>, Notice of Unlicensed Operation (Los Angeles Field Office, EB, April 13, 2015).</w:t>
      </w:r>
    </w:p>
  </w:footnote>
  <w:footnote w:id="8">
    <w:p w14:paraId="4D46C8ED" w14:textId="51534C4A" w:rsidR="009123B2" w:rsidRDefault="009123B2">
      <w:pPr>
        <w:pStyle w:val="FootnoteText"/>
      </w:pPr>
      <w:r>
        <w:rPr>
          <w:rStyle w:val="FootnoteReference"/>
        </w:rPr>
        <w:footnoteRef/>
      </w:r>
      <w:r>
        <w:t xml:space="preserve"> </w:t>
      </w:r>
      <w:r w:rsidRPr="00012728">
        <w:t>47 CFR §</w:t>
      </w:r>
      <w:r>
        <w:t> </w:t>
      </w:r>
      <w:r w:rsidRPr="00012728">
        <w:t xml:space="preserve">15.239.  </w:t>
      </w:r>
      <w:r w:rsidRPr="007906BC">
        <w:t xml:space="preserve">Measurements </w:t>
      </w:r>
      <w:r>
        <w:t xml:space="preserve">taken on July 15, 2015 </w:t>
      </w:r>
      <w:r w:rsidRPr="007906BC">
        <w:t xml:space="preserve">showed </w:t>
      </w:r>
      <w:r>
        <w:t xml:space="preserve">a field strength that exceeded </w:t>
      </w:r>
      <w:r w:rsidRPr="007906BC">
        <w:t>the permissible level for a non-licensed Part 15 transmitter</w:t>
      </w:r>
      <w:r>
        <w:t>.</w:t>
      </w:r>
    </w:p>
  </w:footnote>
  <w:footnote w:id="9">
    <w:p w14:paraId="3DBF719D" w14:textId="00F40A80" w:rsidR="009123B2" w:rsidRDefault="009123B2" w:rsidP="00FA338B">
      <w:pPr>
        <w:pStyle w:val="FootnoteText"/>
        <w:widowControl w:val="0"/>
      </w:pPr>
      <w:r>
        <w:rPr>
          <w:rStyle w:val="FootnoteReference"/>
        </w:rPr>
        <w:footnoteRef/>
      </w:r>
      <w:r>
        <w:t xml:space="preserve"> </w:t>
      </w:r>
      <w:r w:rsidRPr="00012728">
        <w:t>47 CFR §</w:t>
      </w:r>
      <w:r>
        <w:t> </w:t>
      </w:r>
      <w:r w:rsidRPr="00012728">
        <w:t xml:space="preserve">15.239.  </w:t>
      </w:r>
      <w:r w:rsidRPr="007906BC">
        <w:t xml:space="preserve">Measurements </w:t>
      </w:r>
      <w:r>
        <w:t xml:space="preserve">taken on February 26, 2016 </w:t>
      </w:r>
      <w:r w:rsidRPr="007906BC">
        <w:t xml:space="preserve">showed </w:t>
      </w:r>
      <w:r>
        <w:t xml:space="preserve">a field strength that exceeded </w:t>
      </w:r>
      <w:r w:rsidRPr="007906BC">
        <w:t>the permissible level for a non-licensed Part 15 transmitter</w:t>
      </w:r>
      <w:r>
        <w:t>.</w:t>
      </w:r>
    </w:p>
  </w:footnote>
  <w:footnote w:id="10">
    <w:p w14:paraId="77C5AC13" w14:textId="27EDBB8F" w:rsidR="009123B2" w:rsidRDefault="009123B2">
      <w:pPr>
        <w:pStyle w:val="FootnoteText"/>
      </w:pPr>
      <w:r>
        <w:rPr>
          <w:rStyle w:val="FootnoteReference"/>
        </w:rPr>
        <w:footnoteRef/>
      </w:r>
      <w:r>
        <w:t xml:space="preserve"> </w:t>
      </w:r>
      <w:r w:rsidRPr="003E61F2">
        <w:rPr>
          <w:i/>
        </w:rPr>
        <w:t>Sonia and Lara Belarmino</w:t>
      </w:r>
      <w:r>
        <w:t>, Notice of Unlicensed Operation (Los Angeles Field Office, EB, April 13, 2016).  When the Third NOUO was re-issued on June 24, 2016, the inversion of the recipients’ names was corrected to read “Sonia and Belarmino Lara.”</w:t>
      </w:r>
    </w:p>
  </w:footnote>
  <w:footnote w:id="11">
    <w:p w14:paraId="670928CB" w14:textId="7FD83125" w:rsidR="009123B2" w:rsidRPr="003E61F2" w:rsidRDefault="009123B2">
      <w:pPr>
        <w:pStyle w:val="FootnoteText"/>
      </w:pPr>
      <w:r>
        <w:rPr>
          <w:rStyle w:val="FootnoteReference"/>
        </w:rPr>
        <w:footnoteRef/>
      </w:r>
      <w:r>
        <w:t xml:space="preserve"> </w:t>
      </w:r>
      <w:r>
        <w:rPr>
          <w:i/>
        </w:rPr>
        <w:t>Belarmino Lara</w:t>
      </w:r>
      <w:r>
        <w:t>, Notice of Unlicensed Radio Operation (Los Angeles Field Office, EB, July 8, 2016).</w:t>
      </w:r>
    </w:p>
  </w:footnote>
  <w:footnote w:id="12">
    <w:p w14:paraId="41BAD7D4" w14:textId="3E322B84" w:rsidR="009123B2" w:rsidRDefault="009123B2">
      <w:pPr>
        <w:pStyle w:val="FootnoteText"/>
      </w:pPr>
      <w:r>
        <w:rPr>
          <w:rStyle w:val="FootnoteReference"/>
        </w:rPr>
        <w:footnoteRef/>
      </w:r>
      <w:r>
        <w:t xml:space="preserve"> 47 CFR § 15.239.  </w:t>
      </w:r>
      <w:r w:rsidRPr="007906BC">
        <w:t xml:space="preserve">Measurements </w:t>
      </w:r>
      <w:r>
        <w:t xml:space="preserve">taken on August 29, 2016 </w:t>
      </w:r>
      <w:r w:rsidRPr="007906BC">
        <w:t xml:space="preserve">showed </w:t>
      </w:r>
      <w:r>
        <w:t xml:space="preserve">a field strength that exceeded </w:t>
      </w:r>
      <w:r w:rsidRPr="007906BC">
        <w:t>the permissible level for a non-licensed Part 15 transmitter</w:t>
      </w:r>
      <w:r>
        <w:t>.</w:t>
      </w:r>
    </w:p>
  </w:footnote>
  <w:footnote w:id="13">
    <w:p w14:paraId="64455B9D" w14:textId="243D40FD" w:rsidR="009123B2" w:rsidRDefault="009123B2">
      <w:pPr>
        <w:pStyle w:val="FootnoteText"/>
      </w:pPr>
      <w:r>
        <w:rPr>
          <w:rStyle w:val="FootnoteReference"/>
        </w:rPr>
        <w:footnoteRef/>
      </w:r>
      <w:r>
        <w:t xml:space="preserve"> 47 U.S.C. § 301.</w:t>
      </w:r>
    </w:p>
  </w:footnote>
  <w:footnote w:id="14">
    <w:p w14:paraId="72E37280" w14:textId="42ACEDCC" w:rsidR="009123B2" w:rsidRPr="003E61F2" w:rsidRDefault="009123B2">
      <w:pPr>
        <w:pStyle w:val="FootnoteText"/>
        <w:rPr>
          <w:i/>
        </w:rPr>
      </w:pPr>
      <w:r>
        <w:rPr>
          <w:rStyle w:val="FootnoteReference"/>
        </w:rPr>
        <w:footnoteRef/>
      </w:r>
      <w:r>
        <w:t xml:space="preserve"> </w:t>
      </w:r>
      <w:r>
        <w:rPr>
          <w:i/>
        </w:rPr>
        <w:t>See</w:t>
      </w:r>
      <w:r>
        <w:t xml:space="preserve"> </w:t>
      </w:r>
      <w:r w:rsidRPr="003E61F2">
        <w:rPr>
          <w:i/>
        </w:rPr>
        <w:t>First</w:t>
      </w:r>
      <w:r>
        <w:t xml:space="preserve"> </w:t>
      </w:r>
      <w:r>
        <w:rPr>
          <w:i/>
        </w:rPr>
        <w:t>Field Notice</w:t>
      </w:r>
      <w:r>
        <w:t xml:space="preserve">, </w:t>
      </w:r>
      <w:r>
        <w:rPr>
          <w:i/>
        </w:rPr>
        <w:t>First NOUO</w:t>
      </w:r>
      <w:r>
        <w:t xml:space="preserve">, </w:t>
      </w:r>
      <w:r>
        <w:rPr>
          <w:i/>
        </w:rPr>
        <w:t>Second NOUO</w:t>
      </w:r>
      <w:r>
        <w:t xml:space="preserve">, </w:t>
      </w:r>
      <w:r>
        <w:rPr>
          <w:i/>
        </w:rPr>
        <w:t>Third NOUO</w:t>
      </w:r>
      <w:r>
        <w:t xml:space="preserve">, and </w:t>
      </w:r>
      <w:r>
        <w:rPr>
          <w:i/>
        </w:rPr>
        <w:t>Second Field Notice.</w:t>
      </w:r>
    </w:p>
  </w:footnote>
  <w:footnote w:id="15">
    <w:p w14:paraId="717E402D" w14:textId="77777777" w:rsidR="009123B2" w:rsidRPr="00AF4EE5" w:rsidRDefault="009123B2" w:rsidP="008A246C">
      <w:pPr>
        <w:pStyle w:val="FootnoteText"/>
        <w:rPr>
          <w:i/>
        </w:rPr>
      </w:pPr>
      <w:r>
        <w:rPr>
          <w:rStyle w:val="FootnoteReference"/>
        </w:rPr>
        <w:footnoteRef/>
      </w:r>
      <w:r>
        <w:t xml:space="preserve"> </w:t>
      </w:r>
      <w:r>
        <w:rPr>
          <w:i/>
        </w:rPr>
        <w:t>Andre Alleyne Jesse White</w:t>
      </w:r>
      <w:r w:rsidRPr="00AF4EE5">
        <w:t>¸</w:t>
      </w:r>
      <w:r>
        <w:t xml:space="preserve"> </w:t>
      </w:r>
      <w:r w:rsidRPr="00AF4EE5">
        <w:t>Forfeiture Order,</w:t>
      </w:r>
      <w:r>
        <w:rPr>
          <w:i/>
        </w:rPr>
        <w:t xml:space="preserve"> </w:t>
      </w:r>
      <w:r w:rsidRPr="00AF4EE5">
        <w:t>26 FCC Rcd 10372 (EB 2011)</w:t>
      </w:r>
      <w:r>
        <w:rPr>
          <w:i/>
        </w:rPr>
        <w:t>.</w:t>
      </w:r>
    </w:p>
  </w:footnote>
  <w:footnote w:id="16">
    <w:p w14:paraId="1370F4AA" w14:textId="1592FEA3" w:rsidR="009123B2" w:rsidRPr="00FA08FE" w:rsidRDefault="009123B2" w:rsidP="008A246C">
      <w:pPr>
        <w:pStyle w:val="FootnoteText"/>
      </w:pPr>
      <w:r>
        <w:rPr>
          <w:rStyle w:val="FootnoteReference"/>
        </w:rPr>
        <w:footnoteRef/>
      </w:r>
      <w:r>
        <w:t xml:space="preserve"> </w:t>
      </w:r>
      <w:r>
        <w:rPr>
          <w:i/>
        </w:rPr>
        <w:t>Id.</w:t>
      </w:r>
      <w:r>
        <w:t xml:space="preserve"> at 10374, para. 8 (finding parties “equally culpable” for violating Section 301 in light of the fact that both parties participated in the operation of the station).</w:t>
      </w:r>
    </w:p>
  </w:footnote>
  <w:footnote w:id="17">
    <w:p w14:paraId="35F1BFB9" w14:textId="77777777" w:rsidR="009123B2" w:rsidRDefault="009123B2" w:rsidP="00DF1D6D">
      <w:pPr>
        <w:pStyle w:val="FootnoteText"/>
      </w:pPr>
      <w:r>
        <w:rPr>
          <w:rStyle w:val="FootnoteReference"/>
        </w:rPr>
        <w:footnoteRef/>
      </w:r>
      <w:r>
        <w:t xml:space="preserve"> </w:t>
      </w:r>
      <w:r>
        <w:rPr>
          <w:color w:val="000000"/>
        </w:rPr>
        <w:t>47 U.S.C. § 503(b).</w:t>
      </w:r>
    </w:p>
  </w:footnote>
  <w:footnote w:id="18">
    <w:p w14:paraId="1654F526" w14:textId="2386198E" w:rsidR="009123B2" w:rsidRDefault="009123B2" w:rsidP="00DF1D6D">
      <w:pPr>
        <w:pStyle w:val="FootnoteText"/>
      </w:pPr>
      <w:r>
        <w:rPr>
          <w:rStyle w:val="FootnoteReference"/>
        </w:rPr>
        <w:footnoteRef/>
      </w:r>
      <w:r>
        <w:t xml:space="preserve"> </w:t>
      </w:r>
      <w:r w:rsidRPr="00540D70">
        <w:rPr>
          <w:i/>
          <w:color w:val="000000"/>
        </w:rPr>
        <w:t>See</w:t>
      </w:r>
      <w:r w:rsidRPr="00540D70">
        <w:rPr>
          <w:color w:val="000000"/>
        </w:rPr>
        <w:t xml:space="preserve"> 47 U.S.C. § 503(b)(2)(D); 47 CFR §§ 1.80(b)(7), (9).  These amounts reflect inflation adjustments to the forfeitures specified in Section 503(b)(2)(D) ($10,000 per violation or per day of a continuing violation and $75,000 per any single act or failure to act).  The Federal Civil Penalties Inflation Adjustment Act of 1990, Pub. L. No. 101-410, 104 Stat. 890, as amended by the Debt Collection Improvement Act of 1996, Pub. L. No. 104-134, Sec. 31001, 110 Stat. 1321 (DCIA),</w:t>
      </w:r>
      <w:r w:rsidRPr="00981FF8">
        <w:t xml:space="preserve"> </w:t>
      </w:r>
      <w:r>
        <w:t xml:space="preserve">as further amended by the Federal Reports Elimination Act of 1998, Pub. L. No. 105-362, Sec. 1301, 112 Stat. 3280, </w:t>
      </w:r>
      <w:r w:rsidRPr="00540D70">
        <w:rPr>
          <w:color w:val="000000"/>
        </w:rPr>
        <w:t xml:space="preserve">and as further amended by the Federal Civil Penalties Inflation Adjustment Act Improvements Act of 2015, Sec. 701, Pub. L. No. 114-74, 129 Stat. 599 (codified as amended 28 U.S.C. § 2461 note) (the 2015 Inflation Adjustment Act), requires the Commission to adjust its penalties for inflation and publish interim final rules with the initial penalty adjustment amounts by July 1, 2016 and new penalty levels must take effect no later than August 1, 2016.  </w:t>
      </w:r>
      <w:r w:rsidRPr="00540D70">
        <w:rPr>
          <w:i/>
          <w:color w:val="000000"/>
        </w:rPr>
        <w:t>See</w:t>
      </w:r>
      <w:r w:rsidRPr="00540D70">
        <w:rPr>
          <w:color w:val="000000"/>
        </w:rPr>
        <w:t xml:space="preserve"> 28 U.S.C. § 2461 note.  The Commission published those interim final rules on June 30, 2016.  </w:t>
      </w:r>
      <w:r w:rsidRPr="00540D70">
        <w:rPr>
          <w:i/>
          <w:color w:val="000000"/>
        </w:rPr>
        <w:t>See</w:t>
      </w:r>
      <w:r w:rsidRPr="00540D70">
        <w:rPr>
          <w:color w:val="000000"/>
        </w:rPr>
        <w:t xml:space="preserve"> </w:t>
      </w:r>
      <w:r w:rsidRPr="00540D70">
        <w:rPr>
          <w:i/>
          <w:color w:val="000000"/>
        </w:rPr>
        <w:t>Amendment of Section 1.80(b) of the Commission’s Rules, Adjustment of Civil Monetary Penalties to Reflect Inflation</w:t>
      </w:r>
      <w:r w:rsidRPr="00540D70">
        <w:rPr>
          <w:color w:val="000000"/>
        </w:rPr>
        <w:t xml:space="preserve">, Order, </w:t>
      </w:r>
      <w:r>
        <w:rPr>
          <w:color w:val="000000"/>
        </w:rPr>
        <w:t xml:space="preserve">31 FCC Rcd 6793 </w:t>
      </w:r>
      <w:r w:rsidRPr="00540D70">
        <w:rPr>
          <w:color w:val="000000"/>
        </w:rPr>
        <w:t xml:space="preserve">(EB 2016); </w:t>
      </w:r>
      <w:r w:rsidRPr="00540D70">
        <w:rPr>
          <w:i/>
          <w:color w:val="000000"/>
        </w:rPr>
        <w:t>see also</w:t>
      </w:r>
      <w:r w:rsidRPr="00540D70">
        <w:rPr>
          <w:color w:val="000000"/>
        </w:rPr>
        <w:t xml:space="preserve"> </w:t>
      </w:r>
      <w:r w:rsidRPr="00540D70">
        <w:rPr>
          <w:i/>
          <w:color w:val="000000"/>
        </w:rPr>
        <w:t>Adjustment of Civil Monetary Penalties to Reflect Inflation</w:t>
      </w:r>
      <w:r w:rsidRPr="00540D70">
        <w:rPr>
          <w:color w:val="000000"/>
        </w:rPr>
        <w:t xml:space="preserve">, 81 Fed. Reg. 42554 (June 30, 2016) (setting August 1, 2016, as the effective date for the increases).  The adjustments to the civil monetary penalties adopted by the Bureau pursuant to 2015 Inflation Adjustment Act will apply only to such penalties assessed after the effective date of the amendments to Section 1.80(b).  </w:t>
      </w:r>
      <w:r w:rsidRPr="00540D70">
        <w:rPr>
          <w:i/>
          <w:color w:val="000000"/>
        </w:rPr>
        <w:t>See</w:t>
      </w:r>
      <w:r w:rsidRPr="00540D70">
        <w:rPr>
          <w:color w:val="000000"/>
        </w:rPr>
        <w:t xml:space="preserve"> 28 U.S.C. § 2461 note (6).</w:t>
      </w:r>
    </w:p>
  </w:footnote>
  <w:footnote w:id="19">
    <w:p w14:paraId="544D7D95" w14:textId="77777777" w:rsidR="009123B2" w:rsidRDefault="009123B2" w:rsidP="00DF1D6D">
      <w:pPr>
        <w:pStyle w:val="FootnoteText"/>
      </w:pPr>
      <w:r>
        <w:rPr>
          <w:rStyle w:val="FootnoteReference"/>
        </w:rPr>
        <w:footnoteRef/>
      </w:r>
      <w:r>
        <w:t xml:space="preserve"> </w:t>
      </w:r>
      <w:r w:rsidRPr="009328F0">
        <w:rPr>
          <w:color w:val="000000"/>
          <w:lang w:val="es-ES"/>
        </w:rPr>
        <w:t>47 U.S.C. § 503(b)(2)(E).</w:t>
      </w:r>
    </w:p>
  </w:footnote>
  <w:footnote w:id="20">
    <w:p w14:paraId="3BD7A19C" w14:textId="77777777" w:rsidR="009123B2" w:rsidRDefault="009123B2" w:rsidP="00DF1D6D">
      <w:pPr>
        <w:pStyle w:val="FootnoteText"/>
      </w:pPr>
      <w:r>
        <w:rPr>
          <w:rStyle w:val="FootnoteReference"/>
        </w:rPr>
        <w:footnoteRef/>
      </w:r>
      <w:r>
        <w:t xml:space="preserve"> </w:t>
      </w:r>
      <w:r w:rsidRPr="009328F0">
        <w:rPr>
          <w:color w:val="000000"/>
        </w:rPr>
        <w:t>47 CFR § 1.80(b)(8), Note to paragraph (b)(8)</w:t>
      </w:r>
      <w:r>
        <w:rPr>
          <w:color w:val="000000"/>
        </w:rPr>
        <w:t xml:space="preserve">; </w:t>
      </w:r>
      <w:r w:rsidRPr="009328F0">
        <w:rPr>
          <w:i/>
          <w:color w:val="000000"/>
        </w:rPr>
        <w:t>The Commission’s Forfeiture Policy Statement and Amendment of Section 1.80 of the Rules to Incorporate the Forfeiture Guidelines</w:t>
      </w:r>
      <w:r w:rsidRPr="009328F0">
        <w:rPr>
          <w:color w:val="000000"/>
        </w:rPr>
        <w:t>, Report and Order, 12 FCC Rcd 17087, 17098</w:t>
      </w:r>
      <w:r>
        <w:rPr>
          <w:color w:val="000000"/>
        </w:rPr>
        <w:t>-</w:t>
      </w:r>
      <w:r w:rsidRPr="009328F0">
        <w:rPr>
          <w:color w:val="000000"/>
        </w:rPr>
        <w:t>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9328F0">
        <w:rPr>
          <w:i/>
          <w:color w:val="000000"/>
        </w:rPr>
        <w:t>Forfeiture Policy Statement</w:t>
      </w:r>
      <w:r w:rsidRPr="009328F0">
        <w:rPr>
          <w:color w:val="000000"/>
        </w:rPr>
        <w:t xml:space="preserve">), </w:t>
      </w:r>
      <w:r w:rsidRPr="009328F0">
        <w:rPr>
          <w:i/>
          <w:color w:val="000000"/>
        </w:rPr>
        <w:t>recons. denied</w:t>
      </w:r>
      <w:r w:rsidRPr="009328F0">
        <w:rPr>
          <w:color w:val="000000"/>
        </w:rPr>
        <w:t>, Memorandum Opinion and Order, 15 FCC Rcd 303 (1999).</w:t>
      </w:r>
      <w:r>
        <w:rPr>
          <w:color w:val="000000"/>
        </w:rPr>
        <w:t xml:space="preserve">  </w:t>
      </w:r>
    </w:p>
  </w:footnote>
  <w:footnote w:id="21">
    <w:p w14:paraId="5A5FA766" w14:textId="77777777" w:rsidR="009123B2" w:rsidRDefault="009123B2" w:rsidP="00DF1D6D">
      <w:pPr>
        <w:pStyle w:val="FootnoteText"/>
      </w:pPr>
      <w:r>
        <w:rPr>
          <w:rStyle w:val="FootnoteReference"/>
        </w:rPr>
        <w:footnoteRef/>
      </w:r>
      <w:r>
        <w:t xml:space="preserve"> </w:t>
      </w:r>
      <w:r w:rsidRPr="009328F0">
        <w:rPr>
          <w:color w:val="000000"/>
        </w:rPr>
        <w:t>47 CFR § 1.80(b)(8)</w:t>
      </w:r>
      <w:r>
        <w:rPr>
          <w:color w:val="000000"/>
        </w:rPr>
        <w:t xml:space="preserve">, </w:t>
      </w:r>
      <w:r w:rsidRPr="009328F0">
        <w:rPr>
          <w:color w:val="000000"/>
        </w:rPr>
        <w:t>Note to paragraph (b)(8)</w:t>
      </w:r>
      <w:r>
        <w:rPr>
          <w:color w:val="000000"/>
        </w:rPr>
        <w:t>.</w:t>
      </w:r>
    </w:p>
  </w:footnote>
  <w:footnote w:id="22">
    <w:p w14:paraId="31868128" w14:textId="77777777" w:rsidR="009123B2" w:rsidRDefault="009123B2" w:rsidP="000D4FA5">
      <w:pPr>
        <w:pStyle w:val="FootnoteText"/>
      </w:pPr>
      <w:r>
        <w:rPr>
          <w:rStyle w:val="FootnoteReference"/>
        </w:rPr>
        <w:footnoteRef/>
      </w:r>
      <w:r>
        <w:t xml:space="preserve"> 47 CFR § 1.80(b).</w:t>
      </w:r>
    </w:p>
  </w:footnote>
  <w:footnote w:id="23">
    <w:p w14:paraId="02902F1F" w14:textId="4FCA4629" w:rsidR="009123B2" w:rsidRPr="009328F0" w:rsidRDefault="009123B2" w:rsidP="000D4FA5">
      <w:pPr>
        <w:pStyle w:val="FootnoteText"/>
        <w:rPr>
          <w:color w:val="000000"/>
        </w:rPr>
      </w:pPr>
      <w:r w:rsidRPr="009328F0">
        <w:rPr>
          <w:rStyle w:val="FootnoteReference"/>
          <w:color w:val="000000"/>
        </w:rPr>
        <w:footnoteRef/>
      </w:r>
      <w:r w:rsidRPr="009328F0">
        <w:rPr>
          <w:color w:val="000000"/>
        </w:rPr>
        <w:t xml:space="preserve"> 47 CFR § 1.80(b)(8), Note to paragraph (b)(8)</w:t>
      </w:r>
      <w:r>
        <w:rPr>
          <w:color w:val="000000"/>
        </w:rPr>
        <w:t>.</w:t>
      </w:r>
    </w:p>
  </w:footnote>
  <w:footnote w:id="24">
    <w:p w14:paraId="3738D667" w14:textId="6F6B95B9" w:rsidR="009123B2" w:rsidRDefault="009123B2">
      <w:pPr>
        <w:pStyle w:val="FootnoteText"/>
      </w:pPr>
      <w:r>
        <w:rPr>
          <w:rStyle w:val="FootnoteReference"/>
        </w:rPr>
        <w:footnoteRef/>
      </w:r>
      <w:r>
        <w:t xml:space="preserve"> </w:t>
      </w:r>
      <w:r w:rsidRPr="00D21FAE">
        <w:rPr>
          <w:color w:val="000000"/>
        </w:rPr>
        <w:t>47 U.S.C. § 503(b).</w:t>
      </w:r>
    </w:p>
  </w:footnote>
  <w:footnote w:id="25">
    <w:p w14:paraId="745C5639" w14:textId="639A89CB" w:rsidR="009123B2" w:rsidRDefault="009123B2">
      <w:pPr>
        <w:pStyle w:val="FootnoteText"/>
      </w:pPr>
      <w:r>
        <w:rPr>
          <w:rStyle w:val="FootnoteReference"/>
        </w:rPr>
        <w:footnoteRef/>
      </w:r>
      <w:r>
        <w:t xml:space="preserve"> </w:t>
      </w:r>
      <w:r w:rsidRPr="00D21FAE">
        <w:rPr>
          <w:color w:val="000000"/>
          <w:lang w:val="es-ES"/>
        </w:rPr>
        <w:t>47 CFR § 1.80.</w:t>
      </w:r>
    </w:p>
  </w:footnote>
  <w:footnote w:id="26">
    <w:p w14:paraId="733F8047" w14:textId="5563F674" w:rsidR="009123B2" w:rsidRDefault="009123B2">
      <w:pPr>
        <w:pStyle w:val="FootnoteText"/>
      </w:pPr>
      <w:r>
        <w:rPr>
          <w:rStyle w:val="FootnoteReference"/>
        </w:rPr>
        <w:footnoteRef/>
      </w:r>
      <w:r>
        <w:t xml:space="preserve"> 47 U.S.C. § 301.</w:t>
      </w:r>
    </w:p>
  </w:footnote>
  <w:footnote w:id="27">
    <w:p w14:paraId="41D46E14" w14:textId="24D8511C" w:rsidR="009123B2" w:rsidRDefault="009123B2">
      <w:pPr>
        <w:pStyle w:val="FootnoteText"/>
      </w:pPr>
      <w:r>
        <w:rPr>
          <w:rStyle w:val="FootnoteReference"/>
        </w:rPr>
        <w:footnoteRef/>
      </w:r>
      <w:r>
        <w:t xml:space="preserve"> </w:t>
      </w:r>
      <w:r w:rsidRPr="00D21FAE">
        <w:rPr>
          <w:color w:val="000000"/>
        </w:rPr>
        <w:t>47 CFR § 1.80.</w:t>
      </w:r>
    </w:p>
  </w:footnote>
  <w:footnote w:id="28">
    <w:p w14:paraId="528D8825" w14:textId="2BD962AD" w:rsidR="009123B2" w:rsidRDefault="009123B2">
      <w:pPr>
        <w:pStyle w:val="FootnoteText"/>
      </w:pPr>
      <w:r>
        <w:rPr>
          <w:rStyle w:val="FootnoteReference"/>
        </w:rPr>
        <w:footnoteRef/>
      </w:r>
      <w:r>
        <w:t xml:space="preserve"> </w:t>
      </w:r>
      <w:r w:rsidRPr="00D21FAE">
        <w:rPr>
          <w:rFonts w:eastAsia="MS Mincho"/>
          <w:color w:val="000000"/>
        </w:rPr>
        <w:t>An FCC Form 159 and detailed instructions for completing the form may be obtained at http://www.fcc.gov/Forms/Form159/159.pdf.</w:t>
      </w:r>
    </w:p>
  </w:footnote>
  <w:footnote w:id="29">
    <w:p w14:paraId="630F6B77" w14:textId="1336F0FC" w:rsidR="009123B2" w:rsidRDefault="009123B2">
      <w:pPr>
        <w:pStyle w:val="FootnoteText"/>
      </w:pPr>
      <w:r>
        <w:rPr>
          <w:rStyle w:val="FootnoteReference"/>
        </w:rPr>
        <w:footnoteRef/>
      </w:r>
      <w:r>
        <w:t xml:space="preserve"> </w:t>
      </w:r>
      <w:r w:rsidRPr="00344C0B">
        <w:rPr>
          <w:i/>
        </w:rPr>
        <w:t>See</w:t>
      </w:r>
      <w:r w:rsidRPr="00344C0B">
        <w:t xml:space="preserve"> 47 </w:t>
      </w:r>
      <w:r>
        <w:t>CFR</w:t>
      </w:r>
      <w:r w:rsidRPr="00344C0B">
        <w:t xml:space="preserve"> § 1.1914.</w:t>
      </w:r>
    </w:p>
  </w:footnote>
  <w:footnote w:id="30">
    <w:p w14:paraId="7D15A235" w14:textId="666A5A23" w:rsidR="009123B2" w:rsidRDefault="009123B2">
      <w:pPr>
        <w:pStyle w:val="FootnoteText"/>
      </w:pPr>
      <w:r>
        <w:rPr>
          <w:rStyle w:val="FootnoteReference"/>
        </w:rPr>
        <w:footnoteRef/>
      </w:r>
      <w:r>
        <w:t xml:space="preserve"> </w:t>
      </w:r>
      <w:r w:rsidRPr="00D21FAE">
        <w:rPr>
          <w:color w:val="000000"/>
        </w:rPr>
        <w:t>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C2612" w14:textId="77777777" w:rsidR="009C4398" w:rsidRDefault="009C4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AAA8F" w14:textId="48DE6EF4" w:rsidR="009123B2" w:rsidRDefault="009123B2" w:rsidP="00810B6F">
    <w:pPr>
      <w:pStyle w:val="Header"/>
      <w:rPr>
        <w:b w:val="0"/>
      </w:rPr>
    </w:pPr>
    <w:r>
      <w:tab/>
      <w:t>Federal Communications Commission</w:t>
    </w:r>
    <w:r>
      <w:tab/>
      <w:t>DA 16-</w:t>
    </w:r>
    <w:r w:rsidR="00EC31FB">
      <w:t>1330</w:t>
    </w:r>
  </w:p>
  <w:p w14:paraId="3E8E2F2E" w14:textId="0609D0EC" w:rsidR="009123B2" w:rsidRDefault="009123B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8D2C150" wp14:editId="65A1AA29">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DED14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FB4C70F" w14:textId="77777777" w:rsidR="009123B2" w:rsidRDefault="009123B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25ADD" w14:textId="1F91469A" w:rsidR="009123B2" w:rsidRDefault="009123B2" w:rsidP="00810B6F">
    <w:pPr>
      <w:pStyle w:val="Header"/>
      <w:rPr>
        <w:b w:val="0"/>
      </w:rPr>
    </w:pPr>
    <w:r>
      <w:rPr>
        <w:noProof/>
      </w:rPr>
      <mc:AlternateContent>
        <mc:Choice Requires="wps">
          <w:drawing>
            <wp:anchor distT="0" distB="0" distL="114300" distR="114300" simplePos="0" relativeHeight="251658240" behindDoc="1" locked="0" layoutInCell="0" allowOverlap="1" wp14:anchorId="484F0356" wp14:editId="5E7B4DFE">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2B5F5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 16-</w:t>
    </w:r>
    <w:r w:rsidR="00EC31FB">
      <w:t>1330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BA5FDE"/>
    <w:lvl w:ilvl="0">
      <w:start w:val="1"/>
      <w:numFmt w:val="decimal"/>
      <w:lvlText w:val="%1."/>
      <w:lvlJc w:val="left"/>
      <w:pPr>
        <w:tabs>
          <w:tab w:val="num" w:pos="1800"/>
        </w:tabs>
        <w:ind w:left="1800" w:hanging="360"/>
      </w:pPr>
    </w:lvl>
  </w:abstractNum>
  <w:abstractNum w:abstractNumId="1">
    <w:nsid w:val="FFFFFF7D"/>
    <w:multiLevelType w:val="singleLevel"/>
    <w:tmpl w:val="50EE16CC"/>
    <w:lvl w:ilvl="0">
      <w:start w:val="1"/>
      <w:numFmt w:val="decimal"/>
      <w:lvlText w:val="%1."/>
      <w:lvlJc w:val="left"/>
      <w:pPr>
        <w:tabs>
          <w:tab w:val="num" w:pos="1440"/>
        </w:tabs>
        <w:ind w:left="1440" w:hanging="360"/>
      </w:pPr>
    </w:lvl>
  </w:abstractNum>
  <w:abstractNum w:abstractNumId="2">
    <w:nsid w:val="FFFFFF7E"/>
    <w:multiLevelType w:val="singleLevel"/>
    <w:tmpl w:val="94BC56DA"/>
    <w:lvl w:ilvl="0">
      <w:start w:val="1"/>
      <w:numFmt w:val="decimal"/>
      <w:lvlText w:val="%1."/>
      <w:lvlJc w:val="left"/>
      <w:pPr>
        <w:tabs>
          <w:tab w:val="num" w:pos="1080"/>
        </w:tabs>
        <w:ind w:left="1080" w:hanging="360"/>
      </w:pPr>
    </w:lvl>
  </w:abstractNum>
  <w:abstractNum w:abstractNumId="3">
    <w:nsid w:val="FFFFFF7F"/>
    <w:multiLevelType w:val="singleLevel"/>
    <w:tmpl w:val="4198CFB2"/>
    <w:lvl w:ilvl="0">
      <w:start w:val="1"/>
      <w:numFmt w:val="decimal"/>
      <w:lvlText w:val="%1."/>
      <w:lvlJc w:val="left"/>
      <w:pPr>
        <w:tabs>
          <w:tab w:val="num" w:pos="720"/>
        </w:tabs>
        <w:ind w:left="720" w:hanging="360"/>
      </w:pPr>
    </w:lvl>
  </w:abstractNum>
  <w:abstractNum w:abstractNumId="4">
    <w:nsid w:val="FFFFFF80"/>
    <w:multiLevelType w:val="singleLevel"/>
    <w:tmpl w:val="12F21E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98B7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D472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065C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380C54"/>
    <w:lvl w:ilvl="0">
      <w:start w:val="1"/>
      <w:numFmt w:val="decimal"/>
      <w:lvlText w:val="%1."/>
      <w:lvlJc w:val="left"/>
      <w:pPr>
        <w:tabs>
          <w:tab w:val="num" w:pos="360"/>
        </w:tabs>
        <w:ind w:left="360" w:hanging="360"/>
      </w:pPr>
    </w:lvl>
  </w:abstractNum>
  <w:abstractNum w:abstractNumId="9">
    <w:nsid w:val="FFFFFF89"/>
    <w:multiLevelType w:val="singleLevel"/>
    <w:tmpl w:val="F77CD09A"/>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0DE11473"/>
    <w:multiLevelType w:val="hybridMultilevel"/>
    <w:tmpl w:val="65C49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2"/>
  </w:num>
  <w:num w:numId="2">
    <w:abstractNumId w:val="16"/>
  </w:num>
  <w:num w:numId="3">
    <w:abstractNumId w:val="14"/>
  </w:num>
  <w:num w:numId="4">
    <w:abstractNumId w:val="15"/>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09"/>
    <w:rsid w:val="00001547"/>
    <w:rsid w:val="00036039"/>
    <w:rsid w:val="00037F90"/>
    <w:rsid w:val="000807E7"/>
    <w:rsid w:val="00083DE1"/>
    <w:rsid w:val="000875BF"/>
    <w:rsid w:val="00096D8C"/>
    <w:rsid w:val="000A4FEE"/>
    <w:rsid w:val="000C0B65"/>
    <w:rsid w:val="000D4FA5"/>
    <w:rsid w:val="000E05FE"/>
    <w:rsid w:val="000E3D42"/>
    <w:rsid w:val="000F388A"/>
    <w:rsid w:val="00122BD5"/>
    <w:rsid w:val="001314CE"/>
    <w:rsid w:val="00133F79"/>
    <w:rsid w:val="00183448"/>
    <w:rsid w:val="00194A66"/>
    <w:rsid w:val="001D6BCF"/>
    <w:rsid w:val="001E01CA"/>
    <w:rsid w:val="00200E09"/>
    <w:rsid w:val="00275CF5"/>
    <w:rsid w:val="0028301F"/>
    <w:rsid w:val="00285017"/>
    <w:rsid w:val="002A2D2E"/>
    <w:rsid w:val="002C00E8"/>
    <w:rsid w:val="002D48D2"/>
    <w:rsid w:val="00307AEE"/>
    <w:rsid w:val="00322C9D"/>
    <w:rsid w:val="00343749"/>
    <w:rsid w:val="003660ED"/>
    <w:rsid w:val="003B0550"/>
    <w:rsid w:val="003B694F"/>
    <w:rsid w:val="003E61F2"/>
    <w:rsid w:val="003F171C"/>
    <w:rsid w:val="003F5AFA"/>
    <w:rsid w:val="00412FC5"/>
    <w:rsid w:val="00422276"/>
    <w:rsid w:val="004242F1"/>
    <w:rsid w:val="00445A00"/>
    <w:rsid w:val="00451B0F"/>
    <w:rsid w:val="0048728A"/>
    <w:rsid w:val="004C2EE3"/>
    <w:rsid w:val="004C7967"/>
    <w:rsid w:val="004D7288"/>
    <w:rsid w:val="004E4A22"/>
    <w:rsid w:val="00511968"/>
    <w:rsid w:val="00527304"/>
    <w:rsid w:val="00555EAE"/>
    <w:rsid w:val="0055614C"/>
    <w:rsid w:val="00562472"/>
    <w:rsid w:val="00577911"/>
    <w:rsid w:val="005A6A5B"/>
    <w:rsid w:val="005C3752"/>
    <w:rsid w:val="005E025E"/>
    <w:rsid w:val="005E0499"/>
    <w:rsid w:val="005E14C2"/>
    <w:rsid w:val="005F0125"/>
    <w:rsid w:val="00607BA5"/>
    <w:rsid w:val="0061180A"/>
    <w:rsid w:val="00626A52"/>
    <w:rsid w:val="00626EB6"/>
    <w:rsid w:val="00655D03"/>
    <w:rsid w:val="00683388"/>
    <w:rsid w:val="00683F84"/>
    <w:rsid w:val="006A6A81"/>
    <w:rsid w:val="006C314A"/>
    <w:rsid w:val="006F63F2"/>
    <w:rsid w:val="006F7393"/>
    <w:rsid w:val="0070224F"/>
    <w:rsid w:val="007115F7"/>
    <w:rsid w:val="00777E08"/>
    <w:rsid w:val="00785689"/>
    <w:rsid w:val="0079754B"/>
    <w:rsid w:val="007A1E6D"/>
    <w:rsid w:val="007A5F3D"/>
    <w:rsid w:val="007A7A2E"/>
    <w:rsid w:val="007B0EB2"/>
    <w:rsid w:val="007C3115"/>
    <w:rsid w:val="007E7FCF"/>
    <w:rsid w:val="00810B6F"/>
    <w:rsid w:val="00822CE0"/>
    <w:rsid w:val="00841AB1"/>
    <w:rsid w:val="008664B1"/>
    <w:rsid w:val="008905A7"/>
    <w:rsid w:val="008A246C"/>
    <w:rsid w:val="008C68F1"/>
    <w:rsid w:val="008E4C9D"/>
    <w:rsid w:val="009123B2"/>
    <w:rsid w:val="00921803"/>
    <w:rsid w:val="00926503"/>
    <w:rsid w:val="009342C9"/>
    <w:rsid w:val="00962A6D"/>
    <w:rsid w:val="009726D8"/>
    <w:rsid w:val="009C4398"/>
    <w:rsid w:val="009F76DB"/>
    <w:rsid w:val="00A32C3B"/>
    <w:rsid w:val="00A41BAC"/>
    <w:rsid w:val="00A45F4F"/>
    <w:rsid w:val="00A600A9"/>
    <w:rsid w:val="00AA55B7"/>
    <w:rsid w:val="00AA5B9E"/>
    <w:rsid w:val="00AB2407"/>
    <w:rsid w:val="00AB53DF"/>
    <w:rsid w:val="00AD1B7C"/>
    <w:rsid w:val="00B07E5C"/>
    <w:rsid w:val="00B5776D"/>
    <w:rsid w:val="00B811F7"/>
    <w:rsid w:val="00BA5DC6"/>
    <w:rsid w:val="00BA6196"/>
    <w:rsid w:val="00BB4946"/>
    <w:rsid w:val="00BC6D8C"/>
    <w:rsid w:val="00BD6CB3"/>
    <w:rsid w:val="00C32CFE"/>
    <w:rsid w:val="00C34006"/>
    <w:rsid w:val="00C426B1"/>
    <w:rsid w:val="00C66160"/>
    <w:rsid w:val="00C721AC"/>
    <w:rsid w:val="00C90D6A"/>
    <w:rsid w:val="00CA247E"/>
    <w:rsid w:val="00CC2BF4"/>
    <w:rsid w:val="00CC72B6"/>
    <w:rsid w:val="00CD5F01"/>
    <w:rsid w:val="00CD7F07"/>
    <w:rsid w:val="00D0218D"/>
    <w:rsid w:val="00D06776"/>
    <w:rsid w:val="00D25FB5"/>
    <w:rsid w:val="00D33DB2"/>
    <w:rsid w:val="00D44223"/>
    <w:rsid w:val="00D537D9"/>
    <w:rsid w:val="00D773BF"/>
    <w:rsid w:val="00DA2529"/>
    <w:rsid w:val="00DB130A"/>
    <w:rsid w:val="00DB2EBB"/>
    <w:rsid w:val="00DC10A1"/>
    <w:rsid w:val="00DC655F"/>
    <w:rsid w:val="00DD0B59"/>
    <w:rsid w:val="00DD7EBD"/>
    <w:rsid w:val="00DF1D6D"/>
    <w:rsid w:val="00DF62B6"/>
    <w:rsid w:val="00E07225"/>
    <w:rsid w:val="00E5409F"/>
    <w:rsid w:val="00E860A2"/>
    <w:rsid w:val="00EC31FB"/>
    <w:rsid w:val="00ED7E99"/>
    <w:rsid w:val="00EE6488"/>
    <w:rsid w:val="00F021FA"/>
    <w:rsid w:val="00F0579F"/>
    <w:rsid w:val="00F62E97"/>
    <w:rsid w:val="00F64209"/>
    <w:rsid w:val="00F71E79"/>
    <w:rsid w:val="00F75C2C"/>
    <w:rsid w:val="00F8234E"/>
    <w:rsid w:val="00F93BF5"/>
    <w:rsid w:val="00FA3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E8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562472"/>
    <w:pPr>
      <w:numPr>
        <w:numId w:val="2"/>
      </w:numPr>
      <w:tabs>
        <w:tab w:val="clear" w:pos="1080"/>
        <w:tab w:val="left"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link w:val="FootnoteTextChar"/>
    <w:rsid w:val="000E3D42"/>
    <w:pPr>
      <w:spacing w:after="120"/>
    </w:pPr>
  </w:style>
  <w:style w:type="character" w:styleId="FootnoteReference">
    <w:name w:val="footnote reference"/>
    <w:aliases w:val="Style 4,Appel note de bas de p,Style 12,(NECG) Footnote Reference,Style 124,Style 13,o,fr,Style 3,Footnote Reference1,FR,Style 17,Style 6,Footnote Reference/,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 Char1,rrfootnote Char Char Char1,Style 5 Char Char Char1,Footnote Text Char Char Char Char1,Footnote Text Char1 Char Char Char Char1,Footnote Text Char Char Char Char Char Char1,fn Char1,Styl Char"/>
    <w:link w:val="FootnoteText"/>
    <w:rsid w:val="00BD6CB3"/>
  </w:style>
  <w:style w:type="character" w:customStyle="1" w:styleId="HeaderChar">
    <w:name w:val="Header Char"/>
    <w:link w:val="Header"/>
    <w:rsid w:val="005E025E"/>
    <w:rPr>
      <w:b/>
      <w:snapToGrid w:val="0"/>
      <w:kern w:val="28"/>
      <w:sz w:val="22"/>
    </w:rPr>
  </w:style>
  <w:style w:type="character" w:customStyle="1" w:styleId="ParaNumChar">
    <w:name w:val="ParaNum Char"/>
    <w:link w:val="ParaNum"/>
    <w:locked/>
    <w:rsid w:val="00D773BF"/>
    <w:rPr>
      <w:snapToGrid w:val="0"/>
      <w:kern w:val="28"/>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uiPriority w:val="99"/>
    <w:locked/>
    <w:rsid w:val="00D773BF"/>
  </w:style>
  <w:style w:type="paragraph" w:styleId="BalloonText">
    <w:name w:val="Balloon Text"/>
    <w:basedOn w:val="Normal"/>
    <w:link w:val="BalloonTextChar"/>
    <w:rsid w:val="00962A6D"/>
    <w:rPr>
      <w:rFonts w:ascii="Segoe UI" w:hAnsi="Segoe UI" w:cs="Segoe UI"/>
      <w:sz w:val="18"/>
      <w:szCs w:val="18"/>
    </w:rPr>
  </w:style>
  <w:style w:type="character" w:customStyle="1" w:styleId="BalloonTextChar">
    <w:name w:val="Balloon Text Char"/>
    <w:link w:val="BalloonText"/>
    <w:rsid w:val="00962A6D"/>
    <w:rPr>
      <w:rFonts w:ascii="Segoe UI" w:hAnsi="Segoe UI" w:cs="Segoe UI"/>
      <w:snapToGrid w:val="0"/>
      <w:kern w:val="28"/>
      <w:sz w:val="18"/>
      <w:szCs w:val="18"/>
    </w:rPr>
  </w:style>
  <w:style w:type="character" w:styleId="CommentReference">
    <w:name w:val="annotation reference"/>
    <w:rsid w:val="00527304"/>
    <w:rPr>
      <w:sz w:val="16"/>
      <w:szCs w:val="16"/>
    </w:rPr>
  </w:style>
  <w:style w:type="paragraph" w:styleId="CommentText">
    <w:name w:val="annotation text"/>
    <w:basedOn w:val="Normal"/>
    <w:link w:val="CommentTextChar"/>
    <w:rsid w:val="00527304"/>
    <w:rPr>
      <w:sz w:val="20"/>
    </w:rPr>
  </w:style>
  <w:style w:type="character" w:customStyle="1" w:styleId="CommentTextChar">
    <w:name w:val="Comment Text Char"/>
    <w:link w:val="CommentText"/>
    <w:rsid w:val="00527304"/>
    <w:rPr>
      <w:snapToGrid w:val="0"/>
      <w:kern w:val="28"/>
    </w:rPr>
  </w:style>
  <w:style w:type="paragraph" w:styleId="CommentSubject">
    <w:name w:val="annotation subject"/>
    <w:basedOn w:val="CommentText"/>
    <w:next w:val="CommentText"/>
    <w:link w:val="CommentSubjectChar"/>
    <w:rsid w:val="00527304"/>
    <w:rPr>
      <w:b/>
      <w:bCs/>
    </w:rPr>
  </w:style>
  <w:style w:type="character" w:customStyle="1" w:styleId="CommentSubjectChar">
    <w:name w:val="Comment Subject Char"/>
    <w:link w:val="CommentSubject"/>
    <w:rsid w:val="00527304"/>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562472"/>
    <w:pPr>
      <w:numPr>
        <w:numId w:val="2"/>
      </w:numPr>
      <w:tabs>
        <w:tab w:val="clear" w:pos="1080"/>
        <w:tab w:val="left"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link w:val="FootnoteTextChar"/>
    <w:rsid w:val="000E3D42"/>
    <w:pPr>
      <w:spacing w:after="120"/>
    </w:pPr>
  </w:style>
  <w:style w:type="character" w:styleId="FootnoteReference">
    <w:name w:val="footnote reference"/>
    <w:aliases w:val="Style 4,Appel note de bas de p,Style 12,(NECG) Footnote Reference,Style 124,Style 13,o,fr,Style 3,Footnote Reference1,FR,Style 17,Style 6,Footnote Reference/,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 Char1,rrfootnote Char Char Char1,Style 5 Char Char Char1,Footnote Text Char Char Char Char1,Footnote Text Char1 Char Char Char Char1,Footnote Text Char Char Char Char Char Char1,fn Char1,Styl Char"/>
    <w:link w:val="FootnoteText"/>
    <w:rsid w:val="00BD6CB3"/>
  </w:style>
  <w:style w:type="character" w:customStyle="1" w:styleId="HeaderChar">
    <w:name w:val="Header Char"/>
    <w:link w:val="Header"/>
    <w:rsid w:val="005E025E"/>
    <w:rPr>
      <w:b/>
      <w:snapToGrid w:val="0"/>
      <w:kern w:val="28"/>
      <w:sz w:val="22"/>
    </w:rPr>
  </w:style>
  <w:style w:type="character" w:customStyle="1" w:styleId="ParaNumChar">
    <w:name w:val="ParaNum Char"/>
    <w:link w:val="ParaNum"/>
    <w:locked/>
    <w:rsid w:val="00D773BF"/>
    <w:rPr>
      <w:snapToGrid w:val="0"/>
      <w:kern w:val="28"/>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uiPriority w:val="99"/>
    <w:locked/>
    <w:rsid w:val="00D773BF"/>
  </w:style>
  <w:style w:type="paragraph" w:styleId="BalloonText">
    <w:name w:val="Balloon Text"/>
    <w:basedOn w:val="Normal"/>
    <w:link w:val="BalloonTextChar"/>
    <w:rsid w:val="00962A6D"/>
    <w:rPr>
      <w:rFonts w:ascii="Segoe UI" w:hAnsi="Segoe UI" w:cs="Segoe UI"/>
      <w:sz w:val="18"/>
      <w:szCs w:val="18"/>
    </w:rPr>
  </w:style>
  <w:style w:type="character" w:customStyle="1" w:styleId="BalloonTextChar">
    <w:name w:val="Balloon Text Char"/>
    <w:link w:val="BalloonText"/>
    <w:rsid w:val="00962A6D"/>
    <w:rPr>
      <w:rFonts w:ascii="Segoe UI" w:hAnsi="Segoe UI" w:cs="Segoe UI"/>
      <w:snapToGrid w:val="0"/>
      <w:kern w:val="28"/>
      <w:sz w:val="18"/>
      <w:szCs w:val="18"/>
    </w:rPr>
  </w:style>
  <w:style w:type="character" w:styleId="CommentReference">
    <w:name w:val="annotation reference"/>
    <w:rsid w:val="00527304"/>
    <w:rPr>
      <w:sz w:val="16"/>
      <w:szCs w:val="16"/>
    </w:rPr>
  </w:style>
  <w:style w:type="paragraph" w:styleId="CommentText">
    <w:name w:val="annotation text"/>
    <w:basedOn w:val="Normal"/>
    <w:link w:val="CommentTextChar"/>
    <w:rsid w:val="00527304"/>
    <w:rPr>
      <w:sz w:val="20"/>
    </w:rPr>
  </w:style>
  <w:style w:type="character" w:customStyle="1" w:styleId="CommentTextChar">
    <w:name w:val="Comment Text Char"/>
    <w:link w:val="CommentText"/>
    <w:rsid w:val="00527304"/>
    <w:rPr>
      <w:snapToGrid w:val="0"/>
      <w:kern w:val="28"/>
    </w:rPr>
  </w:style>
  <w:style w:type="paragraph" w:styleId="CommentSubject">
    <w:name w:val="annotation subject"/>
    <w:basedOn w:val="CommentText"/>
    <w:next w:val="CommentText"/>
    <w:link w:val="CommentSubjectChar"/>
    <w:rsid w:val="00527304"/>
    <w:rPr>
      <w:b/>
      <w:bCs/>
    </w:rPr>
  </w:style>
  <w:style w:type="character" w:customStyle="1" w:styleId="CommentSubjectChar">
    <w:name w:val="Comment Subject Char"/>
    <w:link w:val="CommentSubject"/>
    <w:rsid w:val="0052730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2804</Words>
  <Characters>14935</Characters>
  <Application>Microsoft Office Word</Application>
  <DocSecurity>0</DocSecurity>
  <Lines>239</Lines>
  <Paragraphs>57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17767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2016-12-01T16:19:00Z</cp:lastPrinted>
  <dcterms:created xsi:type="dcterms:W3CDTF">2016-12-06T19:05:00Z</dcterms:created>
  <dcterms:modified xsi:type="dcterms:W3CDTF">2016-12-06T19:05:00Z</dcterms:modified>
  <cp:category> </cp:category>
  <cp:contentStatus> </cp:contentStatus>
</cp:coreProperties>
</file>