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FA5063" w14:textId="77777777" w:rsidR="00EC2E9E" w:rsidRDefault="00EC2E9E">
      <w:pPr>
        <w:jc w:val="center"/>
        <w:rPr>
          <w:b/>
        </w:rPr>
      </w:pPr>
      <w:bookmarkStart w:id="0" w:name="_GoBack"/>
      <w:bookmarkEnd w:id="0"/>
      <w:r>
        <w:rPr>
          <w:b/>
        </w:rPr>
        <w:t>Before the</w:t>
      </w:r>
    </w:p>
    <w:p w14:paraId="5BEAD468" w14:textId="77777777" w:rsidR="00EC2E9E" w:rsidRDefault="00EC2E9E">
      <w:pPr>
        <w:jc w:val="center"/>
        <w:rPr>
          <w:b/>
        </w:rPr>
      </w:pPr>
      <w:r>
        <w:rPr>
          <w:b/>
        </w:rPr>
        <w:t>Federal Communications Commission</w:t>
      </w:r>
    </w:p>
    <w:p w14:paraId="5AE38FF1" w14:textId="77777777" w:rsidR="00EC2E9E" w:rsidRDefault="00EC2E9E">
      <w:pPr>
        <w:jc w:val="center"/>
        <w:rPr>
          <w:b/>
        </w:rPr>
      </w:pPr>
      <w:r>
        <w:rPr>
          <w:b/>
        </w:rPr>
        <w:t>Washington, D.C. 20554</w:t>
      </w:r>
    </w:p>
    <w:p w14:paraId="6715FB8C" w14:textId="77777777" w:rsidR="00EC2E9E" w:rsidRDefault="00EC2E9E"/>
    <w:p w14:paraId="51601262" w14:textId="77777777" w:rsidR="00EC2E9E" w:rsidRDefault="00EC2E9E"/>
    <w:tbl>
      <w:tblPr>
        <w:tblW w:w="0" w:type="auto"/>
        <w:tblLayout w:type="fixed"/>
        <w:tblLook w:val="0000" w:firstRow="0" w:lastRow="0" w:firstColumn="0" w:lastColumn="0" w:noHBand="0" w:noVBand="0"/>
      </w:tblPr>
      <w:tblGrid>
        <w:gridCol w:w="4914"/>
        <w:gridCol w:w="720"/>
        <w:gridCol w:w="4230"/>
      </w:tblGrid>
      <w:tr w:rsidR="00EC2E9E" w14:paraId="1851E3DE" w14:textId="77777777">
        <w:trPr>
          <w:trHeight w:val="253"/>
        </w:trPr>
        <w:tc>
          <w:tcPr>
            <w:tcW w:w="4914" w:type="dxa"/>
          </w:tcPr>
          <w:p w14:paraId="6DAE2259" w14:textId="77777777" w:rsidR="00EC2E9E" w:rsidRDefault="00EC2E9E">
            <w:pPr>
              <w:snapToGrid w:val="0"/>
              <w:ind w:right="-18"/>
            </w:pPr>
            <w:r>
              <w:t>In the Matter of</w:t>
            </w:r>
          </w:p>
          <w:p w14:paraId="4C68ADFD" w14:textId="77777777" w:rsidR="00EC2E9E" w:rsidRDefault="00EC2E9E">
            <w:pPr>
              <w:ind w:right="-18"/>
            </w:pPr>
          </w:p>
          <w:p w14:paraId="66E78DE9" w14:textId="77777777" w:rsidR="00EC2E9E" w:rsidRDefault="00EC2E9E">
            <w:pPr>
              <w:ind w:right="-18"/>
            </w:pPr>
          </w:p>
          <w:p w14:paraId="5C3C1D07" w14:textId="77777777" w:rsidR="00665EBA" w:rsidRDefault="00665EBA">
            <w:pPr>
              <w:ind w:right="-18"/>
              <w:rPr>
                <w:rFonts w:ascii="Times" w:hAnsi="Times"/>
              </w:rPr>
            </w:pPr>
            <w:r>
              <w:rPr>
                <w:rFonts w:ascii="Times" w:hAnsi="Times"/>
              </w:rPr>
              <w:t>EchoStar Technologies L.L.C.</w:t>
            </w:r>
          </w:p>
          <w:p w14:paraId="39FB14D3" w14:textId="77777777" w:rsidR="00FA2085" w:rsidRDefault="00FA2085">
            <w:pPr>
              <w:ind w:right="-18"/>
              <w:rPr>
                <w:rFonts w:ascii="Times" w:hAnsi="Times"/>
              </w:rPr>
            </w:pPr>
          </w:p>
          <w:p w14:paraId="705AAC9B" w14:textId="53613E6A" w:rsidR="00FA2085" w:rsidRDefault="00FA2085">
            <w:pPr>
              <w:ind w:right="-18"/>
              <w:rPr>
                <w:rFonts w:ascii="Times" w:hAnsi="Times"/>
              </w:rPr>
            </w:pPr>
            <w:r>
              <w:t>Hauppauge Computer Works, Inc.</w:t>
            </w:r>
          </w:p>
          <w:p w14:paraId="5A3BD2C6" w14:textId="77777777" w:rsidR="00C341F8" w:rsidRDefault="00C341F8">
            <w:pPr>
              <w:ind w:right="-18"/>
              <w:rPr>
                <w:rFonts w:ascii="Times" w:hAnsi="Times"/>
              </w:rPr>
            </w:pPr>
          </w:p>
          <w:p w14:paraId="044D535C" w14:textId="42234BB3" w:rsidR="00EC2E9E" w:rsidRDefault="00C341F8" w:rsidP="001B0C40">
            <w:pPr>
              <w:ind w:right="-18"/>
            </w:pPr>
            <w:r>
              <w:rPr>
                <w:rFonts w:ascii="Times" w:hAnsi="Times"/>
              </w:rPr>
              <w:t>Petition</w:t>
            </w:r>
            <w:r w:rsidR="00FA2085">
              <w:rPr>
                <w:rFonts w:ascii="Times" w:hAnsi="Times"/>
              </w:rPr>
              <w:t>s</w:t>
            </w:r>
            <w:r>
              <w:rPr>
                <w:rFonts w:ascii="Times" w:hAnsi="Times"/>
              </w:rPr>
              <w:t xml:space="preserve"> for Waiver of Section 15.117(b) of the Commission’s Rules</w:t>
            </w:r>
          </w:p>
        </w:tc>
        <w:tc>
          <w:tcPr>
            <w:tcW w:w="720" w:type="dxa"/>
          </w:tcPr>
          <w:p w14:paraId="25839849" w14:textId="77777777" w:rsidR="00EC2E9E" w:rsidRDefault="00EC2E9E">
            <w:pPr>
              <w:snapToGrid w:val="0"/>
              <w:rPr>
                <w:b/>
              </w:rPr>
            </w:pPr>
            <w:r>
              <w:rPr>
                <w:b/>
              </w:rPr>
              <w:t>)</w:t>
            </w:r>
          </w:p>
          <w:p w14:paraId="4475F446" w14:textId="77777777" w:rsidR="00EC2E9E" w:rsidRDefault="00EC2E9E">
            <w:pPr>
              <w:rPr>
                <w:b/>
              </w:rPr>
            </w:pPr>
            <w:r>
              <w:rPr>
                <w:b/>
              </w:rPr>
              <w:t>)</w:t>
            </w:r>
          </w:p>
          <w:p w14:paraId="7C28ED67" w14:textId="77777777" w:rsidR="00EC2E9E" w:rsidRDefault="00EC2E9E">
            <w:pPr>
              <w:rPr>
                <w:b/>
              </w:rPr>
            </w:pPr>
            <w:r>
              <w:rPr>
                <w:b/>
              </w:rPr>
              <w:t>)</w:t>
            </w:r>
          </w:p>
          <w:p w14:paraId="49288FAA" w14:textId="77777777" w:rsidR="00EC2E9E" w:rsidRDefault="00EC2E9E">
            <w:pPr>
              <w:rPr>
                <w:b/>
              </w:rPr>
            </w:pPr>
            <w:r>
              <w:rPr>
                <w:b/>
              </w:rPr>
              <w:t>)</w:t>
            </w:r>
          </w:p>
          <w:p w14:paraId="341C415A" w14:textId="77777777" w:rsidR="00EC2E9E" w:rsidRDefault="00EC2E9E">
            <w:pPr>
              <w:rPr>
                <w:b/>
              </w:rPr>
            </w:pPr>
            <w:r>
              <w:rPr>
                <w:b/>
              </w:rPr>
              <w:t>)</w:t>
            </w:r>
          </w:p>
          <w:p w14:paraId="3B03F64F" w14:textId="77777777" w:rsidR="00EC2E9E" w:rsidRDefault="00EC2E9E">
            <w:pPr>
              <w:rPr>
                <w:b/>
              </w:rPr>
            </w:pPr>
            <w:r>
              <w:rPr>
                <w:b/>
              </w:rPr>
              <w:t>)</w:t>
            </w:r>
          </w:p>
          <w:p w14:paraId="220CFBA9" w14:textId="77777777" w:rsidR="00EC2E9E" w:rsidRDefault="00EC2E9E">
            <w:pPr>
              <w:rPr>
                <w:b/>
              </w:rPr>
            </w:pPr>
            <w:r>
              <w:rPr>
                <w:b/>
              </w:rPr>
              <w:t>)</w:t>
            </w:r>
          </w:p>
          <w:p w14:paraId="671F3665" w14:textId="77777777" w:rsidR="00EC2E9E" w:rsidRDefault="00EC2E9E">
            <w:pPr>
              <w:rPr>
                <w:b/>
              </w:rPr>
            </w:pPr>
            <w:r>
              <w:rPr>
                <w:b/>
              </w:rPr>
              <w:t>)</w:t>
            </w:r>
          </w:p>
          <w:p w14:paraId="33769CC8" w14:textId="77777777" w:rsidR="00EC2E9E" w:rsidRDefault="00EC2E9E">
            <w:pPr>
              <w:rPr>
                <w:b/>
              </w:rPr>
            </w:pPr>
            <w:r>
              <w:rPr>
                <w:b/>
              </w:rPr>
              <w:t>)</w:t>
            </w:r>
          </w:p>
          <w:p w14:paraId="68696132" w14:textId="77777777" w:rsidR="00EC2E9E" w:rsidRDefault="00EC2E9E">
            <w:pPr>
              <w:rPr>
                <w:b/>
              </w:rPr>
            </w:pPr>
          </w:p>
        </w:tc>
        <w:tc>
          <w:tcPr>
            <w:tcW w:w="4230" w:type="dxa"/>
          </w:tcPr>
          <w:p w14:paraId="2DC2B260" w14:textId="77777777" w:rsidR="00EC2E9E" w:rsidRDefault="00EC2E9E">
            <w:pPr>
              <w:snapToGrid w:val="0"/>
            </w:pPr>
          </w:p>
          <w:p w14:paraId="2141E657" w14:textId="77777777" w:rsidR="00EC2E9E" w:rsidRDefault="00EC2E9E"/>
          <w:p w14:paraId="782E6CCC" w14:textId="77777777" w:rsidR="00EC2E9E" w:rsidRDefault="00EC2E9E">
            <w:pPr>
              <w:rPr>
                <w:spacing w:val="-2"/>
              </w:rPr>
            </w:pPr>
          </w:p>
          <w:p w14:paraId="2810BC1B" w14:textId="38D52F43" w:rsidR="00EC2E9E" w:rsidRDefault="00EC2E9E">
            <w:pPr>
              <w:rPr>
                <w:spacing w:val="-2"/>
              </w:rPr>
            </w:pPr>
            <w:r>
              <w:rPr>
                <w:spacing w:val="-2"/>
              </w:rPr>
              <w:t>MB Docket No.</w:t>
            </w:r>
            <w:r w:rsidR="00C341F8">
              <w:rPr>
                <w:spacing w:val="-2"/>
              </w:rPr>
              <w:t xml:space="preserve"> 16-329</w:t>
            </w:r>
            <w:r>
              <w:rPr>
                <w:spacing w:val="-2"/>
              </w:rPr>
              <w:t xml:space="preserve"> </w:t>
            </w:r>
          </w:p>
          <w:p w14:paraId="04311642" w14:textId="77777777" w:rsidR="00EC2E9E" w:rsidRDefault="00EC2E9E">
            <w:pPr>
              <w:rPr>
                <w:spacing w:val="-2"/>
              </w:rPr>
            </w:pPr>
          </w:p>
          <w:p w14:paraId="6A2FA1E3" w14:textId="3C7B230A" w:rsidR="00EC2E9E" w:rsidRDefault="00FA2085">
            <w:pPr>
              <w:rPr>
                <w:spacing w:val="-2"/>
              </w:rPr>
            </w:pPr>
            <w:r>
              <w:rPr>
                <w:spacing w:val="-2"/>
              </w:rPr>
              <w:t>MB Docket No. 16-360</w:t>
            </w:r>
          </w:p>
          <w:p w14:paraId="0B1AA5A8" w14:textId="77777777" w:rsidR="00EC2E9E" w:rsidRDefault="00EC2E9E"/>
        </w:tc>
      </w:tr>
    </w:tbl>
    <w:p w14:paraId="189F7A37" w14:textId="77777777" w:rsidR="00EC2E9E" w:rsidRDefault="00EC2E9E">
      <w:pPr>
        <w:spacing w:before="120"/>
        <w:jc w:val="center"/>
        <w:rPr>
          <w:b/>
          <w:spacing w:val="-2"/>
        </w:rPr>
      </w:pPr>
      <w:r>
        <w:rPr>
          <w:b/>
          <w:spacing w:val="-2"/>
        </w:rPr>
        <w:t>MEMORANDUM OPINION AND ORDER</w:t>
      </w:r>
    </w:p>
    <w:p w14:paraId="39205D28" w14:textId="77777777" w:rsidR="00EC2E9E" w:rsidRDefault="00EC2E9E"/>
    <w:p w14:paraId="29A2A4D2" w14:textId="0E780CF8" w:rsidR="00EC2E9E" w:rsidRDefault="001B0C40">
      <w:pPr>
        <w:tabs>
          <w:tab w:val="right" w:pos="9360"/>
        </w:tabs>
        <w:rPr>
          <w:b/>
        </w:rPr>
      </w:pPr>
      <w:r>
        <w:rPr>
          <w:b/>
        </w:rPr>
        <w:t xml:space="preserve">Adopted:  </w:t>
      </w:r>
      <w:r w:rsidR="00EB2165">
        <w:rPr>
          <w:b/>
        </w:rPr>
        <w:t xml:space="preserve"> </w:t>
      </w:r>
      <w:r w:rsidR="00472B2D">
        <w:rPr>
          <w:b/>
        </w:rPr>
        <w:t>December 1, 2016</w:t>
      </w:r>
      <w:r w:rsidR="00EB2165">
        <w:rPr>
          <w:b/>
        </w:rPr>
        <w:t xml:space="preserve">                                                                  </w:t>
      </w:r>
      <w:r w:rsidR="00EC2E9E">
        <w:rPr>
          <w:b/>
        </w:rPr>
        <w:t>Released:</w:t>
      </w:r>
      <w:r w:rsidR="00EB2165">
        <w:rPr>
          <w:b/>
        </w:rPr>
        <w:t xml:space="preserve"> </w:t>
      </w:r>
      <w:r w:rsidR="00472B2D">
        <w:rPr>
          <w:b/>
        </w:rPr>
        <w:t>December 1, 2016</w:t>
      </w:r>
    </w:p>
    <w:p w14:paraId="5F99C53C" w14:textId="77777777" w:rsidR="00EC2E9E" w:rsidRDefault="00EC2E9E">
      <w:pPr>
        <w:tabs>
          <w:tab w:val="left" w:pos="5760"/>
        </w:tabs>
        <w:rPr>
          <w:b/>
        </w:rPr>
      </w:pPr>
    </w:p>
    <w:p w14:paraId="29306A70" w14:textId="77777777" w:rsidR="00EC2E9E" w:rsidRDefault="00EC2E9E">
      <w:pPr>
        <w:tabs>
          <w:tab w:val="left" w:pos="5760"/>
        </w:tabs>
        <w:rPr>
          <w:spacing w:val="-2"/>
        </w:rPr>
      </w:pPr>
      <w:r>
        <w:t xml:space="preserve">By the </w:t>
      </w:r>
      <w:r>
        <w:rPr>
          <w:spacing w:val="-2"/>
        </w:rPr>
        <w:t>Chief, Media Bureau:</w:t>
      </w:r>
    </w:p>
    <w:p w14:paraId="417003C8" w14:textId="77777777" w:rsidR="00EC2E9E" w:rsidRDefault="00EC2E9E"/>
    <w:p w14:paraId="014DF93C" w14:textId="77777777" w:rsidR="00EC2E9E" w:rsidRDefault="00EC2E9E"/>
    <w:p w14:paraId="275F23A7" w14:textId="77777777" w:rsidR="00EC2E9E" w:rsidRPr="00B76894" w:rsidRDefault="00EC2E9E">
      <w:pPr>
        <w:pStyle w:val="Heading1"/>
        <w:widowControl/>
        <w:tabs>
          <w:tab w:val="left" w:pos="2160"/>
        </w:tabs>
      </w:pPr>
      <w:r w:rsidRPr="00B76894">
        <w:t>INTRODUCTION</w:t>
      </w:r>
    </w:p>
    <w:p w14:paraId="07E781A2" w14:textId="13AF0BC7" w:rsidR="00EC2E9E" w:rsidRPr="00B76894" w:rsidRDefault="00EC2E9E" w:rsidP="003723EC">
      <w:pPr>
        <w:pStyle w:val="ParaNum"/>
        <w:widowControl/>
        <w:tabs>
          <w:tab w:val="left" w:pos="0"/>
        </w:tabs>
        <w:jc w:val="left"/>
      </w:pPr>
      <w:r w:rsidRPr="00B76894">
        <w:t>In this Order, we grant</w:t>
      </w:r>
      <w:r w:rsidR="00605150" w:rsidRPr="00B76894">
        <w:t xml:space="preserve"> </w:t>
      </w:r>
      <w:r w:rsidR="00C20358">
        <w:t>EchoStar Tec</w:t>
      </w:r>
      <w:r w:rsidR="003A2B39">
        <w:t>hnologies L.L.C.’s (“EchoStar”)</w:t>
      </w:r>
      <w:r w:rsidRPr="00B76894">
        <w:t xml:space="preserve"> </w:t>
      </w:r>
      <w:r w:rsidR="00FA2085">
        <w:t xml:space="preserve">and Hauppauge Computer Works Inc.’s (“Hauppauge”) </w:t>
      </w:r>
      <w:r w:rsidR="006602EC">
        <w:t xml:space="preserve">unopposed </w:t>
      </w:r>
      <w:r w:rsidRPr="00B76894">
        <w:t>request</w:t>
      </w:r>
      <w:r w:rsidR="00FA2085">
        <w:t>s</w:t>
      </w:r>
      <w:r w:rsidRPr="00B76894">
        <w:t xml:space="preserve"> for waiver of </w:t>
      </w:r>
      <w:r w:rsidR="00807733">
        <w:t xml:space="preserve">Section 15.117(b) of our rules </w:t>
      </w:r>
      <w:r w:rsidR="00E630B9" w:rsidRPr="00B76894">
        <w:t>to</w:t>
      </w:r>
      <w:r w:rsidR="003A2B39">
        <w:t xml:space="preserve"> allow</w:t>
      </w:r>
      <w:r w:rsidR="00575D56">
        <w:t xml:space="preserve"> EchoS</w:t>
      </w:r>
      <w:r w:rsidR="001B0C40">
        <w:t>tar to import, market, and sell</w:t>
      </w:r>
      <w:r w:rsidR="00C20358">
        <w:t xml:space="preserve"> </w:t>
      </w:r>
      <w:r w:rsidR="001B0C40" w:rsidRPr="001B0C40">
        <w:t>an Internet-ena</w:t>
      </w:r>
      <w:r w:rsidR="009A1A09">
        <w:t>bled</w:t>
      </w:r>
      <w:r w:rsidR="001B0C40">
        <w:t xml:space="preserve"> set-top box (the “AirTV”) </w:t>
      </w:r>
      <w:r w:rsidR="00FA2085">
        <w:t xml:space="preserve">and Hauppauge to import, market, and sell </w:t>
      </w:r>
      <w:r w:rsidR="00FA2085" w:rsidRPr="001B0C40">
        <w:t xml:space="preserve">a </w:t>
      </w:r>
      <w:r w:rsidR="00FA2085">
        <w:t>USB component television tuner component product (the “WinTV-dualHD”)</w:t>
      </w:r>
      <w:r w:rsidR="00A574B2">
        <w:t xml:space="preserve">.  These devices, therefore, will not </w:t>
      </w:r>
      <w:r w:rsidR="005520A0">
        <w:t xml:space="preserve">be </w:t>
      </w:r>
      <w:r w:rsidR="00A574B2">
        <w:t xml:space="preserve">required to </w:t>
      </w:r>
      <w:r w:rsidR="00575D56">
        <w:t>include tuner</w:t>
      </w:r>
      <w:r w:rsidR="00FA2085">
        <w:t>s</w:t>
      </w:r>
      <w:r w:rsidR="009A1A09">
        <w:t xml:space="preserve"> that can receive analog broadcast signals</w:t>
      </w:r>
      <w:r w:rsidR="00C341F8">
        <w:t>.</w:t>
      </w:r>
      <w:r w:rsidR="00575D56" w:rsidRPr="00B76894">
        <w:rPr>
          <w:rStyle w:val="FootnoteReference"/>
        </w:rPr>
        <w:footnoteReference w:id="2"/>
      </w:r>
      <w:r w:rsidR="00661173">
        <w:t xml:space="preserve"> </w:t>
      </w:r>
      <w:r w:rsidR="009A1A09">
        <w:t xml:space="preserve"> </w:t>
      </w:r>
      <w:r w:rsidR="00807733" w:rsidRPr="00B76894">
        <w:t>Section 15.117(b) of the Commission’s rules</w:t>
      </w:r>
      <w:r w:rsidR="00807733" w:rsidRPr="00B76894" w:rsidDel="00807733">
        <w:t xml:space="preserve"> </w:t>
      </w:r>
      <w:r w:rsidR="00807733">
        <w:t>requires TV broadcast receivers to</w:t>
      </w:r>
      <w:r w:rsidR="00807733" w:rsidRPr="00B76894">
        <w:t xml:space="preserve"> </w:t>
      </w:r>
      <w:r w:rsidR="00A12525" w:rsidRPr="00B76894">
        <w:t>“be capable of adequately receiving all channels allocated by the Commission to the television broadcast service</w:t>
      </w:r>
      <w:r w:rsidR="00807733">
        <w:t>.</w:t>
      </w:r>
      <w:r w:rsidR="00A12525" w:rsidRPr="00B76894">
        <w:t>”</w:t>
      </w:r>
      <w:r w:rsidR="00590F66" w:rsidRPr="00B76894">
        <w:rPr>
          <w:rStyle w:val="FootnoteReference"/>
          <w:rFonts w:ascii="Times" w:hAnsi="Times"/>
        </w:rPr>
        <w:footnoteReference w:id="3"/>
      </w:r>
      <w:r w:rsidR="00E630B9" w:rsidRPr="00B76894">
        <w:rPr>
          <w:rFonts w:ascii="Times" w:hAnsi="Times"/>
        </w:rPr>
        <w:t xml:space="preserve"> </w:t>
      </w:r>
      <w:r w:rsidR="009A1A09">
        <w:rPr>
          <w:rFonts w:ascii="Times" w:hAnsi="Times"/>
        </w:rPr>
        <w:t xml:space="preserve"> </w:t>
      </w:r>
      <w:r w:rsidR="0078362C">
        <w:t xml:space="preserve">Pursuant to this provision, TV broadcast receivers must be capable of receiving both analog and digital broadcast </w:t>
      </w:r>
      <w:r w:rsidR="0078362C" w:rsidRPr="00050231">
        <w:t>signals</w:t>
      </w:r>
      <w:r w:rsidR="0078362C">
        <w:t xml:space="preserve"> until August 31, 2017</w:t>
      </w:r>
      <w:r w:rsidR="0078362C" w:rsidRPr="00050231">
        <w:t>.</w:t>
      </w:r>
      <w:r w:rsidR="0078362C">
        <w:rPr>
          <w:rStyle w:val="FootnoteReference"/>
        </w:rPr>
        <w:footnoteReference w:id="4"/>
      </w:r>
      <w:r w:rsidR="0078362C" w:rsidRPr="00050231">
        <w:t xml:space="preserve">  </w:t>
      </w:r>
      <w:r w:rsidRPr="00B76894">
        <w:t>We conclude that waiver</w:t>
      </w:r>
      <w:r w:rsidR="00C341F8">
        <w:t xml:space="preserve"> of this rule for the AirTV </w:t>
      </w:r>
      <w:r w:rsidR="00FA2085">
        <w:t xml:space="preserve">and WinTV-dualHD </w:t>
      </w:r>
      <w:r w:rsidR="00C341F8">
        <w:t>device</w:t>
      </w:r>
      <w:r w:rsidR="00FA2085">
        <w:t>s</w:t>
      </w:r>
      <w:r w:rsidRPr="00B76894">
        <w:t xml:space="preserve"> is in the public interest because </w:t>
      </w:r>
      <w:r w:rsidR="00FA2085">
        <w:t>waiver</w:t>
      </w:r>
      <w:r w:rsidR="00FA2085" w:rsidRPr="00B76894">
        <w:t xml:space="preserve"> </w:t>
      </w:r>
      <w:r w:rsidR="00A574B2">
        <w:t>should</w:t>
      </w:r>
      <w:r w:rsidRPr="00B76894">
        <w:t xml:space="preserve"> </w:t>
      </w:r>
      <w:r w:rsidR="00AD6061" w:rsidRPr="00B76894">
        <w:t>en</w:t>
      </w:r>
      <w:r w:rsidR="003723EC">
        <w:t>hance consumer choice for video</w:t>
      </w:r>
      <w:r w:rsidR="00AD6061" w:rsidRPr="00B76894">
        <w:t xml:space="preserve"> equipment</w:t>
      </w:r>
      <w:r w:rsidR="003723EC">
        <w:t>, offer consumers</w:t>
      </w:r>
      <w:r w:rsidR="00BC147C" w:rsidRPr="00B76894">
        <w:t xml:space="preserve"> a</w:t>
      </w:r>
      <w:r w:rsidR="003723EC">
        <w:t>dditional options for accessing</w:t>
      </w:r>
      <w:r w:rsidR="00D52645" w:rsidRPr="00B76894">
        <w:t xml:space="preserve"> </w:t>
      </w:r>
      <w:r w:rsidR="00AD6061" w:rsidRPr="00B76894">
        <w:t xml:space="preserve">video programming, </w:t>
      </w:r>
      <w:r w:rsidR="007D2183" w:rsidRPr="00B76894">
        <w:t xml:space="preserve">and </w:t>
      </w:r>
      <w:r w:rsidR="003723EC">
        <w:t>reduce</w:t>
      </w:r>
      <w:r w:rsidRPr="00B76894">
        <w:t xml:space="preserve"> cost and power consumption</w:t>
      </w:r>
      <w:r w:rsidR="00AD6061" w:rsidRPr="00B76894">
        <w:t xml:space="preserve">.  </w:t>
      </w:r>
    </w:p>
    <w:p w14:paraId="5764D929" w14:textId="77777777" w:rsidR="00EC2E9E" w:rsidRDefault="00EC2E9E">
      <w:pPr>
        <w:pStyle w:val="Heading1"/>
        <w:widowControl/>
        <w:tabs>
          <w:tab w:val="left" w:pos="2160"/>
        </w:tabs>
        <w:jc w:val="left"/>
      </w:pPr>
      <w:r>
        <w:t>BACKGROUND</w:t>
      </w:r>
    </w:p>
    <w:p w14:paraId="52EBF005" w14:textId="07A9AE6D" w:rsidR="00EC2E9E" w:rsidRDefault="00855544" w:rsidP="000C7895">
      <w:pPr>
        <w:pStyle w:val="ParaNum"/>
        <w:widowControl/>
        <w:jc w:val="left"/>
      </w:pPr>
      <w:r>
        <w:t xml:space="preserve">The </w:t>
      </w:r>
      <w:r w:rsidRPr="00494293">
        <w:t>All Channel Receiver Act of 1962</w:t>
      </w:r>
      <w:r w:rsidR="00537A6E">
        <w:t xml:space="preserve"> </w:t>
      </w:r>
      <w:r w:rsidR="00257A84">
        <w:t>grants</w:t>
      </w:r>
      <w:r w:rsidR="00537A6E">
        <w:t xml:space="preserve"> the Commission the “authority to require that apparatus designed to receive television pictures broadcast simultaneously with sound be capable of adequately receiving all frequencies allocated by the Commission to television broadcasting when such </w:t>
      </w:r>
      <w:r w:rsidR="00537A6E">
        <w:lastRenderedPageBreak/>
        <w:t xml:space="preserve">apparatus is shipped in interstate commerce, or is imported from any foreign country into the United </w:t>
      </w:r>
      <w:r w:rsidR="00537A6E" w:rsidRPr="005B64CF">
        <w:rPr>
          <w:szCs w:val="22"/>
        </w:rPr>
        <w:t>States, for sale or resale to the public.”</w:t>
      </w:r>
      <w:r w:rsidR="00537A6E" w:rsidRPr="005B64CF">
        <w:rPr>
          <w:rStyle w:val="FootnoteReference"/>
          <w:szCs w:val="22"/>
        </w:rPr>
        <w:footnoteReference w:id="5"/>
      </w:r>
      <w:r w:rsidR="00537A6E" w:rsidRPr="005B64CF">
        <w:rPr>
          <w:szCs w:val="22"/>
        </w:rPr>
        <w:t xml:space="preserve">  The Commission </w:t>
      </w:r>
      <w:r w:rsidR="00E9681D" w:rsidRPr="005B64CF">
        <w:rPr>
          <w:szCs w:val="22"/>
        </w:rPr>
        <w:t xml:space="preserve">first </w:t>
      </w:r>
      <w:r w:rsidR="00537A6E" w:rsidRPr="005B64CF">
        <w:rPr>
          <w:szCs w:val="22"/>
        </w:rPr>
        <w:t xml:space="preserve">exercised this authority </w:t>
      </w:r>
      <w:r w:rsidR="005329AD" w:rsidRPr="005B64CF">
        <w:rPr>
          <w:szCs w:val="22"/>
        </w:rPr>
        <w:t>in 19</w:t>
      </w:r>
      <w:r w:rsidR="005B64CF" w:rsidRPr="005B64CF">
        <w:rPr>
          <w:szCs w:val="22"/>
        </w:rPr>
        <w:t>62</w:t>
      </w:r>
      <w:r w:rsidR="005329AD" w:rsidRPr="005B64CF">
        <w:rPr>
          <w:szCs w:val="22"/>
        </w:rPr>
        <w:t xml:space="preserve"> by</w:t>
      </w:r>
      <w:r w:rsidR="00537A6E" w:rsidRPr="005B64CF">
        <w:rPr>
          <w:szCs w:val="22"/>
        </w:rPr>
        <w:t xml:space="preserve"> adopting Section </w:t>
      </w:r>
      <w:r w:rsidR="005329AD" w:rsidRPr="005B64CF">
        <w:rPr>
          <w:szCs w:val="22"/>
        </w:rPr>
        <w:t>15.</w:t>
      </w:r>
      <w:r w:rsidR="005B64CF" w:rsidRPr="005B64CF">
        <w:rPr>
          <w:szCs w:val="22"/>
        </w:rPr>
        <w:t>70(a)</w:t>
      </w:r>
      <w:r w:rsidR="002D2F47">
        <w:rPr>
          <w:szCs w:val="22"/>
        </w:rPr>
        <w:t xml:space="preserve"> of the Commission’s rules</w:t>
      </w:r>
      <w:r w:rsidR="0003759D">
        <w:rPr>
          <w:szCs w:val="22"/>
        </w:rPr>
        <w:t>.</w:t>
      </w:r>
      <w:r w:rsidR="005B64CF">
        <w:rPr>
          <w:rStyle w:val="FootnoteReference"/>
          <w:szCs w:val="22"/>
          <w:lang w:eastAsia="en-US"/>
        </w:rPr>
        <w:footnoteReference w:id="6"/>
      </w:r>
      <w:r w:rsidR="005B64CF" w:rsidRPr="005B64CF">
        <w:rPr>
          <w:szCs w:val="22"/>
          <w:lang w:eastAsia="en-US"/>
        </w:rPr>
        <w:t xml:space="preserve">  </w:t>
      </w:r>
      <w:r w:rsidR="005B64CF">
        <w:rPr>
          <w:szCs w:val="22"/>
        </w:rPr>
        <w:t>Th</w:t>
      </w:r>
      <w:r w:rsidR="002D2F47">
        <w:rPr>
          <w:szCs w:val="22"/>
        </w:rPr>
        <w:t>e successor to th</w:t>
      </w:r>
      <w:r w:rsidR="005B64CF">
        <w:rPr>
          <w:szCs w:val="22"/>
        </w:rPr>
        <w:t>is rule</w:t>
      </w:r>
      <w:r w:rsidR="002D2F47">
        <w:rPr>
          <w:szCs w:val="22"/>
        </w:rPr>
        <w:t>, now codified</w:t>
      </w:r>
      <w:r w:rsidR="005B64CF">
        <w:rPr>
          <w:szCs w:val="22"/>
        </w:rPr>
        <w:t xml:space="preserve"> at Section </w:t>
      </w:r>
      <w:r w:rsidR="00D712EC">
        <w:rPr>
          <w:szCs w:val="22"/>
        </w:rPr>
        <w:t>15.117(b)</w:t>
      </w:r>
      <w:r w:rsidR="00617BC5">
        <w:rPr>
          <w:szCs w:val="22"/>
        </w:rPr>
        <w:t xml:space="preserve">, </w:t>
      </w:r>
      <w:r w:rsidR="00D712EC">
        <w:rPr>
          <w:szCs w:val="22"/>
        </w:rPr>
        <w:t>states</w:t>
      </w:r>
      <w:r w:rsidR="002D2F47">
        <w:rPr>
          <w:szCs w:val="22"/>
        </w:rPr>
        <w:t xml:space="preserve"> that</w:t>
      </w:r>
      <w:r w:rsidR="00D712EC">
        <w:rPr>
          <w:szCs w:val="22"/>
        </w:rPr>
        <w:t xml:space="preserve"> </w:t>
      </w:r>
      <w:r w:rsidR="00537A6E" w:rsidRPr="005B64CF">
        <w:rPr>
          <w:szCs w:val="22"/>
        </w:rPr>
        <w:t>“TV broadcast receivers shall be capable of adequately receiving all channels allocated by the Commission to the television broadcast service.”</w:t>
      </w:r>
      <w:r w:rsidR="00537A6E" w:rsidRPr="005B64CF">
        <w:rPr>
          <w:rStyle w:val="FootnoteReference"/>
          <w:szCs w:val="22"/>
        </w:rPr>
        <w:footnoteReference w:id="7"/>
      </w:r>
      <w:r w:rsidR="0093337D">
        <w:rPr>
          <w:szCs w:val="22"/>
        </w:rPr>
        <w:t xml:space="preserve">  A “TV broadcast receiver” is defined as a “device designed to receive television pictures that are broadcast simultaneously with sound on the television channels authorized under part 73 of this chapter</w:t>
      </w:r>
      <w:r w:rsidR="00F978E3">
        <w:rPr>
          <w:szCs w:val="22"/>
        </w:rPr>
        <w:t>”</w:t>
      </w:r>
      <w:r w:rsidR="0093337D">
        <w:rPr>
          <w:rStyle w:val="FootnoteReference"/>
          <w:szCs w:val="22"/>
        </w:rPr>
        <w:footnoteReference w:id="8"/>
      </w:r>
      <w:r w:rsidR="00D712EC">
        <w:rPr>
          <w:szCs w:val="22"/>
        </w:rPr>
        <w:t xml:space="preserve"> </w:t>
      </w:r>
      <w:r w:rsidR="006602EC">
        <w:rPr>
          <w:szCs w:val="22"/>
        </w:rPr>
        <w:t xml:space="preserve"> and</w:t>
      </w:r>
      <w:bookmarkStart w:id="1" w:name="SR;1883"/>
      <w:bookmarkStart w:id="2" w:name="SR;1884"/>
      <w:bookmarkEnd w:id="1"/>
      <w:bookmarkEnd w:id="2"/>
      <w:r w:rsidR="0074744C">
        <w:rPr>
          <w:szCs w:val="22"/>
        </w:rPr>
        <w:t xml:space="preserve"> includes </w:t>
      </w:r>
      <w:r w:rsidR="002D59FA">
        <w:rPr>
          <w:szCs w:val="22"/>
        </w:rPr>
        <w:t>“</w:t>
      </w:r>
      <w:r w:rsidR="0074744C">
        <w:rPr>
          <w:szCs w:val="22"/>
        </w:rPr>
        <w:t>devices, such as TV interface devices and set-top devices that are intended to provide audio-video signals to a video monitor, that incorporate the tuner portion of a TV broadcast receiver and that are equipped with an antenna or antenna terminals that can be used for off-the-air reception of TV broadcast signals, as authorized under part 73 of this chapter.”</w:t>
      </w:r>
      <w:r w:rsidR="0074744C">
        <w:rPr>
          <w:rStyle w:val="FootnoteReference"/>
          <w:szCs w:val="22"/>
        </w:rPr>
        <w:footnoteReference w:id="9"/>
      </w:r>
      <w:r w:rsidR="0074744C">
        <w:rPr>
          <w:szCs w:val="22"/>
        </w:rPr>
        <w:t xml:space="preserve">  </w:t>
      </w:r>
      <w:r w:rsidR="00D712EC">
        <w:rPr>
          <w:szCs w:val="22"/>
        </w:rPr>
        <w:t xml:space="preserve">The purpose of this rule </w:t>
      </w:r>
      <w:r w:rsidR="00BD405E">
        <w:rPr>
          <w:szCs w:val="22"/>
        </w:rPr>
        <w:t xml:space="preserve">is </w:t>
      </w:r>
      <w:r w:rsidR="00D712EC">
        <w:rPr>
          <w:szCs w:val="22"/>
        </w:rPr>
        <w:t xml:space="preserve">to ensure that television broadcast receivers </w:t>
      </w:r>
      <w:r w:rsidR="007358CE">
        <w:rPr>
          <w:szCs w:val="22"/>
        </w:rPr>
        <w:t>r</w:t>
      </w:r>
      <w:r w:rsidR="00D712EC">
        <w:rPr>
          <w:szCs w:val="22"/>
        </w:rPr>
        <w:t xml:space="preserve">eceive all </w:t>
      </w:r>
      <w:r w:rsidR="00D712EC">
        <w:rPr>
          <w:szCs w:val="22"/>
        </w:rPr>
        <w:lastRenderedPageBreak/>
        <w:t>television broadcast channels irrespective of the channel’s place in the broadcast spectrum.</w:t>
      </w:r>
      <w:r w:rsidR="00D712EC">
        <w:rPr>
          <w:rStyle w:val="FootnoteReference"/>
          <w:szCs w:val="22"/>
        </w:rPr>
        <w:footnoteReference w:id="10"/>
      </w:r>
      <w:r w:rsidR="00965D0A" w:rsidRPr="00D061A5">
        <w:rPr>
          <w:rStyle w:val="apple-style-span"/>
          <w:color w:val="000000"/>
          <w:shd w:val="clear" w:color="auto" w:fill="FFFFFF"/>
        </w:rPr>
        <w:t xml:space="preserve">  </w:t>
      </w:r>
      <w:r w:rsidR="006A24F3">
        <w:rPr>
          <w:rStyle w:val="apple-style-span"/>
          <w:color w:val="000000"/>
          <w:shd w:val="clear" w:color="auto" w:fill="FFFFFF"/>
        </w:rPr>
        <w:t xml:space="preserve">In </w:t>
      </w:r>
      <w:r w:rsidR="003F3316">
        <w:rPr>
          <w:rStyle w:val="apple-style-span"/>
          <w:color w:val="000000"/>
          <w:shd w:val="clear" w:color="auto" w:fill="FFFFFF"/>
        </w:rPr>
        <w:t>December 2015</w:t>
      </w:r>
      <w:r w:rsidR="006A24F3">
        <w:rPr>
          <w:rStyle w:val="apple-style-span"/>
          <w:color w:val="000000"/>
          <w:shd w:val="clear" w:color="auto" w:fill="FFFFFF"/>
        </w:rPr>
        <w:t xml:space="preserve">, the </w:t>
      </w:r>
      <w:r w:rsidR="001119B0">
        <w:rPr>
          <w:rStyle w:val="apple-style-span"/>
          <w:color w:val="000000"/>
          <w:shd w:val="clear" w:color="auto" w:fill="FFFFFF"/>
        </w:rPr>
        <w:t xml:space="preserve">Commission </w:t>
      </w:r>
      <w:r w:rsidR="003F3316">
        <w:rPr>
          <w:rStyle w:val="apple-style-span"/>
          <w:color w:val="000000"/>
          <w:shd w:val="clear" w:color="auto" w:fill="FFFFFF"/>
        </w:rPr>
        <w:t>amended the rule to sunset the analog turner requirement on August 31, 2017</w:t>
      </w:r>
      <w:r w:rsidR="006A24F3">
        <w:rPr>
          <w:rStyle w:val="apple-style-span"/>
          <w:color w:val="000000"/>
          <w:shd w:val="clear" w:color="auto" w:fill="FFFFFF"/>
        </w:rPr>
        <w:t>.</w:t>
      </w:r>
      <w:r w:rsidR="006A24F3">
        <w:rPr>
          <w:rStyle w:val="FootnoteReference"/>
          <w:color w:val="000000"/>
          <w:shd w:val="clear" w:color="auto" w:fill="FFFFFF"/>
        </w:rPr>
        <w:footnoteReference w:id="11"/>
      </w:r>
      <w:r w:rsidR="00C341F8">
        <w:rPr>
          <w:rStyle w:val="apple-style-span"/>
          <w:color w:val="000000"/>
          <w:shd w:val="clear" w:color="auto" w:fill="FFFFFF"/>
        </w:rPr>
        <w:t xml:space="preserve">  </w:t>
      </w:r>
    </w:p>
    <w:p w14:paraId="4E6A2D25" w14:textId="68E54B13" w:rsidR="00AD6061" w:rsidRDefault="00CF2B00" w:rsidP="003573AF">
      <w:pPr>
        <w:pStyle w:val="ParaNum"/>
        <w:jc w:val="left"/>
      </w:pPr>
      <w:r w:rsidRPr="00F07C8D">
        <w:rPr>
          <w:color w:val="000000" w:themeColor="text1"/>
        </w:rPr>
        <w:t xml:space="preserve">The </w:t>
      </w:r>
      <w:r w:rsidR="006D47D7">
        <w:rPr>
          <w:color w:val="000000" w:themeColor="text1"/>
        </w:rPr>
        <w:t>Bureau</w:t>
      </w:r>
      <w:r w:rsidR="006D47D7" w:rsidRPr="00F07C8D">
        <w:rPr>
          <w:color w:val="000000" w:themeColor="text1"/>
        </w:rPr>
        <w:t xml:space="preserve"> </w:t>
      </w:r>
      <w:r w:rsidRPr="00F07C8D">
        <w:rPr>
          <w:color w:val="000000" w:themeColor="text1"/>
        </w:rPr>
        <w:t>has previously granted waivers of the analog tuner requirement to EchoStar</w:t>
      </w:r>
      <w:r w:rsidR="00747C18" w:rsidRPr="007C5CA4">
        <w:rPr>
          <w:rStyle w:val="FootnoteReference"/>
          <w:color w:val="000000" w:themeColor="text1"/>
          <w:szCs w:val="22"/>
        </w:rPr>
        <w:footnoteReference w:id="12"/>
      </w:r>
      <w:r w:rsidR="00747C18" w:rsidRPr="00F07C8D">
        <w:rPr>
          <w:rStyle w:val="apple-style-span"/>
          <w:color w:val="000000" w:themeColor="text1"/>
          <w:shd w:val="clear" w:color="auto" w:fill="FFFFFF"/>
        </w:rPr>
        <w:t xml:space="preserve"> </w:t>
      </w:r>
      <w:r w:rsidRPr="00F07C8D">
        <w:rPr>
          <w:color w:val="000000" w:themeColor="text1"/>
        </w:rPr>
        <w:t xml:space="preserve">and TiVo, Inc. </w:t>
      </w:r>
      <w:r w:rsidR="002A51A4" w:rsidRPr="00F07C8D">
        <w:rPr>
          <w:color w:val="000000" w:themeColor="text1"/>
        </w:rPr>
        <w:t>based on similar</w:t>
      </w:r>
      <w:r w:rsidR="00161369" w:rsidRPr="00F07C8D">
        <w:rPr>
          <w:color w:val="000000" w:themeColor="text1"/>
        </w:rPr>
        <w:t xml:space="preserve"> circumstances</w:t>
      </w:r>
      <w:r w:rsidRPr="00F07C8D">
        <w:rPr>
          <w:color w:val="000000" w:themeColor="text1"/>
        </w:rPr>
        <w:t>.</w:t>
      </w:r>
      <w:r w:rsidRPr="007C5CA4">
        <w:rPr>
          <w:rStyle w:val="FootnoteReference"/>
          <w:color w:val="000000" w:themeColor="text1"/>
          <w:szCs w:val="22"/>
        </w:rPr>
        <w:footnoteReference w:id="13"/>
      </w:r>
      <w:r w:rsidRPr="00F07C8D">
        <w:rPr>
          <w:rStyle w:val="apple-style-span"/>
          <w:color w:val="000000" w:themeColor="text1"/>
          <w:shd w:val="clear" w:color="auto" w:fill="FFFFFF"/>
        </w:rPr>
        <w:t xml:space="preserve"> </w:t>
      </w:r>
      <w:r w:rsidR="0006170C">
        <w:t xml:space="preserve"> </w:t>
      </w:r>
      <w:r w:rsidR="00F07C8D">
        <w:t xml:space="preserve"> </w:t>
      </w:r>
      <w:r w:rsidR="00EA7577">
        <w:t xml:space="preserve">On </w:t>
      </w:r>
      <w:r w:rsidR="00C51870">
        <w:t>October 7, 2016, EchoStar filed a</w:t>
      </w:r>
      <w:r w:rsidR="00EA7577">
        <w:t xml:space="preserve"> request with respect to its</w:t>
      </w:r>
      <w:r w:rsidR="00C51870">
        <w:t xml:space="preserve"> Ai</w:t>
      </w:r>
      <w:r w:rsidR="00F07C8D">
        <w:t>r</w:t>
      </w:r>
      <w:r w:rsidR="00C51870">
        <w:t>TV device</w:t>
      </w:r>
      <w:r w:rsidR="00FA2085">
        <w:t>, and on October 24, 2016 Hauppauge filed a request with respect to its WinTV-dualHD device</w:t>
      </w:r>
      <w:r w:rsidR="00EA7577">
        <w:t>.</w:t>
      </w:r>
      <w:r w:rsidR="00EA7577" w:rsidRPr="00EA7577">
        <w:rPr>
          <w:rStyle w:val="FootnoteReference"/>
        </w:rPr>
        <w:t xml:space="preserve"> </w:t>
      </w:r>
      <w:r w:rsidR="00EA7577">
        <w:rPr>
          <w:rStyle w:val="FootnoteReference"/>
        </w:rPr>
        <w:footnoteReference w:id="14"/>
      </w:r>
      <w:r w:rsidR="00EA7577">
        <w:t xml:space="preserve"> </w:t>
      </w:r>
      <w:r w:rsidR="001F33A6">
        <w:t>No comment</w:t>
      </w:r>
      <w:r w:rsidR="009A1A09">
        <w:t xml:space="preserve">ers filed in opposition to </w:t>
      </w:r>
      <w:r w:rsidR="00FA2085">
        <w:t xml:space="preserve">either of the </w:t>
      </w:r>
      <w:r w:rsidR="009A1A09">
        <w:t>request</w:t>
      </w:r>
      <w:r w:rsidR="00FA2085">
        <w:t>s</w:t>
      </w:r>
      <w:r w:rsidR="009A1A09">
        <w:t xml:space="preserve"> for waiver</w:t>
      </w:r>
      <w:r w:rsidR="001F33A6">
        <w:t>.</w:t>
      </w:r>
    </w:p>
    <w:p w14:paraId="5A52B7C3" w14:textId="77777777" w:rsidR="00EC2E9E" w:rsidRDefault="00EC2E9E">
      <w:pPr>
        <w:pStyle w:val="Heading1"/>
        <w:widowControl/>
        <w:tabs>
          <w:tab w:val="left" w:pos="2160"/>
        </w:tabs>
        <w:jc w:val="left"/>
      </w:pPr>
      <w:r>
        <w:t>Discussion</w:t>
      </w:r>
    </w:p>
    <w:p w14:paraId="3D111EEB" w14:textId="725B13DB" w:rsidR="00B87F5A" w:rsidRPr="00571194" w:rsidRDefault="00EC2E9E" w:rsidP="00005EAE">
      <w:pPr>
        <w:pStyle w:val="ParaNum"/>
        <w:widowControl/>
        <w:tabs>
          <w:tab w:val="left" w:pos="0"/>
        </w:tabs>
        <w:jc w:val="left"/>
      </w:pPr>
      <w:r>
        <w:t xml:space="preserve">We find good cause to grant </w:t>
      </w:r>
      <w:r w:rsidR="00FA2085">
        <w:t xml:space="preserve">the </w:t>
      </w:r>
      <w:r>
        <w:t>request</w:t>
      </w:r>
      <w:r w:rsidR="00FA2085">
        <w:t>s</w:t>
      </w:r>
      <w:r>
        <w:t xml:space="preserve"> </w:t>
      </w:r>
      <w:r w:rsidR="00C16E90">
        <w:t>for waiver</w:t>
      </w:r>
      <w:r>
        <w:t>.</w:t>
      </w:r>
      <w:r>
        <w:rPr>
          <w:rStyle w:val="FootnoteReference"/>
        </w:rPr>
        <w:footnoteReference w:id="15"/>
      </w:r>
      <w:r>
        <w:t xml:space="preserve">  </w:t>
      </w:r>
      <w:r w:rsidR="006602EC">
        <w:t xml:space="preserve">Specifically, we find that </w:t>
      </w:r>
      <w:r w:rsidR="00A574B2">
        <w:t>grant of this waiver should</w:t>
      </w:r>
      <w:r w:rsidR="006602EC">
        <w:t xml:space="preserve"> yield distinct public interest benefits.  As </w:t>
      </w:r>
      <w:r w:rsidR="00C07625">
        <w:t xml:space="preserve">EchoStar </w:t>
      </w:r>
      <w:r w:rsidR="009253E1">
        <w:t xml:space="preserve">and Hauppauge </w:t>
      </w:r>
      <w:r w:rsidR="006602EC">
        <w:t xml:space="preserve">point out, </w:t>
      </w:r>
      <w:r w:rsidR="00132150" w:rsidRPr="00F07C8D">
        <w:rPr>
          <w:color w:val="000000"/>
          <w:shd w:val="clear" w:color="auto" w:fill="FFFFFF"/>
          <w:lang w:eastAsia="en-US"/>
        </w:rPr>
        <w:t>a digital-only device</w:t>
      </w:r>
      <w:r w:rsidR="00B87F5A" w:rsidRPr="00F07C8D">
        <w:rPr>
          <w:color w:val="000000"/>
          <w:shd w:val="clear" w:color="auto" w:fill="FFFFFF"/>
          <w:lang w:eastAsia="en-US"/>
        </w:rPr>
        <w:t xml:space="preserve"> has several advantages over equipment using both analog and digital tuners: the digital-only models involve less design complexity, avoid substantial operating costs that are generally associated with additional hardware</w:t>
      </w:r>
      <w:r w:rsidR="000A36A0" w:rsidRPr="00F07C8D">
        <w:rPr>
          <w:color w:val="000000"/>
          <w:shd w:val="clear" w:color="auto" w:fill="FFFFFF"/>
          <w:lang w:eastAsia="en-US"/>
        </w:rPr>
        <w:t xml:space="preserve"> and </w:t>
      </w:r>
      <w:r w:rsidR="00B87F5A" w:rsidRPr="00F07C8D">
        <w:rPr>
          <w:color w:val="000000"/>
          <w:shd w:val="clear" w:color="auto" w:fill="FFFFFF"/>
          <w:lang w:eastAsia="en-US"/>
        </w:rPr>
        <w:t>software, and consume less energy.</w:t>
      </w:r>
      <w:r w:rsidR="00B87F5A" w:rsidRPr="00F07C8D">
        <w:rPr>
          <w:color w:val="000000"/>
          <w:shd w:val="clear" w:color="auto" w:fill="FFFFFF"/>
          <w:vertAlign w:val="superscript"/>
          <w:lang w:eastAsia="en-US"/>
        </w:rPr>
        <w:t xml:space="preserve"> </w:t>
      </w:r>
      <w:r w:rsidR="00B87F5A" w:rsidRPr="00561B56">
        <w:rPr>
          <w:color w:val="000000"/>
          <w:shd w:val="clear" w:color="auto" w:fill="FFFFFF"/>
          <w:vertAlign w:val="superscript"/>
          <w:lang w:eastAsia="en-US"/>
        </w:rPr>
        <w:footnoteReference w:id="16"/>
      </w:r>
      <w:r w:rsidR="00132150" w:rsidRPr="00F07C8D">
        <w:rPr>
          <w:color w:val="000000"/>
          <w:shd w:val="clear" w:color="auto" w:fill="FFFFFF"/>
          <w:lang w:eastAsia="en-US"/>
        </w:rPr>
        <w:t xml:space="preserve"> T</w:t>
      </w:r>
      <w:r w:rsidR="00B87F5A" w:rsidRPr="00F07C8D">
        <w:rPr>
          <w:color w:val="000000"/>
          <w:shd w:val="clear" w:color="auto" w:fill="FFFFFF"/>
          <w:lang w:eastAsia="en-US"/>
        </w:rPr>
        <w:t xml:space="preserve">hese advantages </w:t>
      </w:r>
      <w:r w:rsidR="006602EC">
        <w:rPr>
          <w:color w:val="000000"/>
          <w:shd w:val="clear" w:color="auto" w:fill="FFFFFF"/>
          <w:lang w:eastAsia="en-US"/>
        </w:rPr>
        <w:t>should</w:t>
      </w:r>
      <w:r w:rsidR="00B87F5A" w:rsidRPr="00F07C8D">
        <w:rPr>
          <w:color w:val="000000"/>
          <w:shd w:val="clear" w:color="auto" w:fill="FFFFFF"/>
          <w:lang w:eastAsia="en-US"/>
        </w:rPr>
        <w:t xml:space="preserve"> result in lower costs, which can be passed </w:t>
      </w:r>
      <w:r w:rsidR="0078362C">
        <w:rPr>
          <w:color w:val="000000"/>
          <w:shd w:val="clear" w:color="auto" w:fill="FFFFFF"/>
          <w:lang w:eastAsia="en-US"/>
        </w:rPr>
        <w:t>on</w:t>
      </w:r>
      <w:r w:rsidR="0078362C" w:rsidRPr="00F07C8D">
        <w:rPr>
          <w:color w:val="000000"/>
          <w:shd w:val="clear" w:color="auto" w:fill="FFFFFF"/>
          <w:lang w:eastAsia="en-US"/>
        </w:rPr>
        <w:t xml:space="preserve"> </w:t>
      </w:r>
      <w:r w:rsidR="00B87F5A" w:rsidRPr="00F07C8D">
        <w:rPr>
          <w:color w:val="000000"/>
          <w:shd w:val="clear" w:color="auto" w:fill="FFFFFF"/>
          <w:lang w:eastAsia="en-US"/>
        </w:rPr>
        <w:t xml:space="preserve">to consumers </w:t>
      </w:r>
      <w:r w:rsidR="006A24F3" w:rsidRPr="00F07C8D">
        <w:rPr>
          <w:color w:val="000000"/>
          <w:shd w:val="clear" w:color="auto" w:fill="FFFFFF"/>
          <w:lang w:eastAsia="en-US"/>
        </w:rPr>
        <w:t>and also</w:t>
      </w:r>
      <w:r w:rsidR="00B87F5A" w:rsidRPr="00F07C8D">
        <w:rPr>
          <w:color w:val="000000"/>
          <w:shd w:val="clear" w:color="auto" w:fill="FFFFFF"/>
          <w:lang w:eastAsia="en-US"/>
        </w:rPr>
        <w:t xml:space="preserve"> promote a strong, competitive market</w:t>
      </w:r>
      <w:r w:rsidR="00BD405E">
        <w:rPr>
          <w:color w:val="000000"/>
          <w:shd w:val="clear" w:color="auto" w:fill="FFFFFF"/>
          <w:lang w:eastAsia="en-US"/>
        </w:rPr>
        <w:t>place</w:t>
      </w:r>
      <w:r w:rsidR="00B87F5A" w:rsidRPr="00F07C8D">
        <w:rPr>
          <w:color w:val="000000"/>
          <w:shd w:val="clear" w:color="auto" w:fill="FFFFFF"/>
          <w:lang w:eastAsia="en-US"/>
        </w:rPr>
        <w:t>.</w:t>
      </w:r>
      <w:r w:rsidR="00B87F5A" w:rsidRPr="00B87F5A">
        <w:rPr>
          <w:color w:val="000000"/>
          <w:shd w:val="clear" w:color="auto" w:fill="FFFFFF"/>
          <w:vertAlign w:val="superscript"/>
          <w:lang w:eastAsia="en-US"/>
        </w:rPr>
        <w:footnoteReference w:id="17"/>
      </w:r>
      <w:r w:rsidR="00B87F5A" w:rsidRPr="00F07C8D">
        <w:rPr>
          <w:color w:val="000000"/>
          <w:shd w:val="clear" w:color="auto" w:fill="FFFFFF"/>
          <w:lang w:eastAsia="en-US"/>
        </w:rPr>
        <w:t xml:space="preserve">  </w:t>
      </w:r>
      <w:r w:rsidR="003935FE" w:rsidRPr="00F07C8D">
        <w:rPr>
          <w:color w:val="000000"/>
          <w:shd w:val="clear" w:color="auto" w:fill="FFFFFF"/>
          <w:lang w:eastAsia="en-US"/>
        </w:rPr>
        <w:t xml:space="preserve">Further, EchoStar </w:t>
      </w:r>
      <w:r w:rsidR="00561B56" w:rsidRPr="00F07C8D">
        <w:rPr>
          <w:color w:val="000000"/>
          <w:shd w:val="clear" w:color="auto" w:fill="FFFFFF"/>
          <w:lang w:eastAsia="en-US"/>
        </w:rPr>
        <w:t>claims that insertion of an analog tuner would make the device “far more bulky</w:t>
      </w:r>
      <w:r w:rsidR="000A36A0" w:rsidRPr="00F07C8D">
        <w:rPr>
          <w:color w:val="000000"/>
          <w:shd w:val="clear" w:color="auto" w:fill="FFFFFF"/>
          <w:lang w:eastAsia="en-US"/>
        </w:rPr>
        <w:t xml:space="preserve">, less energy efficient, and </w:t>
      </w:r>
      <w:r w:rsidR="00561B56" w:rsidRPr="00F07C8D">
        <w:rPr>
          <w:color w:val="000000"/>
          <w:shd w:val="clear" w:color="auto" w:fill="FFFFFF"/>
          <w:lang w:eastAsia="en-US"/>
        </w:rPr>
        <w:t>less appealing to consumers.”</w:t>
      </w:r>
      <w:r w:rsidR="00561B56" w:rsidRPr="00F07C8D">
        <w:rPr>
          <w:color w:val="000000"/>
          <w:shd w:val="clear" w:color="auto" w:fill="FFFFFF"/>
          <w:vertAlign w:val="superscript"/>
          <w:lang w:eastAsia="en-US"/>
        </w:rPr>
        <w:t xml:space="preserve"> </w:t>
      </w:r>
      <w:r w:rsidR="00561B56" w:rsidRPr="00B87F5A">
        <w:rPr>
          <w:color w:val="000000"/>
          <w:shd w:val="clear" w:color="auto" w:fill="FFFFFF"/>
          <w:vertAlign w:val="superscript"/>
          <w:lang w:eastAsia="en-US"/>
        </w:rPr>
        <w:footnoteReference w:id="18"/>
      </w:r>
      <w:r w:rsidR="00561B56" w:rsidRPr="00F07C8D">
        <w:rPr>
          <w:color w:val="000000"/>
          <w:shd w:val="clear" w:color="auto" w:fill="FFFFFF"/>
          <w:lang w:eastAsia="en-US"/>
        </w:rPr>
        <w:t xml:space="preserve"> </w:t>
      </w:r>
      <w:r w:rsidR="006602EC">
        <w:rPr>
          <w:color w:val="000000"/>
          <w:shd w:val="clear" w:color="auto" w:fill="FFFFFF"/>
          <w:lang w:eastAsia="en-US"/>
        </w:rPr>
        <w:t xml:space="preserve">Importantly, </w:t>
      </w:r>
      <w:r w:rsidR="009253E1">
        <w:rPr>
          <w:color w:val="000000"/>
          <w:shd w:val="clear" w:color="auto" w:fill="FFFFFF"/>
          <w:lang w:eastAsia="en-US"/>
        </w:rPr>
        <w:t>the parties</w:t>
      </w:r>
      <w:r w:rsidR="009253E1" w:rsidRPr="00F07C8D">
        <w:rPr>
          <w:color w:val="000000"/>
          <w:shd w:val="clear" w:color="auto" w:fill="FFFFFF"/>
          <w:lang w:eastAsia="en-US"/>
        </w:rPr>
        <w:t xml:space="preserve"> </w:t>
      </w:r>
      <w:r w:rsidR="00983079" w:rsidRPr="00F07C8D">
        <w:rPr>
          <w:color w:val="000000"/>
          <w:shd w:val="clear" w:color="auto" w:fill="FFFFFF"/>
          <w:lang w:eastAsia="en-US"/>
        </w:rPr>
        <w:t>state that granting their</w:t>
      </w:r>
      <w:r w:rsidR="00B87F5A" w:rsidRPr="00F07C8D">
        <w:rPr>
          <w:color w:val="000000"/>
          <w:shd w:val="clear" w:color="auto" w:fill="FFFFFF"/>
          <w:lang w:eastAsia="en-US"/>
        </w:rPr>
        <w:t xml:space="preserve"> requested waiver</w:t>
      </w:r>
      <w:r w:rsidR="00983079" w:rsidRPr="00F07C8D">
        <w:rPr>
          <w:color w:val="000000"/>
          <w:shd w:val="clear" w:color="auto" w:fill="FFFFFF"/>
          <w:lang w:eastAsia="en-US"/>
        </w:rPr>
        <w:t>s</w:t>
      </w:r>
      <w:r w:rsidR="00B87F5A" w:rsidRPr="00F07C8D">
        <w:rPr>
          <w:color w:val="000000"/>
          <w:shd w:val="clear" w:color="auto" w:fill="FFFFFF"/>
          <w:lang w:eastAsia="en-US"/>
        </w:rPr>
        <w:t xml:space="preserve"> would have a minimal impact on consumers</w:t>
      </w:r>
      <w:r w:rsidR="000A36A0" w:rsidRPr="00F07C8D">
        <w:rPr>
          <w:color w:val="000000"/>
          <w:shd w:val="clear" w:color="auto" w:fill="FFFFFF"/>
          <w:lang w:eastAsia="en-US"/>
        </w:rPr>
        <w:t xml:space="preserve"> because </w:t>
      </w:r>
      <w:r w:rsidR="009253E1">
        <w:rPr>
          <w:color w:val="000000"/>
          <w:shd w:val="clear" w:color="auto" w:fill="FFFFFF"/>
          <w:lang w:eastAsia="en-US"/>
        </w:rPr>
        <w:t xml:space="preserve">(1) </w:t>
      </w:r>
      <w:r w:rsidR="000A36A0" w:rsidRPr="00F07C8D">
        <w:rPr>
          <w:color w:val="000000"/>
          <w:shd w:val="clear" w:color="auto" w:fill="FFFFFF"/>
          <w:lang w:eastAsia="en-US"/>
        </w:rPr>
        <w:t xml:space="preserve">the </w:t>
      </w:r>
      <w:r w:rsidR="009253E1">
        <w:rPr>
          <w:color w:val="000000"/>
          <w:shd w:val="clear" w:color="auto" w:fill="FFFFFF"/>
          <w:lang w:eastAsia="en-US"/>
        </w:rPr>
        <w:t>devices</w:t>
      </w:r>
      <w:r w:rsidR="009253E1" w:rsidRPr="00F07C8D">
        <w:rPr>
          <w:color w:val="000000"/>
          <w:shd w:val="clear" w:color="auto" w:fill="FFFFFF"/>
          <w:lang w:eastAsia="en-US"/>
        </w:rPr>
        <w:t xml:space="preserve"> </w:t>
      </w:r>
      <w:r w:rsidR="000A36A0" w:rsidRPr="00F07C8D">
        <w:rPr>
          <w:color w:val="000000"/>
          <w:shd w:val="clear" w:color="auto" w:fill="FFFFFF"/>
          <w:lang w:eastAsia="en-US"/>
        </w:rPr>
        <w:t>will be able to access “all full-power and Class A television stations, as well as most LPTV stations and TV translators</w:t>
      </w:r>
      <w:r w:rsidR="009253E1">
        <w:rPr>
          <w:color w:val="000000"/>
          <w:shd w:val="clear" w:color="auto" w:fill="FFFFFF"/>
          <w:lang w:eastAsia="en-US"/>
        </w:rPr>
        <w:t>,</w:t>
      </w:r>
      <w:r w:rsidR="000A36A0" w:rsidRPr="00F07C8D">
        <w:rPr>
          <w:color w:val="000000"/>
          <w:shd w:val="clear" w:color="auto" w:fill="FFFFFF"/>
          <w:lang w:eastAsia="en-US"/>
        </w:rPr>
        <w:t>”</w:t>
      </w:r>
      <w:r w:rsidR="00B87F5A" w:rsidRPr="00B87F5A">
        <w:rPr>
          <w:color w:val="000000"/>
          <w:shd w:val="clear" w:color="auto" w:fill="FFFFFF"/>
          <w:vertAlign w:val="superscript"/>
          <w:lang w:eastAsia="en-US"/>
        </w:rPr>
        <w:footnoteReference w:id="19"/>
      </w:r>
      <w:r w:rsidR="009253E1">
        <w:rPr>
          <w:color w:val="000000"/>
          <w:shd w:val="clear" w:color="auto" w:fill="FFFFFF"/>
          <w:lang w:eastAsia="en-US"/>
        </w:rPr>
        <w:t xml:space="preserve"> and (2) devices with analog tuners will continue to be made available for retail sale to consumers.</w:t>
      </w:r>
      <w:r w:rsidR="009253E1">
        <w:rPr>
          <w:rStyle w:val="FootnoteReference"/>
          <w:color w:val="000000"/>
          <w:shd w:val="clear" w:color="auto" w:fill="FFFFFF"/>
          <w:lang w:eastAsia="en-US"/>
        </w:rPr>
        <w:footnoteReference w:id="20"/>
      </w:r>
      <w:r w:rsidR="00B87F5A" w:rsidRPr="00F07C8D">
        <w:rPr>
          <w:color w:val="000000"/>
          <w:shd w:val="clear" w:color="auto" w:fill="FFFFFF"/>
          <w:lang w:eastAsia="en-US"/>
        </w:rPr>
        <w:t xml:space="preserve"> </w:t>
      </w:r>
    </w:p>
    <w:p w14:paraId="2A4F9F95" w14:textId="708B9367" w:rsidR="009253E1" w:rsidRDefault="00720470" w:rsidP="002708D8">
      <w:pPr>
        <w:pStyle w:val="ParaNum"/>
        <w:widowControl/>
        <w:tabs>
          <w:tab w:val="left" w:pos="0"/>
        </w:tabs>
        <w:jc w:val="left"/>
      </w:pPr>
      <w:r w:rsidRPr="00586389">
        <w:t>Based on th</w:t>
      </w:r>
      <w:r w:rsidR="00B9684E">
        <w:t>e</w:t>
      </w:r>
      <w:r w:rsidR="006602EC">
        <w:t>se</w:t>
      </w:r>
      <w:r w:rsidRPr="00586389">
        <w:t xml:space="preserve"> </w:t>
      </w:r>
      <w:r w:rsidR="006602EC">
        <w:t>representations</w:t>
      </w:r>
      <w:r w:rsidRPr="00586389">
        <w:t>, w</w:t>
      </w:r>
      <w:r w:rsidR="00117EA2" w:rsidRPr="00586389">
        <w:t>e</w:t>
      </w:r>
      <w:r w:rsidR="00733392" w:rsidRPr="00586389">
        <w:t xml:space="preserve"> </w:t>
      </w:r>
      <w:r w:rsidRPr="00586389">
        <w:t xml:space="preserve">find </w:t>
      </w:r>
      <w:r w:rsidR="00733392" w:rsidRPr="00586389">
        <w:t xml:space="preserve">that </w:t>
      </w:r>
      <w:r w:rsidR="00586389">
        <w:t xml:space="preserve">granting </w:t>
      </w:r>
      <w:r w:rsidR="009253E1">
        <w:t xml:space="preserve">the </w:t>
      </w:r>
      <w:r w:rsidR="008B13D6">
        <w:t>request</w:t>
      </w:r>
      <w:r w:rsidR="009253E1">
        <w:t>s</w:t>
      </w:r>
      <w:r w:rsidR="008B13D6">
        <w:t xml:space="preserve"> </w:t>
      </w:r>
      <w:r w:rsidR="00C57838">
        <w:t xml:space="preserve">for </w:t>
      </w:r>
      <w:r w:rsidR="00586389">
        <w:t xml:space="preserve">waiver is in the public interest. </w:t>
      </w:r>
      <w:r w:rsidR="006602EC">
        <w:t xml:space="preserve"> To require</w:t>
      </w:r>
      <w:r w:rsidR="00733392" w:rsidRPr="00C57838">
        <w:t xml:space="preserve"> an analog broadcast tuner </w:t>
      </w:r>
      <w:r w:rsidR="003C1B5A">
        <w:t xml:space="preserve">in the AirTV </w:t>
      </w:r>
      <w:r w:rsidR="009253E1">
        <w:t xml:space="preserve">or the WinTV-dualHD </w:t>
      </w:r>
      <w:r w:rsidR="003C1B5A">
        <w:t xml:space="preserve">device as required by </w:t>
      </w:r>
      <w:r w:rsidR="00733392" w:rsidRPr="00C57838">
        <w:t>Section 15.117(b) would increase the cost, size, and energy consumption</w:t>
      </w:r>
      <w:r w:rsidR="009F0909" w:rsidRPr="00C57838">
        <w:t xml:space="preserve"> of the device</w:t>
      </w:r>
      <w:r w:rsidR="0038629C" w:rsidRPr="00C57838">
        <w:t xml:space="preserve">, </w:t>
      </w:r>
      <w:r w:rsidR="003C1B5A">
        <w:t xml:space="preserve">without any countervailing benefit to consumers. Although we recognize that a de minimis number of consumers may watch analog LPTV stations, </w:t>
      </w:r>
      <w:r w:rsidR="00BA6615">
        <w:t>.</w:t>
      </w:r>
      <w:r w:rsidR="003C1B5A">
        <w:t>t</w:t>
      </w:r>
      <w:r w:rsidR="00797FD6">
        <w:t xml:space="preserve">he overwhelming majority of </w:t>
      </w:r>
      <w:r w:rsidR="00CD3C6E">
        <w:t>broadcast viewers</w:t>
      </w:r>
      <w:r w:rsidR="007D5604">
        <w:t xml:space="preserve"> </w:t>
      </w:r>
      <w:r w:rsidR="00CD3C6E">
        <w:t xml:space="preserve">currently view only digital </w:t>
      </w:r>
      <w:r w:rsidR="00485D3B">
        <w:t xml:space="preserve">broadcast </w:t>
      </w:r>
      <w:r w:rsidR="00CD3C6E">
        <w:t>signals</w:t>
      </w:r>
      <w:r w:rsidR="007B0519">
        <w:t>.</w:t>
      </w:r>
      <w:r w:rsidR="00DB560C">
        <w:rPr>
          <w:rStyle w:val="FootnoteReference"/>
        </w:rPr>
        <w:footnoteReference w:id="21"/>
      </w:r>
      <w:r w:rsidR="00DB560C" w:rsidDel="00EB706B">
        <w:t xml:space="preserve"> </w:t>
      </w:r>
      <w:r w:rsidR="003C1B5A">
        <w:t xml:space="preserve"> </w:t>
      </w:r>
      <w:r w:rsidR="00A574B2">
        <w:t>Moreover,</w:t>
      </w:r>
      <w:r w:rsidR="00C90912">
        <w:t xml:space="preserve"> we note that analog tuner requirement</w:t>
      </w:r>
      <w:r w:rsidR="003C1B5A">
        <w:t xml:space="preserve"> is scheduled to sunset in less than a year.  Given this, the public interest benefits, and the lack of opposition, we conclude that the grant of Echo</w:t>
      </w:r>
      <w:r w:rsidR="00FA2085">
        <w:t>S</w:t>
      </w:r>
      <w:r w:rsidR="003C1B5A">
        <w:t>tar</w:t>
      </w:r>
      <w:r w:rsidR="009253E1">
        <w:t xml:space="preserve"> and Hauppauge’s</w:t>
      </w:r>
      <w:r w:rsidR="003C1B5A">
        <w:t xml:space="preserve"> petition</w:t>
      </w:r>
      <w:r w:rsidR="009253E1">
        <w:t>s</w:t>
      </w:r>
      <w:r w:rsidR="003C1B5A">
        <w:t xml:space="preserve"> is warranted. </w:t>
      </w:r>
    </w:p>
    <w:p w14:paraId="1FDCCFD7" w14:textId="77777777" w:rsidR="00EC2E9E" w:rsidRPr="00770F17" w:rsidRDefault="00EC2E9E" w:rsidP="003C1B5A">
      <w:pPr>
        <w:pStyle w:val="Heading1"/>
        <w:keepLines/>
        <w:widowControl/>
        <w:tabs>
          <w:tab w:val="left" w:pos="2160"/>
        </w:tabs>
        <w:jc w:val="left"/>
      </w:pPr>
      <w:r w:rsidRPr="00770F17">
        <w:t>ordering clauses</w:t>
      </w:r>
    </w:p>
    <w:p w14:paraId="751E3D00" w14:textId="335122F1" w:rsidR="00EC2E9E" w:rsidRDefault="00EC2E9E" w:rsidP="00E127D6">
      <w:pPr>
        <w:pStyle w:val="ParaNum"/>
        <w:keepNext/>
        <w:keepLines/>
        <w:widowControl/>
        <w:tabs>
          <w:tab w:val="left" w:pos="0"/>
        </w:tabs>
        <w:jc w:val="left"/>
      </w:pPr>
      <w:r>
        <w:t xml:space="preserve">Accordingly, </w:t>
      </w:r>
      <w:r w:rsidRPr="00E127D6">
        <w:rPr>
          <w:b/>
        </w:rPr>
        <w:t>IT IS ORDERED</w:t>
      </w:r>
      <w:r>
        <w:t xml:space="preserve"> that, pursuant to Section 1.3 of the Commission’s rules, 47 C.F.R. § 1.3, the request</w:t>
      </w:r>
      <w:r w:rsidR="006F1B90">
        <w:t>s</w:t>
      </w:r>
      <w:r>
        <w:t xml:space="preserve"> for waiver </w:t>
      </w:r>
      <w:r w:rsidR="00E127D6">
        <w:t xml:space="preserve">of Section 15.117(b) of the Commission’s rules, 47 C.F.R. </w:t>
      </w:r>
      <w:r w:rsidR="00E127D6" w:rsidRPr="00E739D7">
        <w:t>§</w:t>
      </w:r>
      <w:r w:rsidR="00E127D6">
        <w:t xml:space="preserve">15.117(b), </w:t>
      </w:r>
      <w:r>
        <w:t>filed by</w:t>
      </w:r>
      <w:r w:rsidR="00AB09EE">
        <w:t xml:space="preserve"> </w:t>
      </w:r>
      <w:r w:rsidR="009A320E">
        <w:t xml:space="preserve">EchoStar Technologies L.L.C. </w:t>
      </w:r>
      <w:r w:rsidR="009253E1">
        <w:t xml:space="preserve">and Hauppauge Computer Works Inc. </w:t>
      </w:r>
      <w:r w:rsidR="009253E1">
        <w:rPr>
          <w:b/>
        </w:rPr>
        <w:t>ARE</w:t>
      </w:r>
      <w:r w:rsidR="009253E1">
        <w:t xml:space="preserve"> </w:t>
      </w:r>
      <w:r w:rsidRPr="00E127D6">
        <w:rPr>
          <w:b/>
          <w:bCs/>
        </w:rPr>
        <w:t>GRANTED</w:t>
      </w:r>
      <w:r>
        <w:t>.</w:t>
      </w:r>
    </w:p>
    <w:p w14:paraId="2417174C" w14:textId="77777777" w:rsidR="00975D7F" w:rsidRDefault="00EC2E9E" w:rsidP="000C7895">
      <w:pPr>
        <w:pStyle w:val="ParaNum"/>
        <w:keepNext/>
        <w:widowControl/>
        <w:tabs>
          <w:tab w:val="left" w:pos="0"/>
        </w:tabs>
        <w:jc w:val="left"/>
      </w:pPr>
      <w:r>
        <w:t>This action is taken pursuant to authority delegated by Section 0.283 of the Commission’s rul</w:t>
      </w:r>
      <w:r w:rsidR="00975D7F">
        <w:t>es, 47 C.F.R. § 0.283</w:t>
      </w:r>
      <w:r w:rsidR="00646E3C">
        <w:t>.</w:t>
      </w:r>
    </w:p>
    <w:p w14:paraId="54AD33BB" w14:textId="7319A8A7" w:rsidR="00337954" w:rsidRDefault="00975D7F" w:rsidP="00337954">
      <w:pPr>
        <w:pStyle w:val="ParaNum"/>
        <w:widowControl/>
        <w:numPr>
          <w:ilvl w:val="0"/>
          <w:numId w:val="0"/>
        </w:numPr>
        <w:tabs>
          <w:tab w:val="left" w:pos="0"/>
        </w:tabs>
        <w:ind w:left="720"/>
        <w:jc w:val="left"/>
      </w:pPr>
      <w:r>
        <w:tab/>
      </w:r>
      <w:r>
        <w:tab/>
      </w:r>
      <w:r>
        <w:tab/>
      </w:r>
      <w:r>
        <w:tab/>
      </w:r>
      <w:r w:rsidR="00EC2E9E">
        <w:t>FEDERAL COMMUNICATIONS COMMISSION</w:t>
      </w:r>
    </w:p>
    <w:p w14:paraId="6ACB93B5" w14:textId="77777777" w:rsidR="007C1533" w:rsidRDefault="007C1533" w:rsidP="007C1533">
      <w:pPr>
        <w:pStyle w:val="ParaNum"/>
        <w:widowControl/>
        <w:numPr>
          <w:ilvl w:val="0"/>
          <w:numId w:val="0"/>
        </w:numPr>
        <w:tabs>
          <w:tab w:val="left" w:pos="0"/>
        </w:tabs>
        <w:spacing w:after="0"/>
        <w:ind w:left="720"/>
      </w:pPr>
      <w:r>
        <w:tab/>
      </w:r>
      <w:r>
        <w:tab/>
      </w:r>
      <w:r>
        <w:tab/>
      </w:r>
      <w:r>
        <w:tab/>
      </w:r>
    </w:p>
    <w:p w14:paraId="3723BA32" w14:textId="77777777" w:rsidR="007C1533" w:rsidRDefault="007C1533" w:rsidP="007C1533">
      <w:pPr>
        <w:pStyle w:val="ParaNum"/>
        <w:widowControl/>
        <w:numPr>
          <w:ilvl w:val="0"/>
          <w:numId w:val="0"/>
        </w:numPr>
        <w:tabs>
          <w:tab w:val="left" w:pos="0"/>
        </w:tabs>
        <w:spacing w:after="0"/>
        <w:ind w:left="720"/>
      </w:pPr>
      <w:r>
        <w:tab/>
      </w:r>
      <w:r>
        <w:tab/>
      </w:r>
      <w:r>
        <w:tab/>
      </w:r>
      <w:r>
        <w:tab/>
      </w:r>
    </w:p>
    <w:p w14:paraId="00CFAF34" w14:textId="1D5388E4" w:rsidR="007C1533" w:rsidRDefault="007C1533" w:rsidP="007C1533">
      <w:pPr>
        <w:pStyle w:val="ParaNum"/>
        <w:widowControl/>
        <w:numPr>
          <w:ilvl w:val="0"/>
          <w:numId w:val="0"/>
        </w:numPr>
        <w:tabs>
          <w:tab w:val="left" w:pos="0"/>
        </w:tabs>
        <w:spacing w:after="0"/>
        <w:ind w:left="720"/>
      </w:pPr>
      <w:r>
        <w:tab/>
      </w:r>
      <w:r>
        <w:tab/>
      </w:r>
      <w:r>
        <w:tab/>
      </w:r>
      <w:r>
        <w:tab/>
        <w:t>William T. Lake</w:t>
      </w:r>
      <w:r w:rsidR="00337954">
        <w:t xml:space="preserve">         </w:t>
      </w:r>
    </w:p>
    <w:p w14:paraId="4FEB2A0D" w14:textId="5321A806" w:rsidR="00EC2E9E" w:rsidRDefault="007C1533" w:rsidP="00F07C8D">
      <w:pPr>
        <w:pStyle w:val="ParaNum"/>
        <w:widowControl/>
        <w:numPr>
          <w:ilvl w:val="0"/>
          <w:numId w:val="0"/>
        </w:numPr>
        <w:tabs>
          <w:tab w:val="left" w:pos="0"/>
        </w:tabs>
        <w:ind w:left="720"/>
      </w:pPr>
      <w:r>
        <w:tab/>
      </w:r>
      <w:r>
        <w:tab/>
      </w:r>
      <w:r>
        <w:tab/>
      </w:r>
      <w:r>
        <w:tab/>
      </w:r>
      <w:r w:rsidR="00EC2E9E">
        <w:t>Chief, Media Bureau</w:t>
      </w:r>
    </w:p>
    <w:sectPr w:rsidR="00EC2E9E" w:rsidSect="00EF08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693" w:left="1440" w:header="72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EEF92" w14:textId="77777777" w:rsidR="006074C9" w:rsidRDefault="006074C9">
      <w:r>
        <w:separator/>
      </w:r>
    </w:p>
  </w:endnote>
  <w:endnote w:type="continuationSeparator" w:id="0">
    <w:p w14:paraId="71CE9297" w14:textId="77777777" w:rsidR="006074C9" w:rsidRDefault="006074C9">
      <w:r>
        <w:continuationSeparator/>
      </w:r>
    </w:p>
  </w:endnote>
  <w:endnote w:type="continuationNotice" w:id="1">
    <w:p w14:paraId="09858B5C" w14:textId="77777777" w:rsidR="006074C9" w:rsidRDefault="00607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44EC" w14:textId="77777777" w:rsidR="00EC2E9E" w:rsidRDefault="006744FB">
    <w:pPr>
      <w:pStyle w:val="Footer"/>
      <w:framePr w:wrap="around" w:vAnchor="text" w:hAnchor="margin" w:xAlign="center" w:y="1"/>
      <w:rPr>
        <w:rStyle w:val="PageNumber"/>
      </w:rPr>
    </w:pPr>
    <w:r>
      <w:rPr>
        <w:rStyle w:val="PageNumber"/>
      </w:rPr>
      <w:fldChar w:fldCharType="begin"/>
    </w:r>
    <w:r w:rsidR="00EC2E9E">
      <w:rPr>
        <w:rStyle w:val="PageNumber"/>
      </w:rPr>
      <w:instrText xml:space="preserve">PAGE  </w:instrText>
    </w:r>
    <w:r>
      <w:rPr>
        <w:rStyle w:val="PageNumber"/>
      </w:rPr>
      <w:fldChar w:fldCharType="end"/>
    </w:r>
  </w:p>
  <w:p w14:paraId="15C908CC" w14:textId="77777777" w:rsidR="00EC2E9E" w:rsidRDefault="00EC2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5BA6" w14:textId="77777777" w:rsidR="00EC2E9E" w:rsidRDefault="006744FB">
    <w:pPr>
      <w:pStyle w:val="Footer"/>
      <w:framePr w:wrap="around" w:vAnchor="text" w:hAnchor="margin" w:xAlign="center" w:y="1"/>
      <w:rPr>
        <w:rStyle w:val="PageNumber"/>
      </w:rPr>
    </w:pPr>
    <w:r>
      <w:rPr>
        <w:rStyle w:val="PageNumber"/>
      </w:rPr>
      <w:fldChar w:fldCharType="begin"/>
    </w:r>
    <w:r w:rsidR="00EC2E9E">
      <w:rPr>
        <w:rStyle w:val="PageNumber"/>
      </w:rPr>
      <w:instrText xml:space="preserve">PAGE  </w:instrText>
    </w:r>
    <w:r>
      <w:rPr>
        <w:rStyle w:val="PageNumber"/>
      </w:rPr>
      <w:fldChar w:fldCharType="separate"/>
    </w:r>
    <w:r w:rsidR="00191FAE">
      <w:rPr>
        <w:rStyle w:val="PageNumber"/>
        <w:noProof/>
      </w:rPr>
      <w:t>2</w:t>
    </w:r>
    <w:r>
      <w:rPr>
        <w:rStyle w:val="PageNumber"/>
      </w:rPr>
      <w:fldChar w:fldCharType="end"/>
    </w:r>
  </w:p>
  <w:p w14:paraId="4F8FDC8D" w14:textId="77777777" w:rsidR="00EC2E9E" w:rsidRDefault="00EC2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4ABF" w14:textId="77777777" w:rsidR="00FA54D0" w:rsidRDefault="00FA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BB76" w14:textId="77777777" w:rsidR="006074C9" w:rsidRDefault="006074C9">
      <w:r>
        <w:separator/>
      </w:r>
    </w:p>
  </w:footnote>
  <w:footnote w:type="continuationSeparator" w:id="0">
    <w:p w14:paraId="408F04E3" w14:textId="77777777" w:rsidR="006074C9" w:rsidRDefault="006074C9">
      <w:r>
        <w:continuationSeparator/>
      </w:r>
    </w:p>
  </w:footnote>
  <w:footnote w:type="continuationNotice" w:id="1">
    <w:p w14:paraId="2F3DAF72" w14:textId="77777777" w:rsidR="006074C9" w:rsidRDefault="006074C9"/>
  </w:footnote>
  <w:footnote w:id="2">
    <w:p w14:paraId="1E75DE97" w14:textId="77777777" w:rsidR="00575D56" w:rsidRPr="00297703" w:rsidRDefault="00575D56" w:rsidP="00575D56">
      <w:pPr>
        <w:pStyle w:val="FootnoteText"/>
        <w:jc w:val="left"/>
      </w:pPr>
      <w:r>
        <w:rPr>
          <w:rStyle w:val="FootnoteReference"/>
        </w:rPr>
        <w:footnoteRef/>
      </w:r>
      <w:r>
        <w:t xml:space="preserve"> EchoStar Petition at 1.  </w:t>
      </w:r>
    </w:p>
  </w:footnote>
  <w:footnote w:id="3">
    <w:p w14:paraId="491466D1" w14:textId="2B15BEFB" w:rsidR="00590F66" w:rsidRDefault="00590F66" w:rsidP="000C7895">
      <w:pPr>
        <w:pStyle w:val="FootnoteText"/>
        <w:jc w:val="left"/>
      </w:pPr>
      <w:r>
        <w:rPr>
          <w:rStyle w:val="FootnoteReference"/>
        </w:rPr>
        <w:footnoteRef/>
      </w:r>
      <w:r>
        <w:t xml:space="preserve"> </w:t>
      </w:r>
      <w:r w:rsidRPr="00E739D7">
        <w:rPr>
          <w:i/>
        </w:rPr>
        <w:t>See</w:t>
      </w:r>
      <w:r w:rsidRPr="00E739D7">
        <w:t xml:space="preserve"> 47 C.F.R. § 15.117(b)</w:t>
      </w:r>
      <w:r w:rsidR="00A12525">
        <w:t>.</w:t>
      </w:r>
      <w:r w:rsidR="007A34A4">
        <w:t xml:space="preserve">  </w:t>
      </w:r>
    </w:p>
  </w:footnote>
  <w:footnote w:id="4">
    <w:p w14:paraId="3D638D63" w14:textId="2EA7694A" w:rsidR="0078362C" w:rsidRPr="0078362C" w:rsidRDefault="0078362C">
      <w:pPr>
        <w:pStyle w:val="FootnoteText"/>
      </w:pPr>
      <w:r>
        <w:rPr>
          <w:rStyle w:val="FootnoteReference"/>
        </w:rPr>
        <w:footnoteRef/>
      </w:r>
      <w:r>
        <w:t xml:space="preserve"> </w:t>
      </w:r>
      <w:r>
        <w:rPr>
          <w:i/>
        </w:rPr>
        <w:t xml:space="preserve">Id.  </w:t>
      </w:r>
      <w:r w:rsidRPr="00050231">
        <w:t>Low-power</w:t>
      </w:r>
      <w:r w:rsidR="00985248">
        <w:t xml:space="preserve"> </w:t>
      </w:r>
      <w:r w:rsidRPr="00050231">
        <w:t>and translator over-the-air stations (collectively, “low-power television stations”) that have not already gone all-digital are permitted to use the analog broadcasting standard.</w:t>
      </w:r>
    </w:p>
  </w:footnote>
  <w:footnote w:id="5">
    <w:p w14:paraId="10ADDF9D" w14:textId="77777777" w:rsidR="00537A6E" w:rsidRPr="00E739D7" w:rsidRDefault="00537A6E" w:rsidP="000C7895">
      <w:pPr>
        <w:pStyle w:val="FootnoteText"/>
        <w:jc w:val="left"/>
      </w:pPr>
      <w:r w:rsidRPr="00E739D7">
        <w:rPr>
          <w:rStyle w:val="FootnoteReference"/>
        </w:rPr>
        <w:footnoteRef/>
      </w:r>
      <w:r w:rsidRPr="00E739D7">
        <w:t xml:space="preserve"> 47 U.S.C. § 303(s)</w:t>
      </w:r>
      <w:r w:rsidR="00494293">
        <w:t>;</w:t>
      </w:r>
      <w:r w:rsidR="002D2F47">
        <w:t xml:space="preserve"> </w:t>
      </w:r>
      <w:r w:rsidR="002B58D7">
        <w:t>the All Channel Receiver Act of 1962</w:t>
      </w:r>
      <w:r w:rsidR="002B58D7" w:rsidRPr="002B58D7">
        <w:t>, Pub. L. No. 87-529, 76 Stat. 150</w:t>
      </w:r>
      <w:r w:rsidR="002B58D7">
        <w:t>.</w:t>
      </w:r>
      <w:r w:rsidR="00263FA2">
        <w:t xml:space="preserve">  </w:t>
      </w:r>
      <w:r w:rsidR="00263FA2">
        <w:rPr>
          <w:i/>
        </w:rPr>
        <w:t xml:space="preserve">See also </w:t>
      </w:r>
      <w:r w:rsidR="00263FA2">
        <w:t>S. Rep. 1526, 87</w:t>
      </w:r>
      <w:r w:rsidR="00263FA2" w:rsidRPr="00316381">
        <w:rPr>
          <w:vertAlign w:val="superscript"/>
        </w:rPr>
        <w:t>th</w:t>
      </w:r>
      <w:r w:rsidR="00263FA2">
        <w:t xml:space="preserve"> Cong., 2</w:t>
      </w:r>
      <w:r w:rsidR="00263FA2" w:rsidRPr="00316381">
        <w:rPr>
          <w:vertAlign w:val="superscript"/>
        </w:rPr>
        <w:t>nd</w:t>
      </w:r>
      <w:r w:rsidR="00263FA2">
        <w:t xml:space="preserve"> Sess. 1962 </w:t>
      </w:r>
      <w:r w:rsidR="00263FA2">
        <w:rPr>
          <w:i/>
        </w:rPr>
        <w:t xml:space="preserve">reprinted at </w:t>
      </w:r>
      <w:r w:rsidR="00263FA2">
        <w:t>1962 U.S.C.C.A.N. 1873, 1875 (discussing “the relative scarcity of television receivers in the United States which are capable of receiving the signals of UHF stations” (only about 16%), which “prevents effective competition between UHF and VHF stations which operate in the same market”).</w:t>
      </w:r>
    </w:p>
  </w:footnote>
  <w:footnote w:id="6">
    <w:p w14:paraId="79684B85" w14:textId="77777777" w:rsidR="005B64CF" w:rsidRPr="00E739D7" w:rsidRDefault="005B64CF" w:rsidP="000C7895">
      <w:pPr>
        <w:pStyle w:val="FootnoteText"/>
        <w:jc w:val="left"/>
      </w:pPr>
      <w:r w:rsidRPr="00E739D7">
        <w:rPr>
          <w:rStyle w:val="FootnoteReference"/>
        </w:rPr>
        <w:footnoteRef/>
      </w:r>
      <w:r w:rsidRPr="00E739D7">
        <w:t xml:space="preserve"> All-Channel Television Broadcast Receivers, 27 Fed. Reg. 11,698, 11,700 (Nov. 28, 1962)</w:t>
      </w:r>
      <w:r w:rsidR="002D2F47">
        <w:t xml:space="preserve">; </w:t>
      </w:r>
      <w:r w:rsidR="0003759D">
        <w:t>47 C.F.R. § 15.70(a) (1962) (current version at 47 C.F.R. § 15.117(b))</w:t>
      </w:r>
      <w:r w:rsidR="002D2F47">
        <w:t xml:space="preserve"> (</w:t>
      </w:r>
      <w:r w:rsidR="002D2F47" w:rsidRPr="002D2F47">
        <w:t>“[a]ll television broadcast receivers manufactured after April 30, 1964, and shipped in interstate commerce or imported from any country into the United States, for sale or resale to the public, shall be capable of adequately receiving all channels allocated by the Commission to the television broadcast service.”</w:t>
      </w:r>
      <w:r w:rsidR="0003759D">
        <w:t>)</w:t>
      </w:r>
      <w:r w:rsidRPr="00E739D7">
        <w:t>.</w:t>
      </w:r>
    </w:p>
  </w:footnote>
  <w:footnote w:id="7">
    <w:p w14:paraId="31262414" w14:textId="56CC5824" w:rsidR="00537A6E" w:rsidRPr="00D021D0" w:rsidRDefault="00537A6E" w:rsidP="000C7895">
      <w:pPr>
        <w:pStyle w:val="FootnoteText"/>
        <w:jc w:val="left"/>
      </w:pPr>
      <w:r w:rsidRPr="00E739D7">
        <w:rPr>
          <w:rStyle w:val="FootnoteReference"/>
        </w:rPr>
        <w:footnoteRef/>
      </w:r>
      <w:r w:rsidRPr="00E739D7">
        <w:t xml:space="preserve"> </w:t>
      </w:r>
      <w:r w:rsidRPr="00E739D7">
        <w:rPr>
          <w:i/>
        </w:rPr>
        <w:t>See Revision of Part 15 of the Rules regarding the operation of radio frequency devices without an individual license</w:t>
      </w:r>
      <w:r w:rsidR="00F07C8D">
        <w:t>, 4 FCC Rcd 3493, 3517, para.</w:t>
      </w:r>
      <w:r w:rsidRPr="00E739D7">
        <w:t xml:space="preserve"> 139 </w:t>
      </w:r>
      <w:r w:rsidR="00D712EC" w:rsidRPr="00E739D7">
        <w:t xml:space="preserve">(1989) </w:t>
      </w:r>
      <w:r w:rsidRPr="00E739D7">
        <w:t>(adopting 47 C.F.R. § 15.117(b)</w:t>
      </w:r>
      <w:r w:rsidR="00D712EC" w:rsidRPr="00E739D7">
        <w:t>)</w:t>
      </w:r>
      <w:r w:rsidRPr="00E739D7">
        <w:t>.</w:t>
      </w:r>
      <w:r w:rsidR="00CC5E65">
        <w:t xml:space="preserve">  </w:t>
      </w:r>
      <w:r w:rsidR="00CC5E65" w:rsidRPr="00CC5E65">
        <w:t xml:space="preserve">A previous Commission statement could be interpreted to reflect some flexibility with respect to the application of this </w:t>
      </w:r>
      <w:r w:rsidR="009E0F86" w:rsidRPr="00CC5E65">
        <w:t>r</w:t>
      </w:r>
      <w:r w:rsidR="009E0F86">
        <w:t>ule</w:t>
      </w:r>
      <w:r w:rsidR="00CC5E65" w:rsidRPr="00CC5E65">
        <w:t>.</w:t>
      </w:r>
      <w:r w:rsidR="00CC5E65">
        <w:t xml:space="preserve">  </w:t>
      </w:r>
      <w:r w:rsidR="00CC5E65">
        <w:rPr>
          <w:i/>
        </w:rPr>
        <w:t xml:space="preserve">See </w:t>
      </w:r>
      <w:r w:rsidR="00D021D0" w:rsidRPr="000C732C">
        <w:rPr>
          <w:i/>
        </w:rPr>
        <w:t>Advanced Television Systems And Their Impact Upon The Existing Television Broadcast Service</w:t>
      </w:r>
      <w:r w:rsidR="00D021D0" w:rsidRPr="00D021D0">
        <w:t xml:space="preserve">, </w:t>
      </w:r>
      <w:r w:rsidR="00D021D0">
        <w:t xml:space="preserve">Fifth Report and Order, </w:t>
      </w:r>
      <w:r w:rsidR="00D021D0" w:rsidRPr="00D021D0">
        <w:t>12 FCC Rcd 12809, 12855-6 (1997)</w:t>
      </w:r>
      <w:r w:rsidR="00D021D0">
        <w:t xml:space="preserve"> (“</w:t>
      </w:r>
      <w:r w:rsidR="00D021D0" w:rsidRPr="00D021D0">
        <w:t xml:space="preserve">We do not believe that our goals would be advanced by mandating that all digital receivers receive and display NTSC signals and DTV signals, regardless of format, aspect ratio, or progressive or interlaced scanning, as broadcasters argue. </w:t>
      </w:r>
      <w:r w:rsidR="008D715F">
        <w:t xml:space="preserve"> </w:t>
      </w:r>
      <w:r w:rsidR="00D021D0" w:rsidRPr="00D021D0">
        <w:t xml:space="preserve">We expect that equipment manufacturers will make available to consumers digital receivers that receive both NTSC and DTV signals. </w:t>
      </w:r>
      <w:r w:rsidR="008D715F">
        <w:t xml:space="preserve"> </w:t>
      </w:r>
      <w:r w:rsidR="00D021D0" w:rsidRPr="00D021D0">
        <w:t>However, we will not preclude equipment manufacturers from designing digital receivers that do not receive NTSC signals.</w:t>
      </w:r>
      <w:r w:rsidR="00D021D0">
        <w:t xml:space="preserve">”).  </w:t>
      </w:r>
      <w:r w:rsidR="00A2587B">
        <w:t>However,</w:t>
      </w:r>
      <w:r w:rsidR="00D021D0">
        <w:t xml:space="preserve"> on its face, Section </w:t>
      </w:r>
      <w:r w:rsidR="00D021D0" w:rsidRPr="00E739D7">
        <w:t>15.117(b</w:t>
      </w:r>
      <w:r w:rsidR="00D021D0">
        <w:t xml:space="preserve">) </w:t>
      </w:r>
      <w:r w:rsidR="00AA687E">
        <w:t xml:space="preserve">of the rules </w:t>
      </w:r>
      <w:r w:rsidR="00D021D0">
        <w:t>requires</w:t>
      </w:r>
      <w:r w:rsidR="003A13C2">
        <w:t xml:space="preserve"> a television broadcast receiver to be able to receive “</w:t>
      </w:r>
      <w:r w:rsidR="003A13C2" w:rsidRPr="002D2F47">
        <w:t>all channels allocated by the Commission to the television broadcast service</w:t>
      </w:r>
      <w:r w:rsidR="003A13C2">
        <w:t xml:space="preserve">.”  </w:t>
      </w:r>
      <w:r w:rsidR="003A13C2" w:rsidRPr="00E739D7">
        <w:t>47 C.F.R. § 15.117(b)</w:t>
      </w:r>
      <w:r w:rsidR="003A13C2">
        <w:t xml:space="preserve">; </w:t>
      </w:r>
      <w:r w:rsidR="003A13C2">
        <w:rPr>
          <w:i/>
        </w:rPr>
        <w:t>see also</w:t>
      </w:r>
      <w:r w:rsidR="003A13C2">
        <w:t xml:space="preserve"> Office of Engineering and Technology Laboratory Division K</w:t>
      </w:r>
      <w:r w:rsidR="002D2E15">
        <w:t xml:space="preserve">nowledge Database (available at </w:t>
      </w:r>
      <w:r w:rsidR="003A13C2">
        <w:t xml:space="preserve">https://apps.fcc.gov/oetcf/kdb/forms/FTSSearchResultPage.cfm?switch=P&amp;id=42863), Publication Number 218634 (rel. Dec. 17, 2009) (confirming Section 15.117(b)’s dual ATSC/NTSC tuner requirement).  </w:t>
      </w:r>
    </w:p>
  </w:footnote>
  <w:footnote w:id="8">
    <w:p w14:paraId="1F42E95C" w14:textId="77777777" w:rsidR="0093337D" w:rsidRDefault="0093337D" w:rsidP="000C7895">
      <w:pPr>
        <w:pStyle w:val="FootnoteText"/>
        <w:jc w:val="left"/>
      </w:pPr>
      <w:r>
        <w:rPr>
          <w:rStyle w:val="FootnoteReference"/>
        </w:rPr>
        <w:footnoteRef/>
      </w:r>
      <w:r>
        <w:t xml:space="preserve"> </w:t>
      </w:r>
      <w:r w:rsidRPr="00E739D7">
        <w:t>47 C.F.R. § 15.</w:t>
      </w:r>
      <w:r>
        <w:t>3(w).</w:t>
      </w:r>
    </w:p>
  </w:footnote>
  <w:footnote w:id="9">
    <w:p w14:paraId="64FF3CF2" w14:textId="77777777" w:rsidR="0074744C" w:rsidRDefault="0074744C" w:rsidP="000C7895">
      <w:pPr>
        <w:pStyle w:val="FootnoteText"/>
        <w:jc w:val="left"/>
      </w:pPr>
      <w:r>
        <w:rPr>
          <w:rStyle w:val="FootnoteReference"/>
        </w:rPr>
        <w:footnoteRef/>
      </w:r>
      <w:r>
        <w:t xml:space="preserve"> </w:t>
      </w:r>
      <w:r w:rsidRPr="00E739D7">
        <w:t>47 C.F.R. § 15.117(</w:t>
      </w:r>
      <w:r>
        <w:t>a).</w:t>
      </w:r>
    </w:p>
  </w:footnote>
  <w:footnote w:id="10">
    <w:p w14:paraId="2ED1F78B" w14:textId="3D48E0FB" w:rsidR="00D712EC" w:rsidRPr="00604E8E" w:rsidRDefault="00D712EC" w:rsidP="000C7895">
      <w:pPr>
        <w:pStyle w:val="FootnoteText"/>
        <w:jc w:val="left"/>
      </w:pPr>
      <w:r w:rsidRPr="00E739D7">
        <w:rPr>
          <w:rStyle w:val="FootnoteReference"/>
        </w:rPr>
        <w:footnoteRef/>
      </w:r>
      <w:r w:rsidRPr="00E739D7">
        <w:t xml:space="preserve"> All-Channel Television Broadcast Receivers, 27 Fed. Reg. 11,698 (Nov. 28, 1962).</w:t>
      </w:r>
      <w:r w:rsidR="00C34929">
        <w:t xml:space="preserve">  When the Commission defined</w:t>
      </w:r>
      <w:r w:rsidR="00A2587B">
        <w:t xml:space="preserve"> a</w:t>
      </w:r>
      <w:r w:rsidR="00C34929">
        <w:t xml:space="preserve"> TV broadcast receiver to include “</w:t>
      </w:r>
      <w:r w:rsidR="00C34929">
        <w:rPr>
          <w:szCs w:val="22"/>
        </w:rPr>
        <w:t xml:space="preserve">TV interface devices and set-top devices that are intended to provide audio-video signals to a video monitor,” it was focused on whether those devices should include digital </w:t>
      </w:r>
      <w:r w:rsidR="00284D54">
        <w:rPr>
          <w:szCs w:val="22"/>
        </w:rPr>
        <w:t xml:space="preserve">broadcast </w:t>
      </w:r>
      <w:r w:rsidR="00C34929">
        <w:rPr>
          <w:szCs w:val="22"/>
        </w:rPr>
        <w:t>receiver</w:t>
      </w:r>
      <w:r w:rsidR="00284D54">
        <w:rPr>
          <w:szCs w:val="22"/>
        </w:rPr>
        <w:t>s</w:t>
      </w:r>
      <w:r w:rsidR="00C34929">
        <w:rPr>
          <w:szCs w:val="22"/>
        </w:rPr>
        <w:t xml:space="preserve"> because of the impending DTV transition</w:t>
      </w:r>
      <w:r w:rsidR="00284D54">
        <w:rPr>
          <w:szCs w:val="22"/>
        </w:rPr>
        <w:t>, rather than whether devices should include analog broadcast receivers</w:t>
      </w:r>
      <w:r w:rsidR="00C34929">
        <w:rPr>
          <w:szCs w:val="22"/>
        </w:rPr>
        <w:t xml:space="preserve">.  </w:t>
      </w:r>
      <w:r w:rsidR="00C34929" w:rsidRPr="000C732C">
        <w:rPr>
          <w:i/>
          <w:szCs w:val="22"/>
        </w:rPr>
        <w:t>See</w:t>
      </w:r>
      <w:r w:rsidR="00C34929">
        <w:rPr>
          <w:szCs w:val="22"/>
        </w:rPr>
        <w:t xml:space="preserve"> </w:t>
      </w:r>
      <w:r w:rsidR="00C34929" w:rsidRPr="000C732C">
        <w:rPr>
          <w:i/>
          <w:szCs w:val="22"/>
        </w:rPr>
        <w:t>Review of the Commission's Rules and Policies Affecting the Conversion to Digital Television</w:t>
      </w:r>
      <w:r w:rsidR="00C34929">
        <w:rPr>
          <w:szCs w:val="22"/>
        </w:rPr>
        <w:t xml:space="preserve">, 17 FCC Rcd 15978, 15995-15999, </w:t>
      </w:r>
      <w:r w:rsidR="00F07C8D">
        <w:t>paras.</w:t>
      </w:r>
      <w:r w:rsidR="00C34929">
        <w:rPr>
          <w:szCs w:val="22"/>
        </w:rPr>
        <w:t xml:space="preserve"> 39-46 </w:t>
      </w:r>
      <w:r w:rsidR="00746B1A">
        <w:rPr>
          <w:szCs w:val="22"/>
        </w:rPr>
        <w:t>(2002)</w:t>
      </w:r>
      <w:r w:rsidR="009B3ED2">
        <w:rPr>
          <w:szCs w:val="22"/>
        </w:rPr>
        <w:t xml:space="preserve"> </w:t>
      </w:r>
      <w:r w:rsidR="00C34929">
        <w:rPr>
          <w:szCs w:val="22"/>
        </w:rPr>
        <w:t>(“</w:t>
      </w:r>
      <w:r w:rsidR="00C34929" w:rsidRPr="00C34929">
        <w:rPr>
          <w:szCs w:val="22"/>
        </w:rPr>
        <w:t>Consistent with the intent of Congress that we not use our authority under the ACRA to set broad standards for television receivers, we believe that the rules implementing the DTV tuner requirements should avoid imposing new performance standards on DTV except as necessary to ensure that receivers can adequately tune DTV signals on all of the television channels.</w:t>
      </w:r>
      <w:r w:rsidR="00C34929">
        <w:rPr>
          <w:szCs w:val="22"/>
        </w:rPr>
        <w:t>”).</w:t>
      </w:r>
      <w:r w:rsidR="00284D54">
        <w:rPr>
          <w:szCs w:val="22"/>
        </w:rPr>
        <w:t xml:space="preserve">  </w:t>
      </w:r>
    </w:p>
  </w:footnote>
  <w:footnote w:id="11">
    <w:p w14:paraId="48124AFD" w14:textId="5821F97E" w:rsidR="006A24F3" w:rsidRDefault="006A24F3" w:rsidP="000C7895">
      <w:pPr>
        <w:pStyle w:val="FootnoteText"/>
      </w:pPr>
      <w:r>
        <w:rPr>
          <w:rStyle w:val="FootnoteReference"/>
        </w:rPr>
        <w:footnoteRef/>
      </w:r>
      <w:r>
        <w:t xml:space="preserve"> </w:t>
      </w:r>
      <w:r w:rsidR="003F3316" w:rsidRPr="003F3316">
        <w:rPr>
          <w:i/>
        </w:rPr>
        <w:t xml:space="preserve">Amendment of Parts 73 and 74 of the Commission’s Rules to Establish Rules for Digital Low Power Television and Television Translator Stations, </w:t>
      </w:r>
      <w:r w:rsidR="003F3316" w:rsidRPr="00F07C8D">
        <w:rPr>
          <w:iCs/>
        </w:rPr>
        <w:t xml:space="preserve">30 FCC Rcd 14927, 14947-9, </w:t>
      </w:r>
      <w:r w:rsidR="00F07C8D">
        <w:t>paras.</w:t>
      </w:r>
      <w:r w:rsidR="003F3316" w:rsidRPr="00F07C8D">
        <w:rPr>
          <w:iCs/>
        </w:rPr>
        <w:t xml:space="preserve"> 44-46 (2015)</w:t>
      </w:r>
      <w:r w:rsidR="00EF50A4">
        <w:rPr>
          <w:iCs/>
        </w:rPr>
        <w:t xml:space="preserve">; 47 C.F.R </w:t>
      </w:r>
      <w:r w:rsidR="00EF50A4" w:rsidRPr="00E739D7">
        <w:t>§ 15.117(</w:t>
      </w:r>
      <w:r w:rsidR="00EF50A4">
        <w:t>b)</w:t>
      </w:r>
      <w:r w:rsidR="00EF50A4">
        <w:rPr>
          <w:iCs/>
        </w:rPr>
        <w:t xml:space="preserve">. </w:t>
      </w:r>
    </w:p>
  </w:footnote>
  <w:footnote w:id="12">
    <w:p w14:paraId="00D3AE4C" w14:textId="32D74199" w:rsidR="00747C18" w:rsidRPr="00CF2B00" w:rsidRDefault="00747C18" w:rsidP="00747C18">
      <w:pPr>
        <w:pStyle w:val="FootnoteText"/>
        <w:jc w:val="left"/>
      </w:pPr>
      <w:r w:rsidRPr="00E739D7">
        <w:rPr>
          <w:rStyle w:val="FootnoteReference"/>
        </w:rPr>
        <w:footnoteRef/>
      </w:r>
      <w:r w:rsidRPr="00E739D7">
        <w:t xml:space="preserve"> </w:t>
      </w:r>
      <w:r>
        <w:t xml:space="preserve">On June 21, 2013, </w:t>
      </w:r>
      <w:r w:rsidR="00DA65A6">
        <w:t>EchoStar requested a waiver of the “all channels” requirement in Section 15.117(b) of the Commission’s Rules, 47 C.F.R. §15.117(b), to permit the importation, marketing, and retail sale of two models of the Channe</w:t>
      </w:r>
      <w:r w:rsidR="00D21093">
        <w:t>l Master K77, high-definition, I</w:t>
      </w:r>
      <w:r w:rsidR="00DA65A6">
        <w:t xml:space="preserve">nternet-enabled, digital </w:t>
      </w:r>
      <w:r w:rsidR="00770E27">
        <w:t>video recorders (“DVRs”) that could receive digital, over-the-air broadcast signals</w:t>
      </w:r>
      <w:r w:rsidR="00900FFD">
        <w:t xml:space="preserve">, but did not include an analog broadcast tuner. </w:t>
      </w:r>
      <w:r w:rsidR="00DB0799">
        <w:t xml:space="preserve">On February 13, 2015, EchoStar filed a similar request with respect to its SlingLoaded DVR. </w:t>
      </w:r>
    </w:p>
  </w:footnote>
  <w:footnote w:id="13">
    <w:p w14:paraId="53D239AE" w14:textId="4F2E5A33" w:rsidR="00CF2B00" w:rsidRPr="00CF2B00" w:rsidRDefault="00CF2B00" w:rsidP="000C7895">
      <w:pPr>
        <w:pStyle w:val="FootnoteText"/>
        <w:jc w:val="left"/>
      </w:pPr>
      <w:r w:rsidRPr="00E739D7">
        <w:rPr>
          <w:rStyle w:val="FootnoteReference"/>
        </w:rPr>
        <w:footnoteRef/>
      </w:r>
      <w:r w:rsidRPr="00E739D7">
        <w:t xml:space="preserve"> </w:t>
      </w:r>
      <w:r w:rsidR="00FA2085" w:rsidRPr="00F07C8D">
        <w:rPr>
          <w:color w:val="000000" w:themeColor="text1"/>
        </w:rPr>
        <w:t>On August 9, 2013, the Media Bureau granted TiVo’s unopposed request for waiver of both the broadcast and cable analog tuner rules</w:t>
      </w:r>
      <w:r w:rsidR="00FA2085">
        <w:rPr>
          <w:color w:val="000000" w:themeColor="text1"/>
        </w:rPr>
        <w:t>,</w:t>
      </w:r>
      <w:r w:rsidR="00FA2085" w:rsidRPr="00F07C8D">
        <w:rPr>
          <w:color w:val="000000" w:themeColor="text1"/>
        </w:rPr>
        <w:t xml:space="preserve"> </w:t>
      </w:r>
      <w:r w:rsidR="00FA2085">
        <w:rPr>
          <w:color w:val="000000" w:themeColor="text1"/>
        </w:rPr>
        <w:t xml:space="preserve">and </w:t>
      </w:r>
      <w:r w:rsidR="00FA2085" w:rsidRPr="00F07C8D">
        <w:rPr>
          <w:color w:val="000000" w:themeColor="text1"/>
        </w:rPr>
        <w:t>on September 30, 2013 and May 1, 2015 the Media Bureau granted EchoStar’s unopposed requests for waiver of the broadcast tuner rule.</w:t>
      </w:r>
      <w:r w:rsidR="00FA2085">
        <w:rPr>
          <w:color w:val="000000" w:themeColor="text1"/>
        </w:rPr>
        <w:t xml:space="preserve">  </w:t>
      </w:r>
      <w:r>
        <w:rPr>
          <w:i/>
        </w:rPr>
        <w:t>See</w:t>
      </w:r>
      <w:r w:rsidR="00FA2085">
        <w:rPr>
          <w:i/>
        </w:rPr>
        <w:t xml:space="preserve"> </w:t>
      </w:r>
      <w:r>
        <w:rPr>
          <w:i/>
        </w:rPr>
        <w:t>EchoStar Technologies L.L.C. Petition for Waiver of Section 15.117(b) of the Commission’s Rules</w:t>
      </w:r>
      <w:r>
        <w:t xml:space="preserve">, MB Docket No. 13-177, Memorandum Opinion and Order, 28 FCC Rcd 14000, </w:t>
      </w:r>
      <w:r w:rsidR="00B060C3">
        <w:t xml:space="preserve">14004, </w:t>
      </w:r>
      <w:r w:rsidR="004168C4">
        <w:t>para.</w:t>
      </w:r>
      <w:r>
        <w:t xml:space="preserve"> 7 (2013); </w:t>
      </w:r>
      <w:r>
        <w:rPr>
          <w:i/>
        </w:rPr>
        <w:t>TiVo, Inc. Petition for Waiver of Sections 15.117(b), 15.118(b), 15.123(b)(1), 15.123(c), and 15.123(d) of the Commission’s Rules</w:t>
      </w:r>
      <w:r>
        <w:t xml:space="preserve">, MB Docket No. 11-105, Memorandum Opinion and Order, 28 FCC Rcd 12181, 12181, </w:t>
      </w:r>
      <w:r w:rsidR="00F07C8D">
        <w:t>para.</w:t>
      </w:r>
      <w:r>
        <w:t xml:space="preserve"> 1 (2013) </w:t>
      </w:r>
      <w:r w:rsidR="00FA2085">
        <w:t>(granting waiver of 47 C.F.R. § 15.117(b), which governs broadcast tuner requirements and 47 C.F.R. §15.118(b), which governs cable tuner requirements)</w:t>
      </w:r>
      <w:r>
        <w:t xml:space="preserve">. </w:t>
      </w:r>
    </w:p>
  </w:footnote>
  <w:footnote w:id="14">
    <w:p w14:paraId="34D925B0" w14:textId="77777777" w:rsidR="00EA7577" w:rsidRDefault="00EA7577" w:rsidP="00EA7577">
      <w:pPr>
        <w:pStyle w:val="FootnoteText"/>
        <w:jc w:val="left"/>
      </w:pPr>
      <w:r>
        <w:rPr>
          <w:rStyle w:val="FootnoteReference"/>
        </w:rPr>
        <w:footnoteRef/>
      </w:r>
      <w:r>
        <w:t xml:space="preserve"> EchoStar Petition at 1.</w:t>
      </w:r>
    </w:p>
  </w:footnote>
  <w:footnote w:id="15">
    <w:p w14:paraId="3DE8A560" w14:textId="77777777" w:rsidR="00EC2E9E" w:rsidRPr="00E739D7" w:rsidRDefault="00EC2E9E" w:rsidP="000C7895">
      <w:pPr>
        <w:pStyle w:val="FootnoteText"/>
        <w:jc w:val="left"/>
      </w:pPr>
      <w:r w:rsidRPr="00E739D7">
        <w:rPr>
          <w:rStyle w:val="FootnoteReference"/>
        </w:rPr>
        <w:footnoteRef/>
      </w:r>
      <w:r w:rsidRPr="00E739D7">
        <w:t xml:space="preserve"> Section 1.3 of the Commission’s rules states that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  47 C.F.R. § 1.3.</w:t>
      </w:r>
    </w:p>
  </w:footnote>
  <w:footnote w:id="16">
    <w:p w14:paraId="211D19B6" w14:textId="2B49B08A" w:rsidR="00B87F5A" w:rsidRDefault="00B87F5A" w:rsidP="000C7895">
      <w:pPr>
        <w:autoSpaceDE w:val="0"/>
        <w:autoSpaceDN w:val="0"/>
        <w:adjustRightInd w:val="0"/>
        <w:spacing w:after="120"/>
        <w:rPr>
          <w:sz w:val="20"/>
        </w:rPr>
      </w:pPr>
      <w:r>
        <w:rPr>
          <w:rStyle w:val="FootnoteReference"/>
          <w:sz w:val="20"/>
        </w:rPr>
        <w:footnoteRef/>
      </w:r>
      <w:r w:rsidR="00C202EB">
        <w:rPr>
          <w:sz w:val="20"/>
        </w:rPr>
        <w:t xml:space="preserve"> EchoStar Petition at </w:t>
      </w:r>
      <w:r w:rsidR="000A36A0">
        <w:rPr>
          <w:sz w:val="20"/>
        </w:rPr>
        <w:t>3-4</w:t>
      </w:r>
      <w:r w:rsidR="009253E1">
        <w:rPr>
          <w:sz w:val="20"/>
        </w:rPr>
        <w:t>; Hauppauge Petition at 2</w:t>
      </w:r>
      <w:r w:rsidR="00C202EB">
        <w:rPr>
          <w:sz w:val="20"/>
        </w:rPr>
        <w:t xml:space="preserve">. </w:t>
      </w:r>
    </w:p>
  </w:footnote>
  <w:footnote w:id="17">
    <w:p w14:paraId="747019AE" w14:textId="276286F1" w:rsidR="00B87F5A" w:rsidRDefault="00B87F5A" w:rsidP="000C7895">
      <w:pPr>
        <w:pStyle w:val="FootnoteText"/>
      </w:pPr>
      <w:r>
        <w:rPr>
          <w:rStyle w:val="FootnoteReference"/>
        </w:rPr>
        <w:footnoteRef/>
      </w:r>
      <w:r>
        <w:t xml:space="preserve"> </w:t>
      </w:r>
      <w:r w:rsidR="00561B56">
        <w:t xml:space="preserve">EchoStar Petition at </w:t>
      </w:r>
      <w:r w:rsidR="000A36A0">
        <w:t>3</w:t>
      </w:r>
      <w:r w:rsidR="009253E1">
        <w:t>; Hauppauge Petition at 2 (“the addition of two analog TV tuners could cost consumers an additional $25-$50 per device – almost doubling the product’s purchase price”)</w:t>
      </w:r>
      <w:r w:rsidR="00561B56">
        <w:t xml:space="preserve">. </w:t>
      </w:r>
    </w:p>
  </w:footnote>
  <w:footnote w:id="18">
    <w:p w14:paraId="18B37230" w14:textId="77777777" w:rsidR="00561B56" w:rsidRPr="00561B56" w:rsidRDefault="00561B56" w:rsidP="00561B56">
      <w:pPr>
        <w:pStyle w:val="FootnoteText"/>
      </w:pPr>
      <w:r>
        <w:rPr>
          <w:rStyle w:val="FootnoteReference"/>
        </w:rPr>
        <w:footnoteRef/>
      </w:r>
      <w:r>
        <w:t xml:space="preserve"> EchoStar Petition at 5. </w:t>
      </w:r>
    </w:p>
  </w:footnote>
  <w:footnote w:id="19">
    <w:p w14:paraId="37306252" w14:textId="662D7BBA" w:rsidR="00B87F5A" w:rsidRDefault="00B87F5A" w:rsidP="000C7895">
      <w:pPr>
        <w:pStyle w:val="FootnoteText"/>
      </w:pPr>
      <w:r>
        <w:rPr>
          <w:rStyle w:val="FootnoteReference"/>
        </w:rPr>
        <w:footnoteRef/>
      </w:r>
      <w:r>
        <w:t xml:space="preserve"> </w:t>
      </w:r>
      <w:r w:rsidR="000A36A0">
        <w:t xml:space="preserve">EchoStar </w:t>
      </w:r>
      <w:r w:rsidR="00983079">
        <w:t xml:space="preserve">Petition at </w:t>
      </w:r>
      <w:r w:rsidR="000A36A0">
        <w:t>5</w:t>
      </w:r>
      <w:r w:rsidR="00983079">
        <w:t xml:space="preserve">. </w:t>
      </w:r>
    </w:p>
  </w:footnote>
  <w:footnote w:id="20">
    <w:p w14:paraId="5CD20025" w14:textId="4CBF2317" w:rsidR="009253E1" w:rsidRDefault="009253E1">
      <w:pPr>
        <w:pStyle w:val="FootnoteText"/>
      </w:pPr>
      <w:r>
        <w:rPr>
          <w:rStyle w:val="FootnoteReference"/>
        </w:rPr>
        <w:footnoteRef/>
      </w:r>
      <w:r>
        <w:t xml:space="preserve"> Hauppauge Petition at 2 (“Hauppauge pledges that a USB plug-in component tuner product containing an NTSC tuner as well as an ATSC tuner will remain in its product line at least through the phaseout of the Commission’s rule in August, 2017.”).</w:t>
      </w:r>
    </w:p>
  </w:footnote>
  <w:footnote w:id="21">
    <w:p w14:paraId="2AD60BCC" w14:textId="77777777" w:rsidR="00DB560C" w:rsidRPr="00DB560C" w:rsidRDefault="00DB560C" w:rsidP="00DB560C">
      <w:pPr>
        <w:pStyle w:val="FootnoteText"/>
        <w:jc w:val="left"/>
      </w:pPr>
      <w:r>
        <w:rPr>
          <w:rStyle w:val="FootnoteReference"/>
        </w:rPr>
        <w:footnoteRef/>
      </w:r>
      <w:r>
        <w:t xml:space="preserve"> </w:t>
      </w:r>
      <w:r w:rsidR="00804434">
        <w:t xml:space="preserve">This waiver will only affect broadcast television viewers, not cable or satellite viewers.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9409" w14:textId="77777777" w:rsidR="00FA54D0" w:rsidRDefault="00FA5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6398" w14:textId="15D19A30" w:rsidR="00EC2E9E" w:rsidRDefault="00EC2E9E">
    <w:pPr>
      <w:pStyle w:val="Header"/>
      <w:tabs>
        <w:tab w:val="clear" w:pos="4320"/>
        <w:tab w:val="clear" w:pos="8640"/>
        <w:tab w:val="center" w:pos="4680"/>
        <w:tab w:val="right" w:pos="9360"/>
      </w:tabs>
      <w:rPr>
        <w:b/>
      </w:rPr>
    </w:pPr>
    <w:r>
      <w:rPr>
        <w:b/>
      </w:rPr>
      <w:tab/>
      <w:t>Federal Communications Commission</w:t>
    </w:r>
    <w:r>
      <w:rPr>
        <w:b/>
      </w:rPr>
      <w:tab/>
      <w:t xml:space="preserve">DA </w:t>
    </w:r>
    <w:r w:rsidR="00C341F8">
      <w:rPr>
        <w:b/>
      </w:rPr>
      <w:t>16</w:t>
    </w:r>
    <w:r>
      <w:rPr>
        <w:b/>
      </w:rPr>
      <w:t>-</w:t>
    </w:r>
    <w:r w:rsidR="00472B2D">
      <w:rPr>
        <w:b/>
      </w:rPr>
      <w:t>1333</w:t>
    </w:r>
  </w:p>
  <w:p w14:paraId="26817DD6" w14:textId="77777777" w:rsidR="00EC2E9E" w:rsidRDefault="00771EFA">
    <w:pPr>
      <w:pStyle w:val="Header"/>
      <w:tabs>
        <w:tab w:val="clear" w:pos="8640"/>
        <w:tab w:val="right" w:pos="9360"/>
      </w:tabs>
    </w:pPr>
    <w:r>
      <w:rPr>
        <w:noProof/>
        <w:lang w:eastAsia="en-US"/>
      </w:rPr>
      <mc:AlternateContent>
        <mc:Choice Requires="wps">
          <w:drawing>
            <wp:anchor distT="4294967294" distB="4294967294" distL="114300" distR="114300" simplePos="0" relativeHeight="251657216" behindDoc="1" locked="0" layoutInCell="1" allowOverlap="1" wp14:anchorId="3FFFDEDF" wp14:editId="5615EC59">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E2AB4"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" strokeweight=".53mm">
              <v:stroke joinstyle="miter"/>
            </v:line>
          </w:pict>
        </mc:Fallback>
      </mc:AlternateContent>
    </w:r>
  </w:p>
  <w:p w14:paraId="50C53662" w14:textId="77777777" w:rsidR="00EC2E9E" w:rsidRDefault="00EC2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ED9B" w14:textId="57D73D69" w:rsidR="00EC2E9E" w:rsidRDefault="00EC2E9E">
    <w:pPr>
      <w:pStyle w:val="Header"/>
      <w:tabs>
        <w:tab w:val="clear" w:pos="4320"/>
        <w:tab w:val="clear" w:pos="8640"/>
        <w:tab w:val="center" w:pos="4680"/>
        <w:tab w:val="right" w:pos="9360"/>
      </w:tabs>
      <w:rPr>
        <w:b/>
      </w:rPr>
    </w:pPr>
    <w:r>
      <w:rPr>
        <w:b/>
      </w:rPr>
      <w:tab/>
      <w:t>Federal Communications Commission</w:t>
    </w:r>
    <w:r>
      <w:rPr>
        <w:b/>
      </w:rPr>
      <w:tab/>
      <w:t xml:space="preserve">DA </w:t>
    </w:r>
    <w:r w:rsidR="004607BE">
      <w:rPr>
        <w:b/>
      </w:rPr>
      <w:t>1</w:t>
    </w:r>
    <w:r w:rsidR="00C341F8">
      <w:rPr>
        <w:b/>
      </w:rPr>
      <w:t>6</w:t>
    </w:r>
    <w:r>
      <w:rPr>
        <w:b/>
      </w:rPr>
      <w:t>-</w:t>
    </w:r>
    <w:r w:rsidR="00472B2D">
      <w:rPr>
        <w:b/>
      </w:rPr>
      <w:t>1333</w:t>
    </w:r>
  </w:p>
  <w:p w14:paraId="14D535D8" w14:textId="77777777" w:rsidR="00EC2E9E" w:rsidRDefault="00771EFA">
    <w:pPr>
      <w:pStyle w:val="Header"/>
      <w:tabs>
        <w:tab w:val="clear" w:pos="8640"/>
        <w:tab w:val="right" w:pos="9360"/>
      </w:tabs>
    </w:pPr>
    <w:r>
      <w:rPr>
        <w:noProof/>
        <w:lang w:eastAsia="en-US"/>
      </w:rPr>
      <mc:AlternateContent>
        <mc:Choice Requires="wps">
          <w:drawing>
            <wp:anchor distT="4294967294" distB="4294967294" distL="114300" distR="114300" simplePos="0" relativeHeight="251658240" behindDoc="1" locked="0" layoutInCell="1" allowOverlap="1" wp14:anchorId="6AB0053B" wp14:editId="7DC58E08">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3E4460"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" strokeweight=".53mm">
              <v:stroke joinstyle="miter"/>
            </v:line>
          </w:pict>
        </mc:Fallback>
      </mc:AlternateContent>
    </w:r>
  </w:p>
  <w:p w14:paraId="527F4D79" w14:textId="77777777" w:rsidR="00EC2E9E" w:rsidRDefault="00EC2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lvlText w:val="%1."/>
      <w:lvlJc w:val="left"/>
      <w:pPr>
        <w:tabs>
          <w:tab w:val="num" w:pos="720"/>
        </w:tabs>
        <w:ind w:left="720" w:hanging="720"/>
      </w:pPr>
      <w:rPr>
        <w:rFonts w:ascii="Times New Roman" w:hAnsi="Times New Roman"/>
        <w:b/>
        <w:i w:val="0"/>
        <w:caps w:val="0"/>
        <w:smallCaps w:val="0"/>
        <w:strike w:val="0"/>
        <w:dstrike w:val="0"/>
        <w:vanish w:val="0"/>
        <w:position w:val="0"/>
        <w:sz w:val="22"/>
        <w:vertAlign w:val="baseline"/>
      </w:r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rPr>
        <w:rFonts w:ascii="Tahoma" w:hAnsi="Tahoma"/>
        <w:b/>
        <w:i w:val="0"/>
        <w:caps w:val="0"/>
        <w:smallCaps w:val="0"/>
        <w:strike w:val="0"/>
        <w:dstrike w:val="0"/>
        <w:vanish w:val="0"/>
        <w:position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4320"/>
        </w:tabs>
        <w:ind w:left="4320" w:firstLine="0"/>
      </w:pPr>
    </w:lvl>
    <w:lvl w:ilvl="7">
      <w:start w:val="1"/>
      <w:numFmt w:val="lowerLetter"/>
      <w:pStyle w:val="Heading8"/>
      <w:lvlText w:val="(%8)"/>
      <w:lvlJc w:val="left"/>
      <w:pPr>
        <w:tabs>
          <w:tab w:val="num" w:pos="5040"/>
        </w:tabs>
        <w:ind w:left="5040" w:firstLine="0"/>
      </w:pPr>
    </w:lvl>
    <w:lvl w:ilvl="8">
      <w:start w:val="1"/>
      <w:numFmt w:val="lowerRoman"/>
      <w:pStyle w:val="Heading9"/>
      <w:lvlText w:val="(%9)"/>
      <w:lvlJc w:val="left"/>
      <w:pPr>
        <w:tabs>
          <w:tab w:val="num" w:pos="5760"/>
        </w:tabs>
        <w:ind w:left="5760" w:firstLine="0"/>
      </w:pPr>
      <w:rPr>
        <w:b/>
        <w:i w:val="0"/>
        <w:sz w:val="22"/>
      </w:rPr>
    </w:lvl>
  </w:abstractNum>
  <w:abstractNum w:abstractNumId="1">
    <w:nsid w:val="00000002"/>
    <w:multiLevelType w:val="singleLevel"/>
    <w:tmpl w:val="93E665D0"/>
    <w:lvl w:ilvl="0">
      <w:start w:val="1"/>
      <w:numFmt w:val="decimal"/>
      <w:pStyle w:val="ParaNum"/>
      <w:lvlText w:val="%1."/>
      <w:lvlJc w:val="left"/>
      <w:pPr>
        <w:tabs>
          <w:tab w:val="num" w:pos="0"/>
        </w:tabs>
        <w:ind w:left="0" w:firstLine="720"/>
      </w:pPr>
      <w:rPr>
        <w:rFonts w:ascii="Times New Roman" w:hAnsi="Times New Roman" w:cs="Times New Roman" w:hint="default"/>
      </w:rPr>
    </w:lvl>
  </w:abstractNum>
  <w:abstractNum w:abstractNumId="2">
    <w:nsid w:val="091A5E7B"/>
    <w:multiLevelType w:val="hybridMultilevel"/>
    <w:tmpl w:val="BE56803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 w:numId="20">
    <w:abstractNumId w:val="1"/>
  </w:num>
  <w:num w:numId="21">
    <w:abstractNumId w:val="0"/>
  </w:num>
  <w:num w:numId="22">
    <w:abstractNumId w:val="0"/>
  </w:num>
  <w:num w:numId="23">
    <w:abstractNumId w:val="0"/>
  </w:num>
  <w:num w:numId="24">
    <w:abstractNumId w:val="1"/>
    <w:lvlOverride w:ilvl="0">
      <w:startOverride w:val="1"/>
    </w:lvlOverride>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E6"/>
    <w:rsid w:val="00000D5C"/>
    <w:rsid w:val="00002E88"/>
    <w:rsid w:val="00003E54"/>
    <w:rsid w:val="000052F6"/>
    <w:rsid w:val="000064A0"/>
    <w:rsid w:val="00007459"/>
    <w:rsid w:val="00011B87"/>
    <w:rsid w:val="00012C91"/>
    <w:rsid w:val="0001785B"/>
    <w:rsid w:val="0002100E"/>
    <w:rsid w:val="0002267A"/>
    <w:rsid w:val="00024A24"/>
    <w:rsid w:val="00032F1C"/>
    <w:rsid w:val="00033241"/>
    <w:rsid w:val="0003759D"/>
    <w:rsid w:val="00042085"/>
    <w:rsid w:val="00043C5E"/>
    <w:rsid w:val="00044150"/>
    <w:rsid w:val="00045D3C"/>
    <w:rsid w:val="000473F3"/>
    <w:rsid w:val="00050231"/>
    <w:rsid w:val="00056954"/>
    <w:rsid w:val="0006170C"/>
    <w:rsid w:val="00066F26"/>
    <w:rsid w:val="000715FB"/>
    <w:rsid w:val="000723A8"/>
    <w:rsid w:val="0008002D"/>
    <w:rsid w:val="00080B8A"/>
    <w:rsid w:val="0008401B"/>
    <w:rsid w:val="00084A0D"/>
    <w:rsid w:val="000854DF"/>
    <w:rsid w:val="0008716E"/>
    <w:rsid w:val="00090793"/>
    <w:rsid w:val="000931E1"/>
    <w:rsid w:val="000974FE"/>
    <w:rsid w:val="00097A6E"/>
    <w:rsid w:val="000A0576"/>
    <w:rsid w:val="000A2D8D"/>
    <w:rsid w:val="000A36A0"/>
    <w:rsid w:val="000A491A"/>
    <w:rsid w:val="000A522E"/>
    <w:rsid w:val="000A6E11"/>
    <w:rsid w:val="000A78D9"/>
    <w:rsid w:val="000B1CA2"/>
    <w:rsid w:val="000B248E"/>
    <w:rsid w:val="000B4087"/>
    <w:rsid w:val="000C5336"/>
    <w:rsid w:val="000C5AA6"/>
    <w:rsid w:val="000C6955"/>
    <w:rsid w:val="000C6B24"/>
    <w:rsid w:val="000C732C"/>
    <w:rsid w:val="000C7895"/>
    <w:rsid w:val="000D0452"/>
    <w:rsid w:val="000D185E"/>
    <w:rsid w:val="000D1D47"/>
    <w:rsid w:val="000D1D7C"/>
    <w:rsid w:val="000D2115"/>
    <w:rsid w:val="000D69C6"/>
    <w:rsid w:val="000E0F7B"/>
    <w:rsid w:val="000E11F2"/>
    <w:rsid w:val="000E3475"/>
    <w:rsid w:val="000E70FD"/>
    <w:rsid w:val="000E73D1"/>
    <w:rsid w:val="000F0A06"/>
    <w:rsid w:val="000F47AF"/>
    <w:rsid w:val="000F63D7"/>
    <w:rsid w:val="0010544B"/>
    <w:rsid w:val="001119B0"/>
    <w:rsid w:val="00116952"/>
    <w:rsid w:val="001173E5"/>
    <w:rsid w:val="00117EA2"/>
    <w:rsid w:val="00120E2F"/>
    <w:rsid w:val="001211AE"/>
    <w:rsid w:val="001218B3"/>
    <w:rsid w:val="00131FCF"/>
    <w:rsid w:val="00132150"/>
    <w:rsid w:val="001401BB"/>
    <w:rsid w:val="001455B7"/>
    <w:rsid w:val="00145792"/>
    <w:rsid w:val="00145EB4"/>
    <w:rsid w:val="001570F3"/>
    <w:rsid w:val="0016028F"/>
    <w:rsid w:val="00160A0F"/>
    <w:rsid w:val="00161369"/>
    <w:rsid w:val="00162E37"/>
    <w:rsid w:val="00172D3C"/>
    <w:rsid w:val="001752A0"/>
    <w:rsid w:val="00176C15"/>
    <w:rsid w:val="0018372C"/>
    <w:rsid w:val="001854AF"/>
    <w:rsid w:val="001861E7"/>
    <w:rsid w:val="00191FAE"/>
    <w:rsid w:val="0019414B"/>
    <w:rsid w:val="00196593"/>
    <w:rsid w:val="001A3DAC"/>
    <w:rsid w:val="001A4B8C"/>
    <w:rsid w:val="001A5EBA"/>
    <w:rsid w:val="001A790A"/>
    <w:rsid w:val="001A7E69"/>
    <w:rsid w:val="001B0C40"/>
    <w:rsid w:val="001B1C6B"/>
    <w:rsid w:val="001B2F88"/>
    <w:rsid w:val="001C0656"/>
    <w:rsid w:val="001C0C94"/>
    <w:rsid w:val="001C1015"/>
    <w:rsid w:val="001C265A"/>
    <w:rsid w:val="001C4491"/>
    <w:rsid w:val="001C5611"/>
    <w:rsid w:val="001C595D"/>
    <w:rsid w:val="001D03E4"/>
    <w:rsid w:val="001D3B31"/>
    <w:rsid w:val="001D5423"/>
    <w:rsid w:val="001E0E72"/>
    <w:rsid w:val="001E67DD"/>
    <w:rsid w:val="001F0175"/>
    <w:rsid w:val="001F3347"/>
    <w:rsid w:val="001F33A6"/>
    <w:rsid w:val="001F469F"/>
    <w:rsid w:val="001F5B29"/>
    <w:rsid w:val="001F6466"/>
    <w:rsid w:val="0020514A"/>
    <w:rsid w:val="00206DD8"/>
    <w:rsid w:val="00207067"/>
    <w:rsid w:val="00210364"/>
    <w:rsid w:val="00210CEC"/>
    <w:rsid w:val="00212A86"/>
    <w:rsid w:val="0021561F"/>
    <w:rsid w:val="002209A0"/>
    <w:rsid w:val="00233A78"/>
    <w:rsid w:val="00236590"/>
    <w:rsid w:val="0024393E"/>
    <w:rsid w:val="00244362"/>
    <w:rsid w:val="002502FF"/>
    <w:rsid w:val="002544FC"/>
    <w:rsid w:val="00255923"/>
    <w:rsid w:val="00257208"/>
    <w:rsid w:val="00257A84"/>
    <w:rsid w:val="00261391"/>
    <w:rsid w:val="002618D5"/>
    <w:rsid w:val="0026328E"/>
    <w:rsid w:val="00263FA2"/>
    <w:rsid w:val="002649D4"/>
    <w:rsid w:val="002708D8"/>
    <w:rsid w:val="00271D8D"/>
    <w:rsid w:val="00271E57"/>
    <w:rsid w:val="0027591A"/>
    <w:rsid w:val="00277E0A"/>
    <w:rsid w:val="00281147"/>
    <w:rsid w:val="002835BD"/>
    <w:rsid w:val="00284D54"/>
    <w:rsid w:val="00291577"/>
    <w:rsid w:val="00294A2F"/>
    <w:rsid w:val="00297154"/>
    <w:rsid w:val="00297703"/>
    <w:rsid w:val="00297B1A"/>
    <w:rsid w:val="002A048A"/>
    <w:rsid w:val="002A0905"/>
    <w:rsid w:val="002A10A7"/>
    <w:rsid w:val="002A5085"/>
    <w:rsid w:val="002A51A4"/>
    <w:rsid w:val="002B58D7"/>
    <w:rsid w:val="002B643E"/>
    <w:rsid w:val="002B6A03"/>
    <w:rsid w:val="002C42E5"/>
    <w:rsid w:val="002D1FBD"/>
    <w:rsid w:val="002D2BED"/>
    <w:rsid w:val="002D2E15"/>
    <w:rsid w:val="002D2F47"/>
    <w:rsid w:val="002D53E3"/>
    <w:rsid w:val="002D59FA"/>
    <w:rsid w:val="002E402B"/>
    <w:rsid w:val="002E75A0"/>
    <w:rsid w:val="002F0D5A"/>
    <w:rsid w:val="002F0DCB"/>
    <w:rsid w:val="002F3AFF"/>
    <w:rsid w:val="002F7C29"/>
    <w:rsid w:val="002F7EFC"/>
    <w:rsid w:val="00303617"/>
    <w:rsid w:val="00305104"/>
    <w:rsid w:val="00306D4E"/>
    <w:rsid w:val="00315118"/>
    <w:rsid w:val="00322199"/>
    <w:rsid w:val="0032562B"/>
    <w:rsid w:val="00333B1D"/>
    <w:rsid w:val="003375B2"/>
    <w:rsid w:val="00337954"/>
    <w:rsid w:val="003419CA"/>
    <w:rsid w:val="003477EE"/>
    <w:rsid w:val="00351F30"/>
    <w:rsid w:val="0035252E"/>
    <w:rsid w:val="003552C0"/>
    <w:rsid w:val="00357113"/>
    <w:rsid w:val="00357747"/>
    <w:rsid w:val="003609A1"/>
    <w:rsid w:val="0036111A"/>
    <w:rsid w:val="00365C1C"/>
    <w:rsid w:val="003675F7"/>
    <w:rsid w:val="003723EC"/>
    <w:rsid w:val="00374507"/>
    <w:rsid w:val="003771CD"/>
    <w:rsid w:val="00381C92"/>
    <w:rsid w:val="00382585"/>
    <w:rsid w:val="00384FC7"/>
    <w:rsid w:val="003856F3"/>
    <w:rsid w:val="0038629C"/>
    <w:rsid w:val="0038764D"/>
    <w:rsid w:val="00390D03"/>
    <w:rsid w:val="003923D8"/>
    <w:rsid w:val="00392642"/>
    <w:rsid w:val="003928EE"/>
    <w:rsid w:val="003935FE"/>
    <w:rsid w:val="00394BE6"/>
    <w:rsid w:val="003A13C2"/>
    <w:rsid w:val="003A2B39"/>
    <w:rsid w:val="003A6769"/>
    <w:rsid w:val="003B34FF"/>
    <w:rsid w:val="003B5199"/>
    <w:rsid w:val="003B5B01"/>
    <w:rsid w:val="003B6795"/>
    <w:rsid w:val="003C1B5A"/>
    <w:rsid w:val="003C6075"/>
    <w:rsid w:val="003D2129"/>
    <w:rsid w:val="003D5D72"/>
    <w:rsid w:val="003D6271"/>
    <w:rsid w:val="003D7436"/>
    <w:rsid w:val="003D7B73"/>
    <w:rsid w:val="003E0D5D"/>
    <w:rsid w:val="003E420E"/>
    <w:rsid w:val="003E4377"/>
    <w:rsid w:val="003F0DF2"/>
    <w:rsid w:val="003F3316"/>
    <w:rsid w:val="003F7A86"/>
    <w:rsid w:val="00401C57"/>
    <w:rsid w:val="00402CC6"/>
    <w:rsid w:val="0040329D"/>
    <w:rsid w:val="00403B06"/>
    <w:rsid w:val="00403B7A"/>
    <w:rsid w:val="00403CA5"/>
    <w:rsid w:val="00406A74"/>
    <w:rsid w:val="00407C30"/>
    <w:rsid w:val="0041448E"/>
    <w:rsid w:val="00415053"/>
    <w:rsid w:val="004168C4"/>
    <w:rsid w:val="004201B6"/>
    <w:rsid w:val="004231A3"/>
    <w:rsid w:val="00423F6D"/>
    <w:rsid w:val="00424A68"/>
    <w:rsid w:val="00425953"/>
    <w:rsid w:val="00430260"/>
    <w:rsid w:val="004320A4"/>
    <w:rsid w:val="0043509D"/>
    <w:rsid w:val="004360DB"/>
    <w:rsid w:val="004373F9"/>
    <w:rsid w:val="00437E25"/>
    <w:rsid w:val="00442057"/>
    <w:rsid w:val="004518BB"/>
    <w:rsid w:val="0045291A"/>
    <w:rsid w:val="004607BE"/>
    <w:rsid w:val="004645F3"/>
    <w:rsid w:val="0046708B"/>
    <w:rsid w:val="00472211"/>
    <w:rsid w:val="00472B2D"/>
    <w:rsid w:val="0047501D"/>
    <w:rsid w:val="004808A1"/>
    <w:rsid w:val="004844CF"/>
    <w:rsid w:val="00485430"/>
    <w:rsid w:val="00485D3B"/>
    <w:rsid w:val="00494293"/>
    <w:rsid w:val="004948BC"/>
    <w:rsid w:val="00496935"/>
    <w:rsid w:val="00497EBD"/>
    <w:rsid w:val="004A3EFC"/>
    <w:rsid w:val="004A47B5"/>
    <w:rsid w:val="004B415A"/>
    <w:rsid w:val="004B45B5"/>
    <w:rsid w:val="004C72E5"/>
    <w:rsid w:val="004D1A40"/>
    <w:rsid w:val="004E0318"/>
    <w:rsid w:val="004E22F1"/>
    <w:rsid w:val="004E7C98"/>
    <w:rsid w:val="004F1424"/>
    <w:rsid w:val="0050401E"/>
    <w:rsid w:val="00510A8A"/>
    <w:rsid w:val="00511F33"/>
    <w:rsid w:val="00512CCC"/>
    <w:rsid w:val="00514C4A"/>
    <w:rsid w:val="00517127"/>
    <w:rsid w:val="0052239E"/>
    <w:rsid w:val="00522FF8"/>
    <w:rsid w:val="0053226B"/>
    <w:rsid w:val="005329AD"/>
    <w:rsid w:val="005334CD"/>
    <w:rsid w:val="00534F1B"/>
    <w:rsid w:val="00535467"/>
    <w:rsid w:val="00537A6E"/>
    <w:rsid w:val="00540411"/>
    <w:rsid w:val="00540AF7"/>
    <w:rsid w:val="00547C83"/>
    <w:rsid w:val="005520A0"/>
    <w:rsid w:val="00552916"/>
    <w:rsid w:val="00561A91"/>
    <w:rsid w:val="00561B56"/>
    <w:rsid w:val="00561F29"/>
    <w:rsid w:val="00565206"/>
    <w:rsid w:val="00565A88"/>
    <w:rsid w:val="005666AF"/>
    <w:rsid w:val="00566822"/>
    <w:rsid w:val="00571194"/>
    <w:rsid w:val="00573C1F"/>
    <w:rsid w:val="00575A0E"/>
    <w:rsid w:val="00575D56"/>
    <w:rsid w:val="00580345"/>
    <w:rsid w:val="0058438C"/>
    <w:rsid w:val="00586389"/>
    <w:rsid w:val="00586A7E"/>
    <w:rsid w:val="0058764B"/>
    <w:rsid w:val="00590F66"/>
    <w:rsid w:val="005917AA"/>
    <w:rsid w:val="005A26BD"/>
    <w:rsid w:val="005A2D77"/>
    <w:rsid w:val="005A4C44"/>
    <w:rsid w:val="005A60DF"/>
    <w:rsid w:val="005A6650"/>
    <w:rsid w:val="005A6E17"/>
    <w:rsid w:val="005B2527"/>
    <w:rsid w:val="005B64CF"/>
    <w:rsid w:val="005B6A60"/>
    <w:rsid w:val="005C41C4"/>
    <w:rsid w:val="005C57EB"/>
    <w:rsid w:val="005C7D1D"/>
    <w:rsid w:val="005D0E00"/>
    <w:rsid w:val="005D29E2"/>
    <w:rsid w:val="005D7F93"/>
    <w:rsid w:val="005E2E07"/>
    <w:rsid w:val="005F39F7"/>
    <w:rsid w:val="005F3F4F"/>
    <w:rsid w:val="005F7132"/>
    <w:rsid w:val="006026F6"/>
    <w:rsid w:val="006031FA"/>
    <w:rsid w:val="00603226"/>
    <w:rsid w:val="00604E8E"/>
    <w:rsid w:val="00605150"/>
    <w:rsid w:val="00605534"/>
    <w:rsid w:val="006074C9"/>
    <w:rsid w:val="00612037"/>
    <w:rsid w:val="00615E23"/>
    <w:rsid w:val="00617BC5"/>
    <w:rsid w:val="00621792"/>
    <w:rsid w:val="00622CDB"/>
    <w:rsid w:val="00627B09"/>
    <w:rsid w:val="006303F6"/>
    <w:rsid w:val="00631B98"/>
    <w:rsid w:val="00631DA5"/>
    <w:rsid w:val="00646E3C"/>
    <w:rsid w:val="006503ED"/>
    <w:rsid w:val="00650A15"/>
    <w:rsid w:val="006533A4"/>
    <w:rsid w:val="00654A4F"/>
    <w:rsid w:val="006602EC"/>
    <w:rsid w:val="00661173"/>
    <w:rsid w:val="00665EBA"/>
    <w:rsid w:val="006703F4"/>
    <w:rsid w:val="006744FB"/>
    <w:rsid w:val="00674F6B"/>
    <w:rsid w:val="00676329"/>
    <w:rsid w:val="00681F8B"/>
    <w:rsid w:val="00683917"/>
    <w:rsid w:val="00684BE4"/>
    <w:rsid w:val="0069022A"/>
    <w:rsid w:val="00690B64"/>
    <w:rsid w:val="00691E9B"/>
    <w:rsid w:val="006931F0"/>
    <w:rsid w:val="00693F71"/>
    <w:rsid w:val="006972A3"/>
    <w:rsid w:val="006A1058"/>
    <w:rsid w:val="006A24F3"/>
    <w:rsid w:val="006A64A4"/>
    <w:rsid w:val="006B2514"/>
    <w:rsid w:val="006B4C79"/>
    <w:rsid w:val="006B676C"/>
    <w:rsid w:val="006C2825"/>
    <w:rsid w:val="006C4B52"/>
    <w:rsid w:val="006C6138"/>
    <w:rsid w:val="006C6A63"/>
    <w:rsid w:val="006C6DDE"/>
    <w:rsid w:val="006D2124"/>
    <w:rsid w:val="006D2E16"/>
    <w:rsid w:val="006D4492"/>
    <w:rsid w:val="006D47D7"/>
    <w:rsid w:val="006D4B6B"/>
    <w:rsid w:val="006D7F38"/>
    <w:rsid w:val="006E1C5A"/>
    <w:rsid w:val="006E4AB0"/>
    <w:rsid w:val="006F1A7A"/>
    <w:rsid w:val="006F1B90"/>
    <w:rsid w:val="006F1FC4"/>
    <w:rsid w:val="006F2D46"/>
    <w:rsid w:val="006F3C81"/>
    <w:rsid w:val="007003D7"/>
    <w:rsid w:val="00706111"/>
    <w:rsid w:val="00706F0E"/>
    <w:rsid w:val="0070796F"/>
    <w:rsid w:val="00712BA7"/>
    <w:rsid w:val="00713C23"/>
    <w:rsid w:val="00713FE6"/>
    <w:rsid w:val="00716384"/>
    <w:rsid w:val="00720470"/>
    <w:rsid w:val="007232FC"/>
    <w:rsid w:val="00723B12"/>
    <w:rsid w:val="007249DF"/>
    <w:rsid w:val="0072606B"/>
    <w:rsid w:val="00727F80"/>
    <w:rsid w:val="007308C0"/>
    <w:rsid w:val="00733392"/>
    <w:rsid w:val="007358CE"/>
    <w:rsid w:val="00735D69"/>
    <w:rsid w:val="007402CD"/>
    <w:rsid w:val="007423FB"/>
    <w:rsid w:val="00742758"/>
    <w:rsid w:val="00743535"/>
    <w:rsid w:val="00743801"/>
    <w:rsid w:val="00746B1A"/>
    <w:rsid w:val="0074744C"/>
    <w:rsid w:val="00747C18"/>
    <w:rsid w:val="00750A80"/>
    <w:rsid w:val="00751CA7"/>
    <w:rsid w:val="0075245A"/>
    <w:rsid w:val="00753C81"/>
    <w:rsid w:val="00753D69"/>
    <w:rsid w:val="007553C9"/>
    <w:rsid w:val="00761512"/>
    <w:rsid w:val="00770E27"/>
    <w:rsid w:val="00770F17"/>
    <w:rsid w:val="00771EFA"/>
    <w:rsid w:val="007757DE"/>
    <w:rsid w:val="0078362C"/>
    <w:rsid w:val="00792309"/>
    <w:rsid w:val="00792DD8"/>
    <w:rsid w:val="007966B7"/>
    <w:rsid w:val="00797FD6"/>
    <w:rsid w:val="007A194B"/>
    <w:rsid w:val="007A2B18"/>
    <w:rsid w:val="007A34A4"/>
    <w:rsid w:val="007B03E9"/>
    <w:rsid w:val="007B0519"/>
    <w:rsid w:val="007B2DEB"/>
    <w:rsid w:val="007B3B84"/>
    <w:rsid w:val="007C1533"/>
    <w:rsid w:val="007C3133"/>
    <w:rsid w:val="007C37DD"/>
    <w:rsid w:val="007C3E38"/>
    <w:rsid w:val="007C48BD"/>
    <w:rsid w:val="007C5CA4"/>
    <w:rsid w:val="007C6B0E"/>
    <w:rsid w:val="007C7234"/>
    <w:rsid w:val="007D074A"/>
    <w:rsid w:val="007D2183"/>
    <w:rsid w:val="007D5604"/>
    <w:rsid w:val="007E35E2"/>
    <w:rsid w:val="007E402C"/>
    <w:rsid w:val="007E4EA0"/>
    <w:rsid w:val="007E5C04"/>
    <w:rsid w:val="007F6AE5"/>
    <w:rsid w:val="007F6C88"/>
    <w:rsid w:val="007F6E44"/>
    <w:rsid w:val="007F6F4A"/>
    <w:rsid w:val="00803A53"/>
    <w:rsid w:val="00804434"/>
    <w:rsid w:val="00805B2F"/>
    <w:rsid w:val="00806DD1"/>
    <w:rsid w:val="00807733"/>
    <w:rsid w:val="0081108F"/>
    <w:rsid w:val="0081381F"/>
    <w:rsid w:val="0081758E"/>
    <w:rsid w:val="0083100B"/>
    <w:rsid w:val="00834B9E"/>
    <w:rsid w:val="00836EF0"/>
    <w:rsid w:val="008372A6"/>
    <w:rsid w:val="008402B2"/>
    <w:rsid w:val="00845F26"/>
    <w:rsid w:val="00850BA4"/>
    <w:rsid w:val="00851D96"/>
    <w:rsid w:val="00855544"/>
    <w:rsid w:val="00856AC6"/>
    <w:rsid w:val="00856C32"/>
    <w:rsid w:val="008614A4"/>
    <w:rsid w:val="00861AAC"/>
    <w:rsid w:val="00863928"/>
    <w:rsid w:val="00863F0A"/>
    <w:rsid w:val="008649CC"/>
    <w:rsid w:val="0087071D"/>
    <w:rsid w:val="00870C8C"/>
    <w:rsid w:val="0087438E"/>
    <w:rsid w:val="00875DB3"/>
    <w:rsid w:val="00897E50"/>
    <w:rsid w:val="008A4584"/>
    <w:rsid w:val="008B13D6"/>
    <w:rsid w:val="008B1A5D"/>
    <w:rsid w:val="008C00E3"/>
    <w:rsid w:val="008C0722"/>
    <w:rsid w:val="008C7C5E"/>
    <w:rsid w:val="008D1F25"/>
    <w:rsid w:val="008D22F9"/>
    <w:rsid w:val="008D36EE"/>
    <w:rsid w:val="008D715F"/>
    <w:rsid w:val="008D7989"/>
    <w:rsid w:val="008E7793"/>
    <w:rsid w:val="008E7A0A"/>
    <w:rsid w:val="008F0DF4"/>
    <w:rsid w:val="008F12A7"/>
    <w:rsid w:val="00900FFD"/>
    <w:rsid w:val="00901C16"/>
    <w:rsid w:val="0090429A"/>
    <w:rsid w:val="00905A20"/>
    <w:rsid w:val="0090600E"/>
    <w:rsid w:val="00910B0F"/>
    <w:rsid w:val="009122E5"/>
    <w:rsid w:val="00917651"/>
    <w:rsid w:val="00920A6E"/>
    <w:rsid w:val="00922A5C"/>
    <w:rsid w:val="009253E1"/>
    <w:rsid w:val="00925564"/>
    <w:rsid w:val="00925593"/>
    <w:rsid w:val="00927E12"/>
    <w:rsid w:val="0093153F"/>
    <w:rsid w:val="0093337D"/>
    <w:rsid w:val="00935DFE"/>
    <w:rsid w:val="0093799C"/>
    <w:rsid w:val="00943E8B"/>
    <w:rsid w:val="009462C6"/>
    <w:rsid w:val="0094669F"/>
    <w:rsid w:val="00951A09"/>
    <w:rsid w:val="00951AB8"/>
    <w:rsid w:val="00952DBA"/>
    <w:rsid w:val="00956FD7"/>
    <w:rsid w:val="00962A47"/>
    <w:rsid w:val="00965D0A"/>
    <w:rsid w:val="00967986"/>
    <w:rsid w:val="009713BA"/>
    <w:rsid w:val="00973E10"/>
    <w:rsid w:val="00974F85"/>
    <w:rsid w:val="00975D7F"/>
    <w:rsid w:val="00977CC2"/>
    <w:rsid w:val="009800CF"/>
    <w:rsid w:val="00983079"/>
    <w:rsid w:val="00983327"/>
    <w:rsid w:val="00984283"/>
    <w:rsid w:val="00985093"/>
    <w:rsid w:val="00985248"/>
    <w:rsid w:val="0099080B"/>
    <w:rsid w:val="00990B63"/>
    <w:rsid w:val="00991B13"/>
    <w:rsid w:val="00991FC8"/>
    <w:rsid w:val="00996179"/>
    <w:rsid w:val="009A0564"/>
    <w:rsid w:val="009A197C"/>
    <w:rsid w:val="009A1A09"/>
    <w:rsid w:val="009A2DA2"/>
    <w:rsid w:val="009A320E"/>
    <w:rsid w:val="009B163D"/>
    <w:rsid w:val="009B3ED2"/>
    <w:rsid w:val="009C00F7"/>
    <w:rsid w:val="009C05CD"/>
    <w:rsid w:val="009C0C19"/>
    <w:rsid w:val="009C153F"/>
    <w:rsid w:val="009C5FE4"/>
    <w:rsid w:val="009D0781"/>
    <w:rsid w:val="009D70A4"/>
    <w:rsid w:val="009D78F3"/>
    <w:rsid w:val="009E0F86"/>
    <w:rsid w:val="009E1D5C"/>
    <w:rsid w:val="009E62F8"/>
    <w:rsid w:val="009E6F9D"/>
    <w:rsid w:val="009E7C8F"/>
    <w:rsid w:val="009F0909"/>
    <w:rsid w:val="009F1551"/>
    <w:rsid w:val="00A04B1C"/>
    <w:rsid w:val="00A04C4A"/>
    <w:rsid w:val="00A053ED"/>
    <w:rsid w:val="00A115D1"/>
    <w:rsid w:val="00A12525"/>
    <w:rsid w:val="00A17693"/>
    <w:rsid w:val="00A20944"/>
    <w:rsid w:val="00A212CB"/>
    <w:rsid w:val="00A23F53"/>
    <w:rsid w:val="00A24668"/>
    <w:rsid w:val="00A24C71"/>
    <w:rsid w:val="00A2587B"/>
    <w:rsid w:val="00A31EF1"/>
    <w:rsid w:val="00A31FE0"/>
    <w:rsid w:val="00A350F6"/>
    <w:rsid w:val="00A40010"/>
    <w:rsid w:val="00A43EF9"/>
    <w:rsid w:val="00A45390"/>
    <w:rsid w:val="00A508B5"/>
    <w:rsid w:val="00A52B26"/>
    <w:rsid w:val="00A52FC9"/>
    <w:rsid w:val="00A566E3"/>
    <w:rsid w:val="00A574B2"/>
    <w:rsid w:val="00A63D03"/>
    <w:rsid w:val="00A64217"/>
    <w:rsid w:val="00A65093"/>
    <w:rsid w:val="00A66EAA"/>
    <w:rsid w:val="00A66F29"/>
    <w:rsid w:val="00A70C64"/>
    <w:rsid w:val="00A7216A"/>
    <w:rsid w:val="00A7469A"/>
    <w:rsid w:val="00A7473D"/>
    <w:rsid w:val="00A76174"/>
    <w:rsid w:val="00A80A53"/>
    <w:rsid w:val="00A85E0A"/>
    <w:rsid w:val="00A87D81"/>
    <w:rsid w:val="00A93EC2"/>
    <w:rsid w:val="00AA4793"/>
    <w:rsid w:val="00AA4C4F"/>
    <w:rsid w:val="00AA566C"/>
    <w:rsid w:val="00AA594A"/>
    <w:rsid w:val="00AA687E"/>
    <w:rsid w:val="00AA6F86"/>
    <w:rsid w:val="00AB09EE"/>
    <w:rsid w:val="00AB1828"/>
    <w:rsid w:val="00AB725A"/>
    <w:rsid w:val="00AC0D82"/>
    <w:rsid w:val="00AC0F17"/>
    <w:rsid w:val="00AD0D6B"/>
    <w:rsid w:val="00AD6061"/>
    <w:rsid w:val="00AD7599"/>
    <w:rsid w:val="00AE0763"/>
    <w:rsid w:val="00AE66D6"/>
    <w:rsid w:val="00AE6DBC"/>
    <w:rsid w:val="00AF0A54"/>
    <w:rsid w:val="00AF3945"/>
    <w:rsid w:val="00AF4D53"/>
    <w:rsid w:val="00AF4F91"/>
    <w:rsid w:val="00B0368C"/>
    <w:rsid w:val="00B0371E"/>
    <w:rsid w:val="00B05114"/>
    <w:rsid w:val="00B05B87"/>
    <w:rsid w:val="00B060C3"/>
    <w:rsid w:val="00B14432"/>
    <w:rsid w:val="00B15349"/>
    <w:rsid w:val="00B233BB"/>
    <w:rsid w:val="00B249E5"/>
    <w:rsid w:val="00B41536"/>
    <w:rsid w:val="00B449C1"/>
    <w:rsid w:val="00B50AC1"/>
    <w:rsid w:val="00B51F76"/>
    <w:rsid w:val="00B575AB"/>
    <w:rsid w:val="00B620DB"/>
    <w:rsid w:val="00B62B04"/>
    <w:rsid w:val="00B73A4F"/>
    <w:rsid w:val="00B755B5"/>
    <w:rsid w:val="00B76894"/>
    <w:rsid w:val="00B82F29"/>
    <w:rsid w:val="00B83200"/>
    <w:rsid w:val="00B87F5A"/>
    <w:rsid w:val="00B90C4F"/>
    <w:rsid w:val="00B957E5"/>
    <w:rsid w:val="00B95E67"/>
    <w:rsid w:val="00B9684E"/>
    <w:rsid w:val="00BA6615"/>
    <w:rsid w:val="00BA75BD"/>
    <w:rsid w:val="00BB2D36"/>
    <w:rsid w:val="00BB41BD"/>
    <w:rsid w:val="00BB441E"/>
    <w:rsid w:val="00BB500F"/>
    <w:rsid w:val="00BC147C"/>
    <w:rsid w:val="00BC4E77"/>
    <w:rsid w:val="00BD0917"/>
    <w:rsid w:val="00BD097B"/>
    <w:rsid w:val="00BD2084"/>
    <w:rsid w:val="00BD2A20"/>
    <w:rsid w:val="00BD405E"/>
    <w:rsid w:val="00BD423A"/>
    <w:rsid w:val="00BE082E"/>
    <w:rsid w:val="00BE49EF"/>
    <w:rsid w:val="00BE4B71"/>
    <w:rsid w:val="00BE63DA"/>
    <w:rsid w:val="00BF31B9"/>
    <w:rsid w:val="00BF3485"/>
    <w:rsid w:val="00BF3CB0"/>
    <w:rsid w:val="00BF7C93"/>
    <w:rsid w:val="00C04345"/>
    <w:rsid w:val="00C0615D"/>
    <w:rsid w:val="00C0741F"/>
    <w:rsid w:val="00C07625"/>
    <w:rsid w:val="00C11DEB"/>
    <w:rsid w:val="00C16E90"/>
    <w:rsid w:val="00C17799"/>
    <w:rsid w:val="00C17C3B"/>
    <w:rsid w:val="00C202EB"/>
    <w:rsid w:val="00C20358"/>
    <w:rsid w:val="00C2078D"/>
    <w:rsid w:val="00C23666"/>
    <w:rsid w:val="00C2472D"/>
    <w:rsid w:val="00C27C64"/>
    <w:rsid w:val="00C327A6"/>
    <w:rsid w:val="00C341F2"/>
    <w:rsid w:val="00C341F8"/>
    <w:rsid w:val="00C345AA"/>
    <w:rsid w:val="00C34929"/>
    <w:rsid w:val="00C355C0"/>
    <w:rsid w:val="00C3614B"/>
    <w:rsid w:val="00C426CA"/>
    <w:rsid w:val="00C4640B"/>
    <w:rsid w:val="00C505FD"/>
    <w:rsid w:val="00C51870"/>
    <w:rsid w:val="00C5555B"/>
    <w:rsid w:val="00C5718E"/>
    <w:rsid w:val="00C57838"/>
    <w:rsid w:val="00C57F40"/>
    <w:rsid w:val="00C60867"/>
    <w:rsid w:val="00C64C16"/>
    <w:rsid w:val="00C6725C"/>
    <w:rsid w:val="00C67A5F"/>
    <w:rsid w:val="00C70A88"/>
    <w:rsid w:val="00C71CE9"/>
    <w:rsid w:val="00C74594"/>
    <w:rsid w:val="00C75436"/>
    <w:rsid w:val="00C76C56"/>
    <w:rsid w:val="00C906A2"/>
    <w:rsid w:val="00C90912"/>
    <w:rsid w:val="00C9251C"/>
    <w:rsid w:val="00CA0BB7"/>
    <w:rsid w:val="00CA251B"/>
    <w:rsid w:val="00CA549F"/>
    <w:rsid w:val="00CA589F"/>
    <w:rsid w:val="00CA6E9B"/>
    <w:rsid w:val="00CC29EC"/>
    <w:rsid w:val="00CC491E"/>
    <w:rsid w:val="00CC4B1D"/>
    <w:rsid w:val="00CC5358"/>
    <w:rsid w:val="00CC5E65"/>
    <w:rsid w:val="00CC62AD"/>
    <w:rsid w:val="00CD03EA"/>
    <w:rsid w:val="00CD3C6E"/>
    <w:rsid w:val="00CE04C4"/>
    <w:rsid w:val="00CE0F7B"/>
    <w:rsid w:val="00CE263D"/>
    <w:rsid w:val="00CE2CEE"/>
    <w:rsid w:val="00CE4280"/>
    <w:rsid w:val="00CF0459"/>
    <w:rsid w:val="00CF28B6"/>
    <w:rsid w:val="00CF2B00"/>
    <w:rsid w:val="00D012B7"/>
    <w:rsid w:val="00D021D0"/>
    <w:rsid w:val="00D033BB"/>
    <w:rsid w:val="00D061A5"/>
    <w:rsid w:val="00D07115"/>
    <w:rsid w:val="00D108BC"/>
    <w:rsid w:val="00D11966"/>
    <w:rsid w:val="00D17983"/>
    <w:rsid w:val="00D21093"/>
    <w:rsid w:val="00D30D58"/>
    <w:rsid w:val="00D32F91"/>
    <w:rsid w:val="00D3518C"/>
    <w:rsid w:val="00D368B2"/>
    <w:rsid w:val="00D41712"/>
    <w:rsid w:val="00D41EEE"/>
    <w:rsid w:val="00D43310"/>
    <w:rsid w:val="00D439B7"/>
    <w:rsid w:val="00D46241"/>
    <w:rsid w:val="00D4649E"/>
    <w:rsid w:val="00D473B0"/>
    <w:rsid w:val="00D52645"/>
    <w:rsid w:val="00D548DF"/>
    <w:rsid w:val="00D57B6C"/>
    <w:rsid w:val="00D6073C"/>
    <w:rsid w:val="00D62FA6"/>
    <w:rsid w:val="00D640B3"/>
    <w:rsid w:val="00D712EC"/>
    <w:rsid w:val="00D72CE4"/>
    <w:rsid w:val="00D7349B"/>
    <w:rsid w:val="00D7622B"/>
    <w:rsid w:val="00D7630A"/>
    <w:rsid w:val="00D80BD1"/>
    <w:rsid w:val="00D92C99"/>
    <w:rsid w:val="00D97B2F"/>
    <w:rsid w:val="00DA65A6"/>
    <w:rsid w:val="00DB0799"/>
    <w:rsid w:val="00DB18B8"/>
    <w:rsid w:val="00DB560C"/>
    <w:rsid w:val="00DC4E88"/>
    <w:rsid w:val="00DC7041"/>
    <w:rsid w:val="00DD4687"/>
    <w:rsid w:val="00DE2615"/>
    <w:rsid w:val="00DE5FA0"/>
    <w:rsid w:val="00DE643C"/>
    <w:rsid w:val="00DF059B"/>
    <w:rsid w:val="00DF3C9B"/>
    <w:rsid w:val="00DF653E"/>
    <w:rsid w:val="00DF7D86"/>
    <w:rsid w:val="00E0456A"/>
    <w:rsid w:val="00E05923"/>
    <w:rsid w:val="00E10854"/>
    <w:rsid w:val="00E127D6"/>
    <w:rsid w:val="00E16B7E"/>
    <w:rsid w:val="00E22A1C"/>
    <w:rsid w:val="00E23967"/>
    <w:rsid w:val="00E24E4F"/>
    <w:rsid w:val="00E25926"/>
    <w:rsid w:val="00E2721F"/>
    <w:rsid w:val="00E312E1"/>
    <w:rsid w:val="00E31D55"/>
    <w:rsid w:val="00E335C0"/>
    <w:rsid w:val="00E33DA5"/>
    <w:rsid w:val="00E363DC"/>
    <w:rsid w:val="00E42CDE"/>
    <w:rsid w:val="00E50990"/>
    <w:rsid w:val="00E51F7D"/>
    <w:rsid w:val="00E52055"/>
    <w:rsid w:val="00E52DBF"/>
    <w:rsid w:val="00E61580"/>
    <w:rsid w:val="00E630B9"/>
    <w:rsid w:val="00E67EDA"/>
    <w:rsid w:val="00E739D7"/>
    <w:rsid w:val="00E90963"/>
    <w:rsid w:val="00E92754"/>
    <w:rsid w:val="00E9681D"/>
    <w:rsid w:val="00E96AF4"/>
    <w:rsid w:val="00E97FC1"/>
    <w:rsid w:val="00EA2559"/>
    <w:rsid w:val="00EA2BE6"/>
    <w:rsid w:val="00EA46FD"/>
    <w:rsid w:val="00EA4958"/>
    <w:rsid w:val="00EA7577"/>
    <w:rsid w:val="00EB2165"/>
    <w:rsid w:val="00EB29F6"/>
    <w:rsid w:val="00EB3669"/>
    <w:rsid w:val="00EB4022"/>
    <w:rsid w:val="00EB706B"/>
    <w:rsid w:val="00EC1367"/>
    <w:rsid w:val="00EC2E9E"/>
    <w:rsid w:val="00EC407D"/>
    <w:rsid w:val="00EC4829"/>
    <w:rsid w:val="00ED0729"/>
    <w:rsid w:val="00ED08FB"/>
    <w:rsid w:val="00ED0CD6"/>
    <w:rsid w:val="00ED1939"/>
    <w:rsid w:val="00ED19B8"/>
    <w:rsid w:val="00EE0284"/>
    <w:rsid w:val="00EE0754"/>
    <w:rsid w:val="00EE0E62"/>
    <w:rsid w:val="00EE1ABD"/>
    <w:rsid w:val="00EE1C15"/>
    <w:rsid w:val="00EE3B23"/>
    <w:rsid w:val="00EE6CE5"/>
    <w:rsid w:val="00EE7F14"/>
    <w:rsid w:val="00EF086C"/>
    <w:rsid w:val="00EF0D47"/>
    <w:rsid w:val="00EF43AE"/>
    <w:rsid w:val="00EF50A4"/>
    <w:rsid w:val="00F07C8D"/>
    <w:rsid w:val="00F118E6"/>
    <w:rsid w:val="00F11EA4"/>
    <w:rsid w:val="00F11FE5"/>
    <w:rsid w:val="00F12571"/>
    <w:rsid w:val="00F13397"/>
    <w:rsid w:val="00F16D9E"/>
    <w:rsid w:val="00F26D31"/>
    <w:rsid w:val="00F33799"/>
    <w:rsid w:val="00F36A62"/>
    <w:rsid w:val="00F37E39"/>
    <w:rsid w:val="00F41BB4"/>
    <w:rsid w:val="00F531C6"/>
    <w:rsid w:val="00F542B6"/>
    <w:rsid w:val="00F634A8"/>
    <w:rsid w:val="00F723BC"/>
    <w:rsid w:val="00F737AC"/>
    <w:rsid w:val="00F7572E"/>
    <w:rsid w:val="00F763B5"/>
    <w:rsid w:val="00F77657"/>
    <w:rsid w:val="00F80084"/>
    <w:rsid w:val="00F83905"/>
    <w:rsid w:val="00F90DDB"/>
    <w:rsid w:val="00F96CF3"/>
    <w:rsid w:val="00F978E3"/>
    <w:rsid w:val="00FA1EF1"/>
    <w:rsid w:val="00FA2085"/>
    <w:rsid w:val="00FA54D0"/>
    <w:rsid w:val="00FA7480"/>
    <w:rsid w:val="00FB1FAB"/>
    <w:rsid w:val="00FB2113"/>
    <w:rsid w:val="00FB307A"/>
    <w:rsid w:val="00FB5DF7"/>
    <w:rsid w:val="00FC246F"/>
    <w:rsid w:val="00FC434B"/>
    <w:rsid w:val="00FC4F1F"/>
    <w:rsid w:val="00FC7564"/>
    <w:rsid w:val="00FD0408"/>
    <w:rsid w:val="00FD5D4D"/>
    <w:rsid w:val="00FD75C6"/>
    <w:rsid w:val="00FE18EB"/>
    <w:rsid w:val="00FF066C"/>
    <w:rsid w:val="00FF1E99"/>
    <w:rsid w:val="00FF3A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7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C"/>
    <w:pPr>
      <w:suppressAutoHyphens/>
    </w:pPr>
    <w:rPr>
      <w:sz w:val="22"/>
      <w:lang w:eastAsia="ar-SA"/>
    </w:rPr>
  </w:style>
  <w:style w:type="paragraph" w:styleId="Heading1">
    <w:name w:val="heading 1"/>
    <w:basedOn w:val="Normal"/>
    <w:next w:val="ParaNum"/>
    <w:qFormat/>
    <w:rsid w:val="00EF086C"/>
    <w:pPr>
      <w:keepNext/>
      <w:widowControl w:val="0"/>
      <w:numPr>
        <w:numId w:val="1"/>
      </w:numPr>
      <w:spacing w:after="220"/>
      <w:jc w:val="both"/>
      <w:outlineLvl w:val="0"/>
    </w:pPr>
    <w:rPr>
      <w:b/>
      <w:caps/>
    </w:rPr>
  </w:style>
  <w:style w:type="paragraph" w:styleId="Heading2">
    <w:name w:val="heading 2"/>
    <w:basedOn w:val="Normal"/>
    <w:next w:val="ParaNum"/>
    <w:qFormat/>
    <w:rsid w:val="00EF086C"/>
    <w:pPr>
      <w:keepNext/>
      <w:widowControl w:val="0"/>
      <w:numPr>
        <w:ilvl w:val="1"/>
        <w:numId w:val="1"/>
      </w:numPr>
      <w:spacing w:after="220"/>
      <w:jc w:val="both"/>
      <w:outlineLvl w:val="1"/>
    </w:pPr>
    <w:rPr>
      <w:b/>
    </w:rPr>
  </w:style>
  <w:style w:type="paragraph" w:styleId="Heading3">
    <w:name w:val="heading 3"/>
    <w:basedOn w:val="Normal"/>
    <w:next w:val="ParaNum"/>
    <w:qFormat/>
    <w:rsid w:val="00EF086C"/>
    <w:pPr>
      <w:keepNext/>
      <w:widowControl w:val="0"/>
      <w:numPr>
        <w:ilvl w:val="2"/>
        <w:numId w:val="1"/>
      </w:numPr>
      <w:spacing w:after="220"/>
      <w:jc w:val="both"/>
      <w:outlineLvl w:val="2"/>
    </w:pPr>
    <w:rPr>
      <w:b/>
    </w:rPr>
  </w:style>
  <w:style w:type="paragraph" w:styleId="Heading4">
    <w:name w:val="heading 4"/>
    <w:basedOn w:val="Normal"/>
    <w:next w:val="ParaNum"/>
    <w:qFormat/>
    <w:rsid w:val="00EF086C"/>
    <w:pPr>
      <w:keepNext/>
      <w:widowControl w:val="0"/>
      <w:numPr>
        <w:ilvl w:val="3"/>
        <w:numId w:val="1"/>
      </w:numPr>
      <w:spacing w:after="220"/>
      <w:jc w:val="both"/>
      <w:outlineLvl w:val="3"/>
    </w:pPr>
    <w:rPr>
      <w:b/>
    </w:rPr>
  </w:style>
  <w:style w:type="paragraph" w:styleId="Heading5">
    <w:name w:val="heading 5"/>
    <w:basedOn w:val="Normal"/>
    <w:next w:val="ParaNum"/>
    <w:qFormat/>
    <w:rsid w:val="00EF086C"/>
    <w:pPr>
      <w:keepNext/>
      <w:widowControl w:val="0"/>
      <w:numPr>
        <w:ilvl w:val="4"/>
        <w:numId w:val="1"/>
      </w:numPr>
      <w:spacing w:after="220"/>
      <w:jc w:val="both"/>
      <w:outlineLvl w:val="4"/>
    </w:pPr>
    <w:rPr>
      <w:b/>
    </w:rPr>
  </w:style>
  <w:style w:type="paragraph" w:styleId="Heading6">
    <w:name w:val="heading 6"/>
    <w:basedOn w:val="Normal"/>
    <w:next w:val="ParaNum"/>
    <w:qFormat/>
    <w:rsid w:val="00EF086C"/>
    <w:pPr>
      <w:widowControl w:val="0"/>
      <w:numPr>
        <w:ilvl w:val="5"/>
        <w:numId w:val="1"/>
      </w:numPr>
      <w:spacing w:after="220"/>
      <w:jc w:val="both"/>
      <w:outlineLvl w:val="5"/>
    </w:pPr>
    <w:rPr>
      <w:b/>
    </w:rPr>
  </w:style>
  <w:style w:type="paragraph" w:styleId="Heading7">
    <w:name w:val="heading 7"/>
    <w:basedOn w:val="Normal"/>
    <w:next w:val="ParaNum"/>
    <w:qFormat/>
    <w:rsid w:val="00EF086C"/>
    <w:pPr>
      <w:widowControl w:val="0"/>
      <w:numPr>
        <w:ilvl w:val="6"/>
        <w:numId w:val="1"/>
      </w:numPr>
      <w:spacing w:after="220"/>
      <w:jc w:val="both"/>
      <w:outlineLvl w:val="6"/>
    </w:pPr>
    <w:rPr>
      <w:b/>
    </w:rPr>
  </w:style>
  <w:style w:type="paragraph" w:styleId="Heading8">
    <w:name w:val="heading 8"/>
    <w:basedOn w:val="Normal"/>
    <w:next w:val="ParaNum"/>
    <w:qFormat/>
    <w:rsid w:val="00EF086C"/>
    <w:pPr>
      <w:widowControl w:val="0"/>
      <w:numPr>
        <w:ilvl w:val="7"/>
        <w:numId w:val="1"/>
      </w:numPr>
      <w:spacing w:after="220"/>
      <w:jc w:val="both"/>
      <w:outlineLvl w:val="7"/>
    </w:pPr>
    <w:rPr>
      <w:b/>
    </w:rPr>
  </w:style>
  <w:style w:type="paragraph" w:styleId="Heading9">
    <w:name w:val="heading 9"/>
    <w:basedOn w:val="Normal"/>
    <w:next w:val="ParaNum"/>
    <w:qFormat/>
    <w:rsid w:val="00EF086C"/>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086C"/>
    <w:rPr>
      <w:rFonts w:ascii="Times New Roman" w:hAnsi="Times New Roman"/>
      <w:b/>
      <w:i w:val="0"/>
      <w:caps w:val="0"/>
      <w:smallCaps w:val="0"/>
      <w:strike w:val="0"/>
      <w:dstrike w:val="0"/>
      <w:vanish w:val="0"/>
      <w:position w:val="0"/>
      <w:sz w:val="22"/>
      <w:vertAlign w:val="baseline"/>
    </w:rPr>
  </w:style>
  <w:style w:type="character" w:customStyle="1" w:styleId="WW8Num1z1">
    <w:name w:val="WW8Num1z1"/>
    <w:rsid w:val="00EF086C"/>
    <w:rPr>
      <w:b/>
    </w:rPr>
  </w:style>
  <w:style w:type="character" w:customStyle="1" w:styleId="WW8Num1z4">
    <w:name w:val="WW8Num1z4"/>
    <w:rsid w:val="00EF086C"/>
    <w:rPr>
      <w:rFonts w:ascii="Tahoma" w:hAnsi="Tahoma"/>
      <w:b/>
      <w:i w:val="0"/>
      <w:caps w:val="0"/>
      <w:smallCaps w:val="0"/>
      <w:strike w:val="0"/>
      <w:dstrike w:val="0"/>
      <w:vanish w:val="0"/>
      <w:color w:val="auto"/>
      <w:position w:val="0"/>
      <w:sz w:val="22"/>
      <w:vertAlign w:val="baseline"/>
    </w:rPr>
  </w:style>
  <w:style w:type="character" w:customStyle="1" w:styleId="WW8Num1z8">
    <w:name w:val="WW8Num1z8"/>
    <w:rsid w:val="00EF086C"/>
    <w:rPr>
      <w:b/>
      <w:i w:val="0"/>
      <w:sz w:val="22"/>
    </w:rPr>
  </w:style>
  <w:style w:type="character" w:customStyle="1" w:styleId="WW8Num2z0">
    <w:name w:val="WW8Num2z0"/>
    <w:rsid w:val="00EF086C"/>
    <w:rPr>
      <w:rFonts w:ascii="Symbol" w:hAnsi="Symbol"/>
    </w:rPr>
  </w:style>
  <w:style w:type="character" w:customStyle="1" w:styleId="Absatz-Standardschriftart">
    <w:name w:val="Absatz-Standardschriftart"/>
    <w:rsid w:val="00EF086C"/>
  </w:style>
  <w:style w:type="character" w:customStyle="1" w:styleId="WW8Num3z0">
    <w:name w:val="WW8Num3z0"/>
    <w:rsid w:val="00EF086C"/>
    <w:rPr>
      <w:rFonts w:ascii="Symbol" w:hAnsi="Symbol"/>
    </w:rPr>
  </w:style>
  <w:style w:type="character" w:customStyle="1" w:styleId="WW8Num3z4">
    <w:name w:val="WW8Num3z4"/>
    <w:rsid w:val="00EF086C"/>
    <w:rPr>
      <w:rFonts w:ascii="Tahoma" w:hAnsi="Tahoma"/>
      <w:b/>
      <w:i w:val="0"/>
      <w:caps w:val="0"/>
      <w:smallCaps w:val="0"/>
      <w:strike w:val="0"/>
      <w:dstrike w:val="0"/>
      <w:vanish w:val="0"/>
      <w:color w:val="auto"/>
      <w:position w:val="0"/>
      <w:sz w:val="22"/>
      <w:vertAlign w:val="baseline"/>
    </w:rPr>
  </w:style>
  <w:style w:type="character" w:customStyle="1" w:styleId="WW8Num3z8">
    <w:name w:val="WW8Num3z8"/>
    <w:rsid w:val="00EF086C"/>
    <w:rPr>
      <w:b/>
      <w:i w:val="0"/>
      <w:sz w:val="22"/>
    </w:rPr>
  </w:style>
  <w:style w:type="character" w:customStyle="1" w:styleId="DefaultParagraphFont1">
    <w:name w:val="Default Paragraph Font1"/>
    <w:rsid w:val="00EF086C"/>
  </w:style>
  <w:style w:type="character" w:customStyle="1" w:styleId="WW8Num2z1">
    <w:name w:val="WW8Num2z1"/>
    <w:rsid w:val="00EF086C"/>
    <w:rPr>
      <w:rFonts w:ascii="Courier New" w:hAnsi="Courier New" w:cs="Courier New"/>
    </w:rPr>
  </w:style>
  <w:style w:type="character" w:customStyle="1" w:styleId="WW8Num2z2">
    <w:name w:val="WW8Num2z2"/>
    <w:rsid w:val="00EF086C"/>
    <w:rPr>
      <w:rFonts w:ascii="Wingdings" w:hAnsi="Wingdings"/>
    </w:rPr>
  </w:style>
  <w:style w:type="character" w:customStyle="1" w:styleId="WW8Num3z1">
    <w:name w:val="WW8Num3z1"/>
    <w:rsid w:val="00EF086C"/>
    <w:rPr>
      <w:rFonts w:ascii="Courier New" w:hAnsi="Courier New" w:cs="Courier New"/>
    </w:rPr>
  </w:style>
  <w:style w:type="character" w:customStyle="1" w:styleId="WW8Num3z2">
    <w:name w:val="WW8Num3z2"/>
    <w:rsid w:val="00EF086C"/>
    <w:rPr>
      <w:rFonts w:ascii="Wingdings" w:hAnsi="Wingdings"/>
    </w:rPr>
  </w:style>
  <w:style w:type="character" w:customStyle="1" w:styleId="WW8Num4z0">
    <w:name w:val="WW8Num4z0"/>
    <w:rsid w:val="00EF086C"/>
    <w:rPr>
      <w:rFonts w:ascii="Times New Roman" w:hAnsi="Times New Roman"/>
      <w:b w:val="0"/>
      <w:i w:val="0"/>
      <w:caps w:val="0"/>
      <w:smallCaps w:val="0"/>
      <w:strike w:val="0"/>
      <w:dstrike w:val="0"/>
      <w:vanish w:val="0"/>
      <w:color w:val="auto"/>
      <w:position w:val="0"/>
      <w:sz w:val="22"/>
      <w:u w:val="none"/>
      <w:vertAlign w:val="baseline"/>
    </w:rPr>
  </w:style>
  <w:style w:type="character" w:customStyle="1" w:styleId="WW8Num5z0">
    <w:name w:val="WW8Num5z0"/>
    <w:rsid w:val="00EF086C"/>
    <w:rPr>
      <w:rFonts w:ascii="Times New Roman" w:hAnsi="Times New Roman"/>
      <w:b w:val="0"/>
      <w:i w:val="0"/>
      <w:sz w:val="22"/>
      <w:u w:val="none"/>
    </w:rPr>
  </w:style>
  <w:style w:type="character" w:customStyle="1" w:styleId="WW8Num6z0">
    <w:name w:val="WW8Num6z0"/>
    <w:rsid w:val="00EF086C"/>
    <w:rPr>
      <w:rFonts w:ascii="Times New Roman" w:hAnsi="Times New Roman"/>
      <w:b/>
      <w:i w:val="0"/>
      <w:caps w:val="0"/>
      <w:smallCaps w:val="0"/>
      <w:strike w:val="0"/>
      <w:dstrike w:val="0"/>
      <w:vanish w:val="0"/>
      <w:position w:val="0"/>
      <w:sz w:val="22"/>
      <w:vertAlign w:val="baseline"/>
    </w:rPr>
  </w:style>
  <w:style w:type="character" w:customStyle="1" w:styleId="WW8Num6z1">
    <w:name w:val="WW8Num6z1"/>
    <w:rsid w:val="00EF086C"/>
    <w:rPr>
      <w:b/>
    </w:rPr>
  </w:style>
  <w:style w:type="character" w:customStyle="1" w:styleId="WW8Num6z4">
    <w:name w:val="WW8Num6z4"/>
    <w:rsid w:val="00EF086C"/>
    <w:rPr>
      <w:rFonts w:ascii="Tahoma" w:hAnsi="Tahoma"/>
      <w:b/>
      <w:i w:val="0"/>
      <w:caps w:val="0"/>
      <w:smallCaps w:val="0"/>
      <w:strike w:val="0"/>
      <w:dstrike w:val="0"/>
      <w:vanish w:val="0"/>
      <w:color w:val="auto"/>
      <w:position w:val="0"/>
      <w:sz w:val="22"/>
      <w:vertAlign w:val="baseline"/>
    </w:rPr>
  </w:style>
  <w:style w:type="character" w:customStyle="1" w:styleId="WW8Num6z8">
    <w:name w:val="WW8Num6z8"/>
    <w:rsid w:val="00EF086C"/>
    <w:rPr>
      <w:b/>
      <w:i w:val="0"/>
      <w:sz w:val="22"/>
    </w:rPr>
  </w:style>
  <w:style w:type="character" w:customStyle="1" w:styleId="WW8Num7z0">
    <w:name w:val="WW8Num7z0"/>
    <w:rsid w:val="00EF086C"/>
    <w:rPr>
      <w:rFonts w:ascii="Symbol" w:hAnsi="Symbol"/>
      <w:color w:val="auto"/>
    </w:rPr>
  </w:style>
  <w:style w:type="character" w:customStyle="1" w:styleId="WW8Num8z0">
    <w:name w:val="WW8Num8z0"/>
    <w:rsid w:val="00EF086C"/>
    <w:rPr>
      <w:rFonts w:ascii="Symbol" w:hAnsi="Symbol"/>
    </w:rPr>
  </w:style>
  <w:style w:type="character" w:customStyle="1" w:styleId="WW8Num8z1">
    <w:name w:val="WW8Num8z1"/>
    <w:rsid w:val="00EF086C"/>
    <w:rPr>
      <w:rFonts w:ascii="Courier New" w:hAnsi="Courier New" w:cs="Courier New"/>
    </w:rPr>
  </w:style>
  <w:style w:type="character" w:customStyle="1" w:styleId="WW8Num8z5">
    <w:name w:val="WW8Num8z5"/>
    <w:rsid w:val="00EF086C"/>
    <w:rPr>
      <w:rFonts w:ascii="Wingdings" w:hAnsi="Wingdings"/>
    </w:rPr>
  </w:style>
  <w:style w:type="character" w:customStyle="1" w:styleId="WW-DefaultParagraphFont">
    <w:name w:val="WW-Default Paragraph Font"/>
    <w:rsid w:val="00EF086C"/>
  </w:style>
  <w:style w:type="character" w:customStyle="1" w:styleId="FootnoteCharacters">
    <w:name w:val="Footnote Characters"/>
    <w:rsid w:val="00EF086C"/>
    <w:rPr>
      <w:vertAlign w:val="superscript"/>
    </w:rPr>
  </w:style>
  <w:style w:type="character" w:styleId="PageNumber">
    <w:name w:val="page number"/>
    <w:basedOn w:val="WW-DefaultParagraphFont"/>
    <w:rsid w:val="00EF086C"/>
  </w:style>
  <w:style w:type="character" w:customStyle="1" w:styleId="documentbody1">
    <w:name w:val="documentbody1"/>
    <w:rsid w:val="00EF086C"/>
    <w:rPr>
      <w:rFonts w:ascii="Verdana" w:hAnsi="Verdana"/>
      <w:sz w:val="19"/>
      <w:szCs w:val="19"/>
      <w:shd w:val="clear" w:color="auto" w:fill="FFFFFF"/>
    </w:rPr>
  </w:style>
  <w:style w:type="character" w:customStyle="1" w:styleId="documentbody">
    <w:name w:val="documentbody"/>
    <w:basedOn w:val="WW-DefaultParagraphFont"/>
    <w:rsid w:val="00EF086C"/>
  </w:style>
  <w:style w:type="character" w:customStyle="1" w:styleId="titlenews">
    <w:name w:val="titlenews"/>
    <w:basedOn w:val="WW-DefaultParagraphFont"/>
    <w:rsid w:val="00EF086C"/>
  </w:style>
  <w:style w:type="character" w:styleId="Hyperlink">
    <w:name w:val="Hyperlink"/>
    <w:rsid w:val="00EF086C"/>
    <w:rPr>
      <w:color w:val="0000FF"/>
      <w:u w:val="single"/>
    </w:rPr>
  </w:style>
  <w:style w:type="character" w:customStyle="1" w:styleId="byline">
    <w:name w:val="byline"/>
    <w:basedOn w:val="WW-DefaultParagraphFont"/>
    <w:rsid w:val="00EF086C"/>
  </w:style>
  <w:style w:type="character" w:customStyle="1" w:styleId="FootnoteTextChar5Char">
    <w:name w:val="Footnote Text Char5 Char"/>
    <w:rsid w:val="00EF086C"/>
    <w:rPr>
      <w:lang w:val="en-US" w:eastAsia="ar-SA" w:bidi="ar-SA"/>
    </w:rPr>
  </w:style>
  <w:style w:type="character" w:customStyle="1" w:styleId="EndnoteCharacters">
    <w:name w:val="Endnote Characters"/>
    <w:rsid w:val="00EF086C"/>
    <w:rPr>
      <w:vertAlign w:val="superscript"/>
    </w:rPr>
  </w:style>
  <w:style w:type="character" w:styleId="Strong">
    <w:name w:val="Strong"/>
    <w:qFormat/>
    <w:rsid w:val="00EF086C"/>
    <w:rPr>
      <w:b/>
      <w:bCs/>
    </w:rPr>
  </w:style>
  <w:style w:type="character" w:customStyle="1" w:styleId="FootnoteReference1">
    <w:name w:val="Footnote Reference1"/>
    <w:rsid w:val="00EF086C"/>
    <w:rPr>
      <w:vertAlign w:val="superscript"/>
    </w:rPr>
  </w:style>
  <w:style w:type="character" w:customStyle="1" w:styleId="EndnoteReference1">
    <w:name w:val="Endnote Reference1"/>
    <w:rsid w:val="00EF086C"/>
    <w:rPr>
      <w:vertAlign w:val="superscript"/>
    </w:rPr>
  </w:style>
  <w:style w:type="character" w:customStyle="1" w:styleId="ccbnttl">
    <w:name w:val="ccbnttl"/>
    <w:basedOn w:val="DefaultParagraphFont1"/>
    <w:rsid w:val="00EF086C"/>
  </w:style>
  <w:style w:type="character" w:customStyle="1" w:styleId="informationalsmall">
    <w:name w:val="informationalsmall"/>
    <w:basedOn w:val="DefaultParagraphFont1"/>
    <w:rsid w:val="00EF086C"/>
  </w:style>
  <w:style w:type="character" w:customStyle="1" w:styleId="Char1CharChar">
    <w:name w:val="Char1 Char Char"/>
    <w:rsid w:val="00EF086C"/>
    <w:rPr>
      <w:lang w:val="en-US" w:eastAsia="ar-SA" w:bidi="ar-SA"/>
    </w:rPr>
  </w:style>
  <w:style w:type="character" w:styleId="FootnoteReference">
    <w:name w:val="footnote reference"/>
    <w:semiHidden/>
    <w:rsid w:val="00EF086C"/>
    <w:rPr>
      <w:vertAlign w:val="superscript"/>
    </w:rPr>
  </w:style>
  <w:style w:type="character" w:styleId="EndnoteReference">
    <w:name w:val="endnote reference"/>
    <w:semiHidden/>
    <w:rsid w:val="00EF086C"/>
    <w:rPr>
      <w:vertAlign w:val="superscript"/>
    </w:rPr>
  </w:style>
  <w:style w:type="paragraph" w:customStyle="1" w:styleId="Heading">
    <w:name w:val="Heading"/>
    <w:basedOn w:val="Normal"/>
    <w:next w:val="BodyText"/>
    <w:rsid w:val="00EF086C"/>
    <w:pPr>
      <w:keepNext/>
      <w:spacing w:before="240" w:after="120"/>
    </w:pPr>
    <w:rPr>
      <w:rFonts w:ascii="Arial" w:eastAsia="MS Mincho" w:hAnsi="Arial" w:cs="Tahoma"/>
      <w:sz w:val="28"/>
      <w:szCs w:val="28"/>
    </w:rPr>
  </w:style>
  <w:style w:type="paragraph" w:styleId="BodyText">
    <w:name w:val="Body Text"/>
    <w:basedOn w:val="Normal"/>
    <w:rsid w:val="00EF086C"/>
    <w:pPr>
      <w:spacing w:after="120"/>
    </w:pPr>
  </w:style>
  <w:style w:type="paragraph" w:styleId="List">
    <w:name w:val="List"/>
    <w:basedOn w:val="BodyText"/>
    <w:rsid w:val="00EF086C"/>
    <w:rPr>
      <w:rFonts w:cs="Tahoma"/>
    </w:rPr>
  </w:style>
  <w:style w:type="paragraph" w:styleId="Caption">
    <w:name w:val="caption"/>
    <w:basedOn w:val="Normal"/>
    <w:next w:val="Normal"/>
    <w:qFormat/>
    <w:rsid w:val="00EF086C"/>
    <w:pPr>
      <w:spacing w:before="120" w:after="120"/>
    </w:pPr>
    <w:rPr>
      <w:b/>
    </w:rPr>
  </w:style>
  <w:style w:type="paragraph" w:customStyle="1" w:styleId="Index">
    <w:name w:val="Index"/>
    <w:basedOn w:val="Normal"/>
    <w:rsid w:val="00EF086C"/>
    <w:pPr>
      <w:suppressLineNumbers/>
    </w:pPr>
    <w:rPr>
      <w:rFonts w:cs="Tahoma"/>
    </w:rPr>
  </w:style>
  <w:style w:type="paragraph" w:customStyle="1" w:styleId="ParaNum">
    <w:name w:val="ParaNum"/>
    <w:basedOn w:val="Normal"/>
    <w:rsid w:val="00EF086C"/>
    <w:pPr>
      <w:widowControl w:val="0"/>
      <w:numPr>
        <w:numId w:val="2"/>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rsid w:val="00EF086C"/>
    <w:pPr>
      <w:tabs>
        <w:tab w:val="left" w:pos="180"/>
        <w:tab w:val="left" w:pos="720"/>
        <w:tab w:val="left" w:pos="1440"/>
        <w:tab w:val="left" w:pos="2160"/>
      </w:tabs>
      <w:spacing w:after="120"/>
      <w:jc w:val="both"/>
    </w:pPr>
    <w:rPr>
      <w:sz w:val="20"/>
    </w:rPr>
  </w:style>
  <w:style w:type="paragraph" w:customStyle="1" w:styleId="Bullet">
    <w:name w:val="Bullet"/>
    <w:basedOn w:val="Normal"/>
    <w:rsid w:val="00EF086C"/>
    <w:pPr>
      <w:widowControl w:val="0"/>
      <w:spacing w:after="220"/>
      <w:ind w:left="-720"/>
      <w:jc w:val="both"/>
    </w:pPr>
  </w:style>
  <w:style w:type="paragraph" w:styleId="BlockText">
    <w:name w:val="Block Text"/>
    <w:basedOn w:val="Normal"/>
    <w:rsid w:val="00EF086C"/>
    <w:pPr>
      <w:widowControl w:val="0"/>
      <w:spacing w:after="220"/>
      <w:ind w:left="1440" w:right="1440"/>
      <w:jc w:val="both"/>
    </w:pPr>
  </w:style>
  <w:style w:type="paragraph" w:customStyle="1" w:styleId="TableFormat">
    <w:name w:val="TableFormat"/>
    <w:basedOn w:val="Normal"/>
    <w:rsid w:val="00EF086C"/>
    <w:pPr>
      <w:widowControl w:val="0"/>
      <w:tabs>
        <w:tab w:val="left" w:pos="15120"/>
      </w:tabs>
      <w:spacing w:after="220"/>
      <w:ind w:left="5040" w:hanging="3600"/>
      <w:jc w:val="both"/>
    </w:pPr>
  </w:style>
  <w:style w:type="paragraph" w:styleId="Header">
    <w:name w:val="header"/>
    <w:basedOn w:val="Normal"/>
    <w:rsid w:val="00EF086C"/>
    <w:pPr>
      <w:tabs>
        <w:tab w:val="center" w:pos="4320"/>
        <w:tab w:val="right" w:pos="8640"/>
      </w:tabs>
    </w:pPr>
  </w:style>
  <w:style w:type="paragraph" w:styleId="Footer">
    <w:name w:val="footer"/>
    <w:basedOn w:val="Normal"/>
    <w:rsid w:val="00EF086C"/>
    <w:pPr>
      <w:tabs>
        <w:tab w:val="center" w:pos="4320"/>
        <w:tab w:val="right" w:pos="8640"/>
      </w:tabs>
    </w:pPr>
  </w:style>
  <w:style w:type="paragraph" w:styleId="TOC2">
    <w:name w:val="toc 2"/>
    <w:basedOn w:val="Normal"/>
    <w:next w:val="Normal"/>
    <w:semiHidden/>
    <w:rsid w:val="00EF086C"/>
    <w:pPr>
      <w:widowControl w:val="0"/>
      <w:tabs>
        <w:tab w:val="left" w:pos="4320"/>
        <w:tab w:val="right" w:leader="dot" w:pos="12240"/>
      </w:tabs>
      <w:spacing w:before="220"/>
      <w:ind w:left="1440" w:right="720" w:hanging="720"/>
      <w:jc w:val="both"/>
    </w:pPr>
  </w:style>
  <w:style w:type="paragraph" w:customStyle="1" w:styleId="NumberedList">
    <w:name w:val="Numbered List"/>
    <w:basedOn w:val="Normal"/>
    <w:rsid w:val="00EF086C"/>
    <w:pPr>
      <w:spacing w:after="220"/>
      <w:ind w:left="-720"/>
    </w:pPr>
  </w:style>
  <w:style w:type="paragraph" w:styleId="TOC1">
    <w:name w:val="toc 1"/>
    <w:basedOn w:val="Normal"/>
    <w:next w:val="Normal"/>
    <w:semiHidden/>
    <w:rsid w:val="00EF086C"/>
    <w:pPr>
      <w:widowControl w:val="0"/>
      <w:tabs>
        <w:tab w:val="right" w:leader="dot" w:pos="10800"/>
      </w:tabs>
      <w:spacing w:before="220"/>
      <w:ind w:left="720" w:right="720" w:hanging="720"/>
      <w:jc w:val="both"/>
    </w:pPr>
    <w:rPr>
      <w:caps/>
    </w:rPr>
  </w:style>
  <w:style w:type="paragraph" w:styleId="TOC3">
    <w:name w:val="toc 3"/>
    <w:basedOn w:val="Normal"/>
    <w:next w:val="Normal"/>
    <w:semiHidden/>
    <w:rsid w:val="00EF086C"/>
    <w:pPr>
      <w:widowControl w:val="0"/>
      <w:tabs>
        <w:tab w:val="left" w:pos="6480"/>
        <w:tab w:val="right" w:leader="dot" w:pos="13680"/>
      </w:tabs>
      <w:ind w:left="2160" w:right="720" w:hanging="720"/>
      <w:jc w:val="both"/>
    </w:pPr>
  </w:style>
  <w:style w:type="paragraph" w:styleId="TOC4">
    <w:name w:val="toc 4"/>
    <w:basedOn w:val="Normal"/>
    <w:next w:val="Normal"/>
    <w:semiHidden/>
    <w:rsid w:val="00EF086C"/>
    <w:pPr>
      <w:widowControl w:val="0"/>
      <w:tabs>
        <w:tab w:val="left" w:pos="8640"/>
        <w:tab w:val="right" w:leader="dot" w:pos="15120"/>
      </w:tabs>
      <w:ind w:left="2880" w:right="720" w:hanging="720"/>
      <w:jc w:val="both"/>
    </w:pPr>
  </w:style>
  <w:style w:type="paragraph" w:styleId="TOC5">
    <w:name w:val="toc 5"/>
    <w:basedOn w:val="Normal"/>
    <w:next w:val="Normal"/>
    <w:semiHidden/>
    <w:rsid w:val="00EF086C"/>
    <w:pPr>
      <w:widowControl w:val="0"/>
      <w:tabs>
        <w:tab w:val="left" w:pos="10800"/>
        <w:tab w:val="right" w:leader="dot" w:pos="16560"/>
      </w:tabs>
      <w:ind w:left="3600" w:right="720" w:hanging="720"/>
      <w:jc w:val="both"/>
    </w:pPr>
  </w:style>
  <w:style w:type="paragraph" w:styleId="TOC6">
    <w:name w:val="toc 6"/>
    <w:basedOn w:val="Normal"/>
    <w:next w:val="Normal"/>
    <w:semiHidden/>
    <w:rsid w:val="00EF086C"/>
    <w:pPr>
      <w:widowControl w:val="0"/>
      <w:tabs>
        <w:tab w:val="left" w:leader="dot" w:pos="10800"/>
      </w:tabs>
      <w:ind w:left="720" w:hanging="720"/>
      <w:jc w:val="both"/>
    </w:pPr>
  </w:style>
  <w:style w:type="paragraph" w:styleId="TOC7">
    <w:name w:val="toc 7"/>
    <w:basedOn w:val="Normal"/>
    <w:next w:val="Normal"/>
    <w:semiHidden/>
    <w:rsid w:val="00EF086C"/>
    <w:pPr>
      <w:widowControl w:val="0"/>
      <w:tabs>
        <w:tab w:val="left" w:leader="dot" w:pos="10800"/>
      </w:tabs>
      <w:ind w:left="720" w:hanging="720"/>
      <w:jc w:val="both"/>
    </w:pPr>
  </w:style>
  <w:style w:type="paragraph" w:styleId="TOC8">
    <w:name w:val="toc 8"/>
    <w:basedOn w:val="Normal"/>
    <w:next w:val="Normal"/>
    <w:semiHidden/>
    <w:rsid w:val="00EF086C"/>
    <w:pPr>
      <w:widowControl w:val="0"/>
      <w:tabs>
        <w:tab w:val="left" w:leader="dot" w:pos="10800"/>
      </w:tabs>
      <w:ind w:left="720" w:hanging="720"/>
      <w:jc w:val="both"/>
    </w:pPr>
  </w:style>
  <w:style w:type="paragraph" w:styleId="TOC9">
    <w:name w:val="toc 9"/>
    <w:basedOn w:val="Normal"/>
    <w:next w:val="Normal"/>
    <w:semiHidden/>
    <w:rsid w:val="00EF086C"/>
    <w:pPr>
      <w:tabs>
        <w:tab w:val="left" w:leader="dot" w:pos="10800"/>
      </w:tabs>
      <w:ind w:left="720" w:hanging="720"/>
      <w:jc w:val="both"/>
    </w:pPr>
  </w:style>
  <w:style w:type="paragraph" w:styleId="Title">
    <w:name w:val="Title"/>
    <w:basedOn w:val="Normal"/>
    <w:next w:val="Subtitle"/>
    <w:qFormat/>
    <w:rsid w:val="00EF086C"/>
    <w:pPr>
      <w:jc w:val="center"/>
    </w:pPr>
    <w:rPr>
      <w:b/>
    </w:rPr>
  </w:style>
  <w:style w:type="paragraph" w:styleId="Subtitle">
    <w:name w:val="Subtitle"/>
    <w:basedOn w:val="Heading"/>
    <w:next w:val="BodyText"/>
    <w:qFormat/>
    <w:rsid w:val="00EF086C"/>
    <w:pPr>
      <w:jc w:val="center"/>
    </w:pPr>
    <w:rPr>
      <w:i/>
      <w:iCs/>
    </w:rPr>
  </w:style>
  <w:style w:type="paragraph" w:styleId="BalloonText">
    <w:name w:val="Balloon Text"/>
    <w:basedOn w:val="Normal"/>
    <w:rsid w:val="00EF086C"/>
    <w:rPr>
      <w:rFonts w:ascii="Tahoma" w:hAnsi="Tahoma" w:cs="Tahoma"/>
      <w:sz w:val="16"/>
      <w:szCs w:val="16"/>
    </w:rPr>
  </w:style>
  <w:style w:type="paragraph" w:customStyle="1" w:styleId="TableContents">
    <w:name w:val="Table Contents"/>
    <w:basedOn w:val="Normal"/>
    <w:rsid w:val="00EF086C"/>
    <w:pPr>
      <w:suppressLineNumbers/>
    </w:pPr>
  </w:style>
  <w:style w:type="paragraph" w:customStyle="1" w:styleId="TableHeading">
    <w:name w:val="Table Heading"/>
    <w:basedOn w:val="TableContents"/>
    <w:rsid w:val="00EF086C"/>
    <w:pPr>
      <w:jc w:val="center"/>
    </w:pPr>
    <w:rPr>
      <w:b/>
      <w:bCs/>
    </w:rPr>
  </w:style>
  <w:style w:type="paragraph" w:customStyle="1" w:styleId="Framecontents">
    <w:name w:val="Frame contents"/>
    <w:basedOn w:val="BodyText"/>
    <w:rsid w:val="00EF086C"/>
  </w:style>
  <w:style w:type="paragraph" w:styleId="Revision">
    <w:name w:val="Revision"/>
    <w:hidden/>
    <w:uiPriority w:val="99"/>
    <w:semiHidden/>
    <w:rsid w:val="00EF086C"/>
    <w:rPr>
      <w:sz w:val="22"/>
      <w:lang w:eastAsia="ar-SA"/>
    </w:rPr>
  </w:style>
  <w:style w:type="character" w:styleId="CommentReference">
    <w:name w:val="annotation reference"/>
    <w:semiHidden/>
    <w:rsid w:val="00EF086C"/>
    <w:rPr>
      <w:sz w:val="16"/>
      <w:szCs w:val="16"/>
    </w:rPr>
  </w:style>
  <w:style w:type="paragraph" w:styleId="CommentText">
    <w:name w:val="annotation text"/>
    <w:basedOn w:val="Normal"/>
    <w:semiHidden/>
    <w:rsid w:val="00EF086C"/>
    <w:rPr>
      <w:sz w:val="20"/>
    </w:rPr>
  </w:style>
  <w:style w:type="paragraph" w:styleId="CommentSubject">
    <w:name w:val="annotation subject"/>
    <w:basedOn w:val="CommentText"/>
    <w:next w:val="CommentText"/>
    <w:semiHidden/>
    <w:rsid w:val="00EF086C"/>
    <w:rPr>
      <w:b/>
      <w:bCs/>
    </w:rPr>
  </w:style>
  <w:style w:type="character" w:customStyle="1" w:styleId="FootnoteTextChar2">
    <w:name w:val="Footnote Text Char2"/>
    <w:aliases w:val="Footnote Text Char5 Char1,Footnote Text Char1 Char Char,Footnote Text Char3 Char Char1 Char,Footnote Text Char2 Char1 Char Char1 Char,Footnote Text Char1 Char Char Char Char Char,Footnote Text Char2 Char Char Char Char Char1 Char"/>
    <w:link w:val="FootnoteText"/>
    <w:rsid w:val="00EF086C"/>
    <w:rPr>
      <w:lang w:val="en-US" w:eastAsia="ar-SA" w:bidi="ar-SA"/>
    </w:rPr>
  </w:style>
  <w:style w:type="character" w:customStyle="1" w:styleId="apple-style-span">
    <w:name w:val="apple-style-span"/>
    <w:basedOn w:val="DefaultParagraphFont"/>
    <w:rsid w:val="00EF0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C"/>
    <w:pPr>
      <w:suppressAutoHyphens/>
    </w:pPr>
    <w:rPr>
      <w:sz w:val="22"/>
      <w:lang w:eastAsia="ar-SA"/>
    </w:rPr>
  </w:style>
  <w:style w:type="paragraph" w:styleId="Heading1">
    <w:name w:val="heading 1"/>
    <w:basedOn w:val="Normal"/>
    <w:next w:val="ParaNum"/>
    <w:qFormat/>
    <w:rsid w:val="00EF086C"/>
    <w:pPr>
      <w:keepNext/>
      <w:widowControl w:val="0"/>
      <w:numPr>
        <w:numId w:val="1"/>
      </w:numPr>
      <w:spacing w:after="220"/>
      <w:jc w:val="both"/>
      <w:outlineLvl w:val="0"/>
    </w:pPr>
    <w:rPr>
      <w:b/>
      <w:caps/>
    </w:rPr>
  </w:style>
  <w:style w:type="paragraph" w:styleId="Heading2">
    <w:name w:val="heading 2"/>
    <w:basedOn w:val="Normal"/>
    <w:next w:val="ParaNum"/>
    <w:qFormat/>
    <w:rsid w:val="00EF086C"/>
    <w:pPr>
      <w:keepNext/>
      <w:widowControl w:val="0"/>
      <w:numPr>
        <w:ilvl w:val="1"/>
        <w:numId w:val="1"/>
      </w:numPr>
      <w:spacing w:after="220"/>
      <w:jc w:val="both"/>
      <w:outlineLvl w:val="1"/>
    </w:pPr>
    <w:rPr>
      <w:b/>
    </w:rPr>
  </w:style>
  <w:style w:type="paragraph" w:styleId="Heading3">
    <w:name w:val="heading 3"/>
    <w:basedOn w:val="Normal"/>
    <w:next w:val="ParaNum"/>
    <w:qFormat/>
    <w:rsid w:val="00EF086C"/>
    <w:pPr>
      <w:keepNext/>
      <w:widowControl w:val="0"/>
      <w:numPr>
        <w:ilvl w:val="2"/>
        <w:numId w:val="1"/>
      </w:numPr>
      <w:spacing w:after="220"/>
      <w:jc w:val="both"/>
      <w:outlineLvl w:val="2"/>
    </w:pPr>
    <w:rPr>
      <w:b/>
    </w:rPr>
  </w:style>
  <w:style w:type="paragraph" w:styleId="Heading4">
    <w:name w:val="heading 4"/>
    <w:basedOn w:val="Normal"/>
    <w:next w:val="ParaNum"/>
    <w:qFormat/>
    <w:rsid w:val="00EF086C"/>
    <w:pPr>
      <w:keepNext/>
      <w:widowControl w:val="0"/>
      <w:numPr>
        <w:ilvl w:val="3"/>
        <w:numId w:val="1"/>
      </w:numPr>
      <w:spacing w:after="220"/>
      <w:jc w:val="both"/>
      <w:outlineLvl w:val="3"/>
    </w:pPr>
    <w:rPr>
      <w:b/>
    </w:rPr>
  </w:style>
  <w:style w:type="paragraph" w:styleId="Heading5">
    <w:name w:val="heading 5"/>
    <w:basedOn w:val="Normal"/>
    <w:next w:val="ParaNum"/>
    <w:qFormat/>
    <w:rsid w:val="00EF086C"/>
    <w:pPr>
      <w:keepNext/>
      <w:widowControl w:val="0"/>
      <w:numPr>
        <w:ilvl w:val="4"/>
        <w:numId w:val="1"/>
      </w:numPr>
      <w:spacing w:after="220"/>
      <w:jc w:val="both"/>
      <w:outlineLvl w:val="4"/>
    </w:pPr>
    <w:rPr>
      <w:b/>
    </w:rPr>
  </w:style>
  <w:style w:type="paragraph" w:styleId="Heading6">
    <w:name w:val="heading 6"/>
    <w:basedOn w:val="Normal"/>
    <w:next w:val="ParaNum"/>
    <w:qFormat/>
    <w:rsid w:val="00EF086C"/>
    <w:pPr>
      <w:widowControl w:val="0"/>
      <w:numPr>
        <w:ilvl w:val="5"/>
        <w:numId w:val="1"/>
      </w:numPr>
      <w:spacing w:after="220"/>
      <w:jc w:val="both"/>
      <w:outlineLvl w:val="5"/>
    </w:pPr>
    <w:rPr>
      <w:b/>
    </w:rPr>
  </w:style>
  <w:style w:type="paragraph" w:styleId="Heading7">
    <w:name w:val="heading 7"/>
    <w:basedOn w:val="Normal"/>
    <w:next w:val="ParaNum"/>
    <w:qFormat/>
    <w:rsid w:val="00EF086C"/>
    <w:pPr>
      <w:widowControl w:val="0"/>
      <w:numPr>
        <w:ilvl w:val="6"/>
        <w:numId w:val="1"/>
      </w:numPr>
      <w:spacing w:after="220"/>
      <w:jc w:val="both"/>
      <w:outlineLvl w:val="6"/>
    </w:pPr>
    <w:rPr>
      <w:b/>
    </w:rPr>
  </w:style>
  <w:style w:type="paragraph" w:styleId="Heading8">
    <w:name w:val="heading 8"/>
    <w:basedOn w:val="Normal"/>
    <w:next w:val="ParaNum"/>
    <w:qFormat/>
    <w:rsid w:val="00EF086C"/>
    <w:pPr>
      <w:widowControl w:val="0"/>
      <w:numPr>
        <w:ilvl w:val="7"/>
        <w:numId w:val="1"/>
      </w:numPr>
      <w:spacing w:after="220"/>
      <w:jc w:val="both"/>
      <w:outlineLvl w:val="7"/>
    </w:pPr>
    <w:rPr>
      <w:b/>
    </w:rPr>
  </w:style>
  <w:style w:type="paragraph" w:styleId="Heading9">
    <w:name w:val="heading 9"/>
    <w:basedOn w:val="Normal"/>
    <w:next w:val="ParaNum"/>
    <w:qFormat/>
    <w:rsid w:val="00EF086C"/>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086C"/>
    <w:rPr>
      <w:rFonts w:ascii="Times New Roman" w:hAnsi="Times New Roman"/>
      <w:b/>
      <w:i w:val="0"/>
      <w:caps w:val="0"/>
      <w:smallCaps w:val="0"/>
      <w:strike w:val="0"/>
      <w:dstrike w:val="0"/>
      <w:vanish w:val="0"/>
      <w:position w:val="0"/>
      <w:sz w:val="22"/>
      <w:vertAlign w:val="baseline"/>
    </w:rPr>
  </w:style>
  <w:style w:type="character" w:customStyle="1" w:styleId="WW8Num1z1">
    <w:name w:val="WW8Num1z1"/>
    <w:rsid w:val="00EF086C"/>
    <w:rPr>
      <w:b/>
    </w:rPr>
  </w:style>
  <w:style w:type="character" w:customStyle="1" w:styleId="WW8Num1z4">
    <w:name w:val="WW8Num1z4"/>
    <w:rsid w:val="00EF086C"/>
    <w:rPr>
      <w:rFonts w:ascii="Tahoma" w:hAnsi="Tahoma"/>
      <w:b/>
      <w:i w:val="0"/>
      <w:caps w:val="0"/>
      <w:smallCaps w:val="0"/>
      <w:strike w:val="0"/>
      <w:dstrike w:val="0"/>
      <w:vanish w:val="0"/>
      <w:color w:val="auto"/>
      <w:position w:val="0"/>
      <w:sz w:val="22"/>
      <w:vertAlign w:val="baseline"/>
    </w:rPr>
  </w:style>
  <w:style w:type="character" w:customStyle="1" w:styleId="WW8Num1z8">
    <w:name w:val="WW8Num1z8"/>
    <w:rsid w:val="00EF086C"/>
    <w:rPr>
      <w:b/>
      <w:i w:val="0"/>
      <w:sz w:val="22"/>
    </w:rPr>
  </w:style>
  <w:style w:type="character" w:customStyle="1" w:styleId="WW8Num2z0">
    <w:name w:val="WW8Num2z0"/>
    <w:rsid w:val="00EF086C"/>
    <w:rPr>
      <w:rFonts w:ascii="Symbol" w:hAnsi="Symbol"/>
    </w:rPr>
  </w:style>
  <w:style w:type="character" w:customStyle="1" w:styleId="Absatz-Standardschriftart">
    <w:name w:val="Absatz-Standardschriftart"/>
    <w:rsid w:val="00EF086C"/>
  </w:style>
  <w:style w:type="character" w:customStyle="1" w:styleId="WW8Num3z0">
    <w:name w:val="WW8Num3z0"/>
    <w:rsid w:val="00EF086C"/>
    <w:rPr>
      <w:rFonts w:ascii="Symbol" w:hAnsi="Symbol"/>
    </w:rPr>
  </w:style>
  <w:style w:type="character" w:customStyle="1" w:styleId="WW8Num3z4">
    <w:name w:val="WW8Num3z4"/>
    <w:rsid w:val="00EF086C"/>
    <w:rPr>
      <w:rFonts w:ascii="Tahoma" w:hAnsi="Tahoma"/>
      <w:b/>
      <w:i w:val="0"/>
      <w:caps w:val="0"/>
      <w:smallCaps w:val="0"/>
      <w:strike w:val="0"/>
      <w:dstrike w:val="0"/>
      <w:vanish w:val="0"/>
      <w:color w:val="auto"/>
      <w:position w:val="0"/>
      <w:sz w:val="22"/>
      <w:vertAlign w:val="baseline"/>
    </w:rPr>
  </w:style>
  <w:style w:type="character" w:customStyle="1" w:styleId="WW8Num3z8">
    <w:name w:val="WW8Num3z8"/>
    <w:rsid w:val="00EF086C"/>
    <w:rPr>
      <w:b/>
      <w:i w:val="0"/>
      <w:sz w:val="22"/>
    </w:rPr>
  </w:style>
  <w:style w:type="character" w:customStyle="1" w:styleId="DefaultParagraphFont1">
    <w:name w:val="Default Paragraph Font1"/>
    <w:rsid w:val="00EF086C"/>
  </w:style>
  <w:style w:type="character" w:customStyle="1" w:styleId="WW8Num2z1">
    <w:name w:val="WW8Num2z1"/>
    <w:rsid w:val="00EF086C"/>
    <w:rPr>
      <w:rFonts w:ascii="Courier New" w:hAnsi="Courier New" w:cs="Courier New"/>
    </w:rPr>
  </w:style>
  <w:style w:type="character" w:customStyle="1" w:styleId="WW8Num2z2">
    <w:name w:val="WW8Num2z2"/>
    <w:rsid w:val="00EF086C"/>
    <w:rPr>
      <w:rFonts w:ascii="Wingdings" w:hAnsi="Wingdings"/>
    </w:rPr>
  </w:style>
  <w:style w:type="character" w:customStyle="1" w:styleId="WW8Num3z1">
    <w:name w:val="WW8Num3z1"/>
    <w:rsid w:val="00EF086C"/>
    <w:rPr>
      <w:rFonts w:ascii="Courier New" w:hAnsi="Courier New" w:cs="Courier New"/>
    </w:rPr>
  </w:style>
  <w:style w:type="character" w:customStyle="1" w:styleId="WW8Num3z2">
    <w:name w:val="WW8Num3z2"/>
    <w:rsid w:val="00EF086C"/>
    <w:rPr>
      <w:rFonts w:ascii="Wingdings" w:hAnsi="Wingdings"/>
    </w:rPr>
  </w:style>
  <w:style w:type="character" w:customStyle="1" w:styleId="WW8Num4z0">
    <w:name w:val="WW8Num4z0"/>
    <w:rsid w:val="00EF086C"/>
    <w:rPr>
      <w:rFonts w:ascii="Times New Roman" w:hAnsi="Times New Roman"/>
      <w:b w:val="0"/>
      <w:i w:val="0"/>
      <w:caps w:val="0"/>
      <w:smallCaps w:val="0"/>
      <w:strike w:val="0"/>
      <w:dstrike w:val="0"/>
      <w:vanish w:val="0"/>
      <w:color w:val="auto"/>
      <w:position w:val="0"/>
      <w:sz w:val="22"/>
      <w:u w:val="none"/>
      <w:vertAlign w:val="baseline"/>
    </w:rPr>
  </w:style>
  <w:style w:type="character" w:customStyle="1" w:styleId="WW8Num5z0">
    <w:name w:val="WW8Num5z0"/>
    <w:rsid w:val="00EF086C"/>
    <w:rPr>
      <w:rFonts w:ascii="Times New Roman" w:hAnsi="Times New Roman"/>
      <w:b w:val="0"/>
      <w:i w:val="0"/>
      <w:sz w:val="22"/>
      <w:u w:val="none"/>
    </w:rPr>
  </w:style>
  <w:style w:type="character" w:customStyle="1" w:styleId="WW8Num6z0">
    <w:name w:val="WW8Num6z0"/>
    <w:rsid w:val="00EF086C"/>
    <w:rPr>
      <w:rFonts w:ascii="Times New Roman" w:hAnsi="Times New Roman"/>
      <w:b/>
      <w:i w:val="0"/>
      <w:caps w:val="0"/>
      <w:smallCaps w:val="0"/>
      <w:strike w:val="0"/>
      <w:dstrike w:val="0"/>
      <w:vanish w:val="0"/>
      <w:position w:val="0"/>
      <w:sz w:val="22"/>
      <w:vertAlign w:val="baseline"/>
    </w:rPr>
  </w:style>
  <w:style w:type="character" w:customStyle="1" w:styleId="WW8Num6z1">
    <w:name w:val="WW8Num6z1"/>
    <w:rsid w:val="00EF086C"/>
    <w:rPr>
      <w:b/>
    </w:rPr>
  </w:style>
  <w:style w:type="character" w:customStyle="1" w:styleId="WW8Num6z4">
    <w:name w:val="WW8Num6z4"/>
    <w:rsid w:val="00EF086C"/>
    <w:rPr>
      <w:rFonts w:ascii="Tahoma" w:hAnsi="Tahoma"/>
      <w:b/>
      <w:i w:val="0"/>
      <w:caps w:val="0"/>
      <w:smallCaps w:val="0"/>
      <w:strike w:val="0"/>
      <w:dstrike w:val="0"/>
      <w:vanish w:val="0"/>
      <w:color w:val="auto"/>
      <w:position w:val="0"/>
      <w:sz w:val="22"/>
      <w:vertAlign w:val="baseline"/>
    </w:rPr>
  </w:style>
  <w:style w:type="character" w:customStyle="1" w:styleId="WW8Num6z8">
    <w:name w:val="WW8Num6z8"/>
    <w:rsid w:val="00EF086C"/>
    <w:rPr>
      <w:b/>
      <w:i w:val="0"/>
      <w:sz w:val="22"/>
    </w:rPr>
  </w:style>
  <w:style w:type="character" w:customStyle="1" w:styleId="WW8Num7z0">
    <w:name w:val="WW8Num7z0"/>
    <w:rsid w:val="00EF086C"/>
    <w:rPr>
      <w:rFonts w:ascii="Symbol" w:hAnsi="Symbol"/>
      <w:color w:val="auto"/>
    </w:rPr>
  </w:style>
  <w:style w:type="character" w:customStyle="1" w:styleId="WW8Num8z0">
    <w:name w:val="WW8Num8z0"/>
    <w:rsid w:val="00EF086C"/>
    <w:rPr>
      <w:rFonts w:ascii="Symbol" w:hAnsi="Symbol"/>
    </w:rPr>
  </w:style>
  <w:style w:type="character" w:customStyle="1" w:styleId="WW8Num8z1">
    <w:name w:val="WW8Num8z1"/>
    <w:rsid w:val="00EF086C"/>
    <w:rPr>
      <w:rFonts w:ascii="Courier New" w:hAnsi="Courier New" w:cs="Courier New"/>
    </w:rPr>
  </w:style>
  <w:style w:type="character" w:customStyle="1" w:styleId="WW8Num8z5">
    <w:name w:val="WW8Num8z5"/>
    <w:rsid w:val="00EF086C"/>
    <w:rPr>
      <w:rFonts w:ascii="Wingdings" w:hAnsi="Wingdings"/>
    </w:rPr>
  </w:style>
  <w:style w:type="character" w:customStyle="1" w:styleId="WW-DefaultParagraphFont">
    <w:name w:val="WW-Default Paragraph Font"/>
    <w:rsid w:val="00EF086C"/>
  </w:style>
  <w:style w:type="character" w:customStyle="1" w:styleId="FootnoteCharacters">
    <w:name w:val="Footnote Characters"/>
    <w:rsid w:val="00EF086C"/>
    <w:rPr>
      <w:vertAlign w:val="superscript"/>
    </w:rPr>
  </w:style>
  <w:style w:type="character" w:styleId="PageNumber">
    <w:name w:val="page number"/>
    <w:basedOn w:val="WW-DefaultParagraphFont"/>
    <w:rsid w:val="00EF086C"/>
  </w:style>
  <w:style w:type="character" w:customStyle="1" w:styleId="documentbody1">
    <w:name w:val="documentbody1"/>
    <w:rsid w:val="00EF086C"/>
    <w:rPr>
      <w:rFonts w:ascii="Verdana" w:hAnsi="Verdana"/>
      <w:sz w:val="19"/>
      <w:szCs w:val="19"/>
      <w:shd w:val="clear" w:color="auto" w:fill="FFFFFF"/>
    </w:rPr>
  </w:style>
  <w:style w:type="character" w:customStyle="1" w:styleId="documentbody">
    <w:name w:val="documentbody"/>
    <w:basedOn w:val="WW-DefaultParagraphFont"/>
    <w:rsid w:val="00EF086C"/>
  </w:style>
  <w:style w:type="character" w:customStyle="1" w:styleId="titlenews">
    <w:name w:val="titlenews"/>
    <w:basedOn w:val="WW-DefaultParagraphFont"/>
    <w:rsid w:val="00EF086C"/>
  </w:style>
  <w:style w:type="character" w:styleId="Hyperlink">
    <w:name w:val="Hyperlink"/>
    <w:rsid w:val="00EF086C"/>
    <w:rPr>
      <w:color w:val="0000FF"/>
      <w:u w:val="single"/>
    </w:rPr>
  </w:style>
  <w:style w:type="character" w:customStyle="1" w:styleId="byline">
    <w:name w:val="byline"/>
    <w:basedOn w:val="WW-DefaultParagraphFont"/>
    <w:rsid w:val="00EF086C"/>
  </w:style>
  <w:style w:type="character" w:customStyle="1" w:styleId="FootnoteTextChar5Char">
    <w:name w:val="Footnote Text Char5 Char"/>
    <w:rsid w:val="00EF086C"/>
    <w:rPr>
      <w:lang w:val="en-US" w:eastAsia="ar-SA" w:bidi="ar-SA"/>
    </w:rPr>
  </w:style>
  <w:style w:type="character" w:customStyle="1" w:styleId="EndnoteCharacters">
    <w:name w:val="Endnote Characters"/>
    <w:rsid w:val="00EF086C"/>
    <w:rPr>
      <w:vertAlign w:val="superscript"/>
    </w:rPr>
  </w:style>
  <w:style w:type="character" w:styleId="Strong">
    <w:name w:val="Strong"/>
    <w:qFormat/>
    <w:rsid w:val="00EF086C"/>
    <w:rPr>
      <w:b/>
      <w:bCs/>
    </w:rPr>
  </w:style>
  <w:style w:type="character" w:customStyle="1" w:styleId="FootnoteReference1">
    <w:name w:val="Footnote Reference1"/>
    <w:rsid w:val="00EF086C"/>
    <w:rPr>
      <w:vertAlign w:val="superscript"/>
    </w:rPr>
  </w:style>
  <w:style w:type="character" w:customStyle="1" w:styleId="EndnoteReference1">
    <w:name w:val="Endnote Reference1"/>
    <w:rsid w:val="00EF086C"/>
    <w:rPr>
      <w:vertAlign w:val="superscript"/>
    </w:rPr>
  </w:style>
  <w:style w:type="character" w:customStyle="1" w:styleId="ccbnttl">
    <w:name w:val="ccbnttl"/>
    <w:basedOn w:val="DefaultParagraphFont1"/>
    <w:rsid w:val="00EF086C"/>
  </w:style>
  <w:style w:type="character" w:customStyle="1" w:styleId="informationalsmall">
    <w:name w:val="informationalsmall"/>
    <w:basedOn w:val="DefaultParagraphFont1"/>
    <w:rsid w:val="00EF086C"/>
  </w:style>
  <w:style w:type="character" w:customStyle="1" w:styleId="Char1CharChar">
    <w:name w:val="Char1 Char Char"/>
    <w:rsid w:val="00EF086C"/>
    <w:rPr>
      <w:lang w:val="en-US" w:eastAsia="ar-SA" w:bidi="ar-SA"/>
    </w:rPr>
  </w:style>
  <w:style w:type="character" w:styleId="FootnoteReference">
    <w:name w:val="footnote reference"/>
    <w:semiHidden/>
    <w:rsid w:val="00EF086C"/>
    <w:rPr>
      <w:vertAlign w:val="superscript"/>
    </w:rPr>
  </w:style>
  <w:style w:type="character" w:styleId="EndnoteReference">
    <w:name w:val="endnote reference"/>
    <w:semiHidden/>
    <w:rsid w:val="00EF086C"/>
    <w:rPr>
      <w:vertAlign w:val="superscript"/>
    </w:rPr>
  </w:style>
  <w:style w:type="paragraph" w:customStyle="1" w:styleId="Heading">
    <w:name w:val="Heading"/>
    <w:basedOn w:val="Normal"/>
    <w:next w:val="BodyText"/>
    <w:rsid w:val="00EF086C"/>
    <w:pPr>
      <w:keepNext/>
      <w:spacing w:before="240" w:after="120"/>
    </w:pPr>
    <w:rPr>
      <w:rFonts w:ascii="Arial" w:eastAsia="MS Mincho" w:hAnsi="Arial" w:cs="Tahoma"/>
      <w:sz w:val="28"/>
      <w:szCs w:val="28"/>
    </w:rPr>
  </w:style>
  <w:style w:type="paragraph" w:styleId="BodyText">
    <w:name w:val="Body Text"/>
    <w:basedOn w:val="Normal"/>
    <w:rsid w:val="00EF086C"/>
    <w:pPr>
      <w:spacing w:after="120"/>
    </w:pPr>
  </w:style>
  <w:style w:type="paragraph" w:styleId="List">
    <w:name w:val="List"/>
    <w:basedOn w:val="BodyText"/>
    <w:rsid w:val="00EF086C"/>
    <w:rPr>
      <w:rFonts w:cs="Tahoma"/>
    </w:rPr>
  </w:style>
  <w:style w:type="paragraph" w:styleId="Caption">
    <w:name w:val="caption"/>
    <w:basedOn w:val="Normal"/>
    <w:next w:val="Normal"/>
    <w:qFormat/>
    <w:rsid w:val="00EF086C"/>
    <w:pPr>
      <w:spacing w:before="120" w:after="120"/>
    </w:pPr>
    <w:rPr>
      <w:b/>
    </w:rPr>
  </w:style>
  <w:style w:type="paragraph" w:customStyle="1" w:styleId="Index">
    <w:name w:val="Index"/>
    <w:basedOn w:val="Normal"/>
    <w:rsid w:val="00EF086C"/>
    <w:pPr>
      <w:suppressLineNumbers/>
    </w:pPr>
    <w:rPr>
      <w:rFonts w:cs="Tahoma"/>
    </w:rPr>
  </w:style>
  <w:style w:type="paragraph" w:customStyle="1" w:styleId="ParaNum">
    <w:name w:val="ParaNum"/>
    <w:basedOn w:val="Normal"/>
    <w:rsid w:val="00EF086C"/>
    <w:pPr>
      <w:widowControl w:val="0"/>
      <w:numPr>
        <w:numId w:val="2"/>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rsid w:val="00EF086C"/>
    <w:pPr>
      <w:tabs>
        <w:tab w:val="left" w:pos="180"/>
        <w:tab w:val="left" w:pos="720"/>
        <w:tab w:val="left" w:pos="1440"/>
        <w:tab w:val="left" w:pos="2160"/>
      </w:tabs>
      <w:spacing w:after="120"/>
      <w:jc w:val="both"/>
    </w:pPr>
    <w:rPr>
      <w:sz w:val="20"/>
    </w:rPr>
  </w:style>
  <w:style w:type="paragraph" w:customStyle="1" w:styleId="Bullet">
    <w:name w:val="Bullet"/>
    <w:basedOn w:val="Normal"/>
    <w:rsid w:val="00EF086C"/>
    <w:pPr>
      <w:widowControl w:val="0"/>
      <w:spacing w:after="220"/>
      <w:ind w:left="-720"/>
      <w:jc w:val="both"/>
    </w:pPr>
  </w:style>
  <w:style w:type="paragraph" w:styleId="BlockText">
    <w:name w:val="Block Text"/>
    <w:basedOn w:val="Normal"/>
    <w:rsid w:val="00EF086C"/>
    <w:pPr>
      <w:widowControl w:val="0"/>
      <w:spacing w:after="220"/>
      <w:ind w:left="1440" w:right="1440"/>
      <w:jc w:val="both"/>
    </w:pPr>
  </w:style>
  <w:style w:type="paragraph" w:customStyle="1" w:styleId="TableFormat">
    <w:name w:val="TableFormat"/>
    <w:basedOn w:val="Normal"/>
    <w:rsid w:val="00EF086C"/>
    <w:pPr>
      <w:widowControl w:val="0"/>
      <w:tabs>
        <w:tab w:val="left" w:pos="15120"/>
      </w:tabs>
      <w:spacing w:after="220"/>
      <w:ind w:left="5040" w:hanging="3600"/>
      <w:jc w:val="both"/>
    </w:pPr>
  </w:style>
  <w:style w:type="paragraph" w:styleId="Header">
    <w:name w:val="header"/>
    <w:basedOn w:val="Normal"/>
    <w:rsid w:val="00EF086C"/>
    <w:pPr>
      <w:tabs>
        <w:tab w:val="center" w:pos="4320"/>
        <w:tab w:val="right" w:pos="8640"/>
      </w:tabs>
    </w:pPr>
  </w:style>
  <w:style w:type="paragraph" w:styleId="Footer">
    <w:name w:val="footer"/>
    <w:basedOn w:val="Normal"/>
    <w:rsid w:val="00EF086C"/>
    <w:pPr>
      <w:tabs>
        <w:tab w:val="center" w:pos="4320"/>
        <w:tab w:val="right" w:pos="8640"/>
      </w:tabs>
    </w:pPr>
  </w:style>
  <w:style w:type="paragraph" w:styleId="TOC2">
    <w:name w:val="toc 2"/>
    <w:basedOn w:val="Normal"/>
    <w:next w:val="Normal"/>
    <w:semiHidden/>
    <w:rsid w:val="00EF086C"/>
    <w:pPr>
      <w:widowControl w:val="0"/>
      <w:tabs>
        <w:tab w:val="left" w:pos="4320"/>
        <w:tab w:val="right" w:leader="dot" w:pos="12240"/>
      </w:tabs>
      <w:spacing w:before="220"/>
      <w:ind w:left="1440" w:right="720" w:hanging="720"/>
      <w:jc w:val="both"/>
    </w:pPr>
  </w:style>
  <w:style w:type="paragraph" w:customStyle="1" w:styleId="NumberedList">
    <w:name w:val="Numbered List"/>
    <w:basedOn w:val="Normal"/>
    <w:rsid w:val="00EF086C"/>
    <w:pPr>
      <w:spacing w:after="220"/>
      <w:ind w:left="-720"/>
    </w:pPr>
  </w:style>
  <w:style w:type="paragraph" w:styleId="TOC1">
    <w:name w:val="toc 1"/>
    <w:basedOn w:val="Normal"/>
    <w:next w:val="Normal"/>
    <w:semiHidden/>
    <w:rsid w:val="00EF086C"/>
    <w:pPr>
      <w:widowControl w:val="0"/>
      <w:tabs>
        <w:tab w:val="right" w:leader="dot" w:pos="10800"/>
      </w:tabs>
      <w:spacing w:before="220"/>
      <w:ind w:left="720" w:right="720" w:hanging="720"/>
      <w:jc w:val="both"/>
    </w:pPr>
    <w:rPr>
      <w:caps/>
    </w:rPr>
  </w:style>
  <w:style w:type="paragraph" w:styleId="TOC3">
    <w:name w:val="toc 3"/>
    <w:basedOn w:val="Normal"/>
    <w:next w:val="Normal"/>
    <w:semiHidden/>
    <w:rsid w:val="00EF086C"/>
    <w:pPr>
      <w:widowControl w:val="0"/>
      <w:tabs>
        <w:tab w:val="left" w:pos="6480"/>
        <w:tab w:val="right" w:leader="dot" w:pos="13680"/>
      </w:tabs>
      <w:ind w:left="2160" w:right="720" w:hanging="720"/>
      <w:jc w:val="both"/>
    </w:pPr>
  </w:style>
  <w:style w:type="paragraph" w:styleId="TOC4">
    <w:name w:val="toc 4"/>
    <w:basedOn w:val="Normal"/>
    <w:next w:val="Normal"/>
    <w:semiHidden/>
    <w:rsid w:val="00EF086C"/>
    <w:pPr>
      <w:widowControl w:val="0"/>
      <w:tabs>
        <w:tab w:val="left" w:pos="8640"/>
        <w:tab w:val="right" w:leader="dot" w:pos="15120"/>
      </w:tabs>
      <w:ind w:left="2880" w:right="720" w:hanging="720"/>
      <w:jc w:val="both"/>
    </w:pPr>
  </w:style>
  <w:style w:type="paragraph" w:styleId="TOC5">
    <w:name w:val="toc 5"/>
    <w:basedOn w:val="Normal"/>
    <w:next w:val="Normal"/>
    <w:semiHidden/>
    <w:rsid w:val="00EF086C"/>
    <w:pPr>
      <w:widowControl w:val="0"/>
      <w:tabs>
        <w:tab w:val="left" w:pos="10800"/>
        <w:tab w:val="right" w:leader="dot" w:pos="16560"/>
      </w:tabs>
      <w:ind w:left="3600" w:right="720" w:hanging="720"/>
      <w:jc w:val="both"/>
    </w:pPr>
  </w:style>
  <w:style w:type="paragraph" w:styleId="TOC6">
    <w:name w:val="toc 6"/>
    <w:basedOn w:val="Normal"/>
    <w:next w:val="Normal"/>
    <w:semiHidden/>
    <w:rsid w:val="00EF086C"/>
    <w:pPr>
      <w:widowControl w:val="0"/>
      <w:tabs>
        <w:tab w:val="left" w:leader="dot" w:pos="10800"/>
      </w:tabs>
      <w:ind w:left="720" w:hanging="720"/>
      <w:jc w:val="both"/>
    </w:pPr>
  </w:style>
  <w:style w:type="paragraph" w:styleId="TOC7">
    <w:name w:val="toc 7"/>
    <w:basedOn w:val="Normal"/>
    <w:next w:val="Normal"/>
    <w:semiHidden/>
    <w:rsid w:val="00EF086C"/>
    <w:pPr>
      <w:widowControl w:val="0"/>
      <w:tabs>
        <w:tab w:val="left" w:leader="dot" w:pos="10800"/>
      </w:tabs>
      <w:ind w:left="720" w:hanging="720"/>
      <w:jc w:val="both"/>
    </w:pPr>
  </w:style>
  <w:style w:type="paragraph" w:styleId="TOC8">
    <w:name w:val="toc 8"/>
    <w:basedOn w:val="Normal"/>
    <w:next w:val="Normal"/>
    <w:semiHidden/>
    <w:rsid w:val="00EF086C"/>
    <w:pPr>
      <w:widowControl w:val="0"/>
      <w:tabs>
        <w:tab w:val="left" w:leader="dot" w:pos="10800"/>
      </w:tabs>
      <w:ind w:left="720" w:hanging="720"/>
      <w:jc w:val="both"/>
    </w:pPr>
  </w:style>
  <w:style w:type="paragraph" w:styleId="TOC9">
    <w:name w:val="toc 9"/>
    <w:basedOn w:val="Normal"/>
    <w:next w:val="Normal"/>
    <w:semiHidden/>
    <w:rsid w:val="00EF086C"/>
    <w:pPr>
      <w:tabs>
        <w:tab w:val="left" w:leader="dot" w:pos="10800"/>
      </w:tabs>
      <w:ind w:left="720" w:hanging="720"/>
      <w:jc w:val="both"/>
    </w:pPr>
  </w:style>
  <w:style w:type="paragraph" w:styleId="Title">
    <w:name w:val="Title"/>
    <w:basedOn w:val="Normal"/>
    <w:next w:val="Subtitle"/>
    <w:qFormat/>
    <w:rsid w:val="00EF086C"/>
    <w:pPr>
      <w:jc w:val="center"/>
    </w:pPr>
    <w:rPr>
      <w:b/>
    </w:rPr>
  </w:style>
  <w:style w:type="paragraph" w:styleId="Subtitle">
    <w:name w:val="Subtitle"/>
    <w:basedOn w:val="Heading"/>
    <w:next w:val="BodyText"/>
    <w:qFormat/>
    <w:rsid w:val="00EF086C"/>
    <w:pPr>
      <w:jc w:val="center"/>
    </w:pPr>
    <w:rPr>
      <w:i/>
      <w:iCs/>
    </w:rPr>
  </w:style>
  <w:style w:type="paragraph" w:styleId="BalloonText">
    <w:name w:val="Balloon Text"/>
    <w:basedOn w:val="Normal"/>
    <w:rsid w:val="00EF086C"/>
    <w:rPr>
      <w:rFonts w:ascii="Tahoma" w:hAnsi="Tahoma" w:cs="Tahoma"/>
      <w:sz w:val="16"/>
      <w:szCs w:val="16"/>
    </w:rPr>
  </w:style>
  <w:style w:type="paragraph" w:customStyle="1" w:styleId="TableContents">
    <w:name w:val="Table Contents"/>
    <w:basedOn w:val="Normal"/>
    <w:rsid w:val="00EF086C"/>
    <w:pPr>
      <w:suppressLineNumbers/>
    </w:pPr>
  </w:style>
  <w:style w:type="paragraph" w:customStyle="1" w:styleId="TableHeading">
    <w:name w:val="Table Heading"/>
    <w:basedOn w:val="TableContents"/>
    <w:rsid w:val="00EF086C"/>
    <w:pPr>
      <w:jc w:val="center"/>
    </w:pPr>
    <w:rPr>
      <w:b/>
      <w:bCs/>
    </w:rPr>
  </w:style>
  <w:style w:type="paragraph" w:customStyle="1" w:styleId="Framecontents">
    <w:name w:val="Frame contents"/>
    <w:basedOn w:val="BodyText"/>
    <w:rsid w:val="00EF086C"/>
  </w:style>
  <w:style w:type="paragraph" w:styleId="Revision">
    <w:name w:val="Revision"/>
    <w:hidden/>
    <w:uiPriority w:val="99"/>
    <w:semiHidden/>
    <w:rsid w:val="00EF086C"/>
    <w:rPr>
      <w:sz w:val="22"/>
      <w:lang w:eastAsia="ar-SA"/>
    </w:rPr>
  </w:style>
  <w:style w:type="character" w:styleId="CommentReference">
    <w:name w:val="annotation reference"/>
    <w:semiHidden/>
    <w:rsid w:val="00EF086C"/>
    <w:rPr>
      <w:sz w:val="16"/>
      <w:szCs w:val="16"/>
    </w:rPr>
  </w:style>
  <w:style w:type="paragraph" w:styleId="CommentText">
    <w:name w:val="annotation text"/>
    <w:basedOn w:val="Normal"/>
    <w:semiHidden/>
    <w:rsid w:val="00EF086C"/>
    <w:rPr>
      <w:sz w:val="20"/>
    </w:rPr>
  </w:style>
  <w:style w:type="paragraph" w:styleId="CommentSubject">
    <w:name w:val="annotation subject"/>
    <w:basedOn w:val="CommentText"/>
    <w:next w:val="CommentText"/>
    <w:semiHidden/>
    <w:rsid w:val="00EF086C"/>
    <w:rPr>
      <w:b/>
      <w:bCs/>
    </w:rPr>
  </w:style>
  <w:style w:type="character" w:customStyle="1" w:styleId="FootnoteTextChar2">
    <w:name w:val="Footnote Text Char2"/>
    <w:aliases w:val="Footnote Text Char5 Char1,Footnote Text Char1 Char Char,Footnote Text Char3 Char Char1 Char,Footnote Text Char2 Char1 Char Char1 Char,Footnote Text Char1 Char Char Char Char Char,Footnote Text Char2 Char Char Char Char Char1 Char"/>
    <w:link w:val="FootnoteText"/>
    <w:rsid w:val="00EF086C"/>
    <w:rPr>
      <w:lang w:val="en-US" w:eastAsia="ar-SA" w:bidi="ar-SA"/>
    </w:rPr>
  </w:style>
  <w:style w:type="character" w:customStyle="1" w:styleId="apple-style-span">
    <w:name w:val="apple-style-span"/>
    <w:basedOn w:val="DefaultParagraphFont"/>
    <w:rsid w:val="00E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940">
      <w:bodyDiv w:val="1"/>
      <w:marLeft w:val="0"/>
      <w:marRight w:val="0"/>
      <w:marTop w:val="0"/>
      <w:marBottom w:val="0"/>
      <w:divBdr>
        <w:top w:val="none" w:sz="0" w:space="0" w:color="auto"/>
        <w:left w:val="none" w:sz="0" w:space="0" w:color="auto"/>
        <w:bottom w:val="none" w:sz="0" w:space="0" w:color="auto"/>
        <w:right w:val="none" w:sz="0" w:space="0" w:color="auto"/>
      </w:divBdr>
      <w:divsChild>
        <w:div w:id="1062828828">
          <w:marLeft w:val="0"/>
          <w:marRight w:val="0"/>
          <w:marTop w:val="0"/>
          <w:marBottom w:val="0"/>
          <w:divBdr>
            <w:top w:val="none" w:sz="0" w:space="0" w:color="auto"/>
            <w:left w:val="none" w:sz="0" w:space="0" w:color="auto"/>
            <w:bottom w:val="none" w:sz="0" w:space="0" w:color="auto"/>
            <w:right w:val="none" w:sz="0" w:space="0" w:color="auto"/>
          </w:divBdr>
        </w:div>
        <w:div w:id="554243416">
          <w:marLeft w:val="0"/>
          <w:marRight w:val="0"/>
          <w:marTop w:val="0"/>
          <w:marBottom w:val="0"/>
          <w:divBdr>
            <w:top w:val="none" w:sz="0" w:space="0" w:color="auto"/>
            <w:left w:val="none" w:sz="0" w:space="0" w:color="auto"/>
            <w:bottom w:val="none" w:sz="0" w:space="0" w:color="auto"/>
            <w:right w:val="none" w:sz="0" w:space="0" w:color="auto"/>
          </w:divBdr>
        </w:div>
        <w:div w:id="1385788493">
          <w:marLeft w:val="0"/>
          <w:marRight w:val="0"/>
          <w:marTop w:val="0"/>
          <w:marBottom w:val="0"/>
          <w:divBdr>
            <w:top w:val="none" w:sz="0" w:space="0" w:color="auto"/>
            <w:left w:val="none" w:sz="0" w:space="0" w:color="auto"/>
            <w:bottom w:val="none" w:sz="0" w:space="0" w:color="auto"/>
            <w:right w:val="none" w:sz="0" w:space="0" w:color="auto"/>
          </w:divBdr>
        </w:div>
        <w:div w:id="1708137623">
          <w:marLeft w:val="0"/>
          <w:marRight w:val="0"/>
          <w:marTop w:val="0"/>
          <w:marBottom w:val="0"/>
          <w:divBdr>
            <w:top w:val="none" w:sz="0" w:space="0" w:color="auto"/>
            <w:left w:val="none" w:sz="0" w:space="0" w:color="auto"/>
            <w:bottom w:val="none" w:sz="0" w:space="0" w:color="auto"/>
            <w:right w:val="none" w:sz="0" w:space="0" w:color="auto"/>
          </w:divBdr>
        </w:div>
        <w:div w:id="1736004253">
          <w:marLeft w:val="0"/>
          <w:marRight w:val="0"/>
          <w:marTop w:val="0"/>
          <w:marBottom w:val="0"/>
          <w:divBdr>
            <w:top w:val="none" w:sz="0" w:space="0" w:color="auto"/>
            <w:left w:val="none" w:sz="0" w:space="0" w:color="auto"/>
            <w:bottom w:val="none" w:sz="0" w:space="0" w:color="auto"/>
            <w:right w:val="none" w:sz="0" w:space="0" w:color="auto"/>
          </w:divBdr>
        </w:div>
        <w:div w:id="1592276540">
          <w:marLeft w:val="0"/>
          <w:marRight w:val="0"/>
          <w:marTop w:val="0"/>
          <w:marBottom w:val="0"/>
          <w:divBdr>
            <w:top w:val="none" w:sz="0" w:space="0" w:color="auto"/>
            <w:left w:val="none" w:sz="0" w:space="0" w:color="auto"/>
            <w:bottom w:val="none" w:sz="0" w:space="0" w:color="auto"/>
            <w:right w:val="none" w:sz="0" w:space="0" w:color="auto"/>
          </w:divBdr>
        </w:div>
        <w:div w:id="949704083">
          <w:marLeft w:val="0"/>
          <w:marRight w:val="0"/>
          <w:marTop w:val="0"/>
          <w:marBottom w:val="0"/>
          <w:divBdr>
            <w:top w:val="none" w:sz="0" w:space="0" w:color="auto"/>
            <w:left w:val="none" w:sz="0" w:space="0" w:color="auto"/>
            <w:bottom w:val="none" w:sz="0" w:space="0" w:color="auto"/>
            <w:right w:val="none" w:sz="0" w:space="0" w:color="auto"/>
          </w:divBdr>
        </w:div>
        <w:div w:id="45494089">
          <w:marLeft w:val="0"/>
          <w:marRight w:val="0"/>
          <w:marTop w:val="0"/>
          <w:marBottom w:val="0"/>
          <w:divBdr>
            <w:top w:val="none" w:sz="0" w:space="0" w:color="auto"/>
            <w:left w:val="none" w:sz="0" w:space="0" w:color="auto"/>
            <w:bottom w:val="none" w:sz="0" w:space="0" w:color="auto"/>
            <w:right w:val="none" w:sz="0" w:space="0" w:color="auto"/>
          </w:divBdr>
        </w:div>
        <w:div w:id="687800508">
          <w:marLeft w:val="0"/>
          <w:marRight w:val="0"/>
          <w:marTop w:val="0"/>
          <w:marBottom w:val="0"/>
          <w:divBdr>
            <w:top w:val="none" w:sz="0" w:space="0" w:color="auto"/>
            <w:left w:val="none" w:sz="0" w:space="0" w:color="auto"/>
            <w:bottom w:val="none" w:sz="0" w:space="0" w:color="auto"/>
            <w:right w:val="none" w:sz="0" w:space="0" w:color="auto"/>
          </w:divBdr>
        </w:div>
        <w:div w:id="964971082">
          <w:marLeft w:val="0"/>
          <w:marRight w:val="0"/>
          <w:marTop w:val="0"/>
          <w:marBottom w:val="0"/>
          <w:divBdr>
            <w:top w:val="none" w:sz="0" w:space="0" w:color="auto"/>
            <w:left w:val="none" w:sz="0" w:space="0" w:color="auto"/>
            <w:bottom w:val="none" w:sz="0" w:space="0" w:color="auto"/>
            <w:right w:val="none" w:sz="0" w:space="0" w:color="auto"/>
          </w:divBdr>
        </w:div>
        <w:div w:id="559563377">
          <w:marLeft w:val="0"/>
          <w:marRight w:val="0"/>
          <w:marTop w:val="0"/>
          <w:marBottom w:val="0"/>
          <w:divBdr>
            <w:top w:val="none" w:sz="0" w:space="0" w:color="auto"/>
            <w:left w:val="none" w:sz="0" w:space="0" w:color="auto"/>
            <w:bottom w:val="none" w:sz="0" w:space="0" w:color="auto"/>
            <w:right w:val="none" w:sz="0" w:space="0" w:color="auto"/>
          </w:divBdr>
        </w:div>
        <w:div w:id="1983345221">
          <w:marLeft w:val="0"/>
          <w:marRight w:val="0"/>
          <w:marTop w:val="0"/>
          <w:marBottom w:val="0"/>
          <w:divBdr>
            <w:top w:val="none" w:sz="0" w:space="0" w:color="auto"/>
            <w:left w:val="none" w:sz="0" w:space="0" w:color="auto"/>
            <w:bottom w:val="none" w:sz="0" w:space="0" w:color="auto"/>
            <w:right w:val="none" w:sz="0" w:space="0" w:color="auto"/>
          </w:divBdr>
        </w:div>
        <w:div w:id="1858159213">
          <w:marLeft w:val="0"/>
          <w:marRight w:val="0"/>
          <w:marTop w:val="0"/>
          <w:marBottom w:val="0"/>
          <w:divBdr>
            <w:top w:val="none" w:sz="0" w:space="0" w:color="auto"/>
            <w:left w:val="none" w:sz="0" w:space="0" w:color="auto"/>
            <w:bottom w:val="none" w:sz="0" w:space="0" w:color="auto"/>
            <w:right w:val="none" w:sz="0" w:space="0" w:color="auto"/>
          </w:divBdr>
        </w:div>
        <w:div w:id="1804233061">
          <w:marLeft w:val="0"/>
          <w:marRight w:val="0"/>
          <w:marTop w:val="0"/>
          <w:marBottom w:val="0"/>
          <w:divBdr>
            <w:top w:val="none" w:sz="0" w:space="0" w:color="auto"/>
            <w:left w:val="none" w:sz="0" w:space="0" w:color="auto"/>
            <w:bottom w:val="none" w:sz="0" w:space="0" w:color="auto"/>
            <w:right w:val="none" w:sz="0" w:space="0" w:color="auto"/>
          </w:divBdr>
        </w:div>
        <w:div w:id="1915310436">
          <w:marLeft w:val="0"/>
          <w:marRight w:val="0"/>
          <w:marTop w:val="0"/>
          <w:marBottom w:val="0"/>
          <w:divBdr>
            <w:top w:val="none" w:sz="0" w:space="0" w:color="auto"/>
            <w:left w:val="none" w:sz="0" w:space="0" w:color="auto"/>
            <w:bottom w:val="none" w:sz="0" w:space="0" w:color="auto"/>
            <w:right w:val="none" w:sz="0" w:space="0" w:color="auto"/>
          </w:divBdr>
        </w:div>
        <w:div w:id="288824192">
          <w:marLeft w:val="0"/>
          <w:marRight w:val="0"/>
          <w:marTop w:val="0"/>
          <w:marBottom w:val="0"/>
          <w:divBdr>
            <w:top w:val="none" w:sz="0" w:space="0" w:color="auto"/>
            <w:left w:val="none" w:sz="0" w:space="0" w:color="auto"/>
            <w:bottom w:val="none" w:sz="0" w:space="0" w:color="auto"/>
            <w:right w:val="none" w:sz="0" w:space="0" w:color="auto"/>
          </w:divBdr>
        </w:div>
        <w:div w:id="268003879">
          <w:marLeft w:val="0"/>
          <w:marRight w:val="0"/>
          <w:marTop w:val="0"/>
          <w:marBottom w:val="0"/>
          <w:divBdr>
            <w:top w:val="none" w:sz="0" w:space="0" w:color="auto"/>
            <w:left w:val="none" w:sz="0" w:space="0" w:color="auto"/>
            <w:bottom w:val="none" w:sz="0" w:space="0" w:color="auto"/>
            <w:right w:val="none" w:sz="0" w:space="0" w:color="auto"/>
          </w:divBdr>
        </w:div>
        <w:div w:id="1885873262">
          <w:marLeft w:val="0"/>
          <w:marRight w:val="0"/>
          <w:marTop w:val="0"/>
          <w:marBottom w:val="0"/>
          <w:divBdr>
            <w:top w:val="none" w:sz="0" w:space="0" w:color="auto"/>
            <w:left w:val="none" w:sz="0" w:space="0" w:color="auto"/>
            <w:bottom w:val="none" w:sz="0" w:space="0" w:color="auto"/>
            <w:right w:val="none" w:sz="0" w:space="0" w:color="auto"/>
          </w:divBdr>
        </w:div>
        <w:div w:id="881091146">
          <w:marLeft w:val="0"/>
          <w:marRight w:val="0"/>
          <w:marTop w:val="0"/>
          <w:marBottom w:val="0"/>
          <w:divBdr>
            <w:top w:val="none" w:sz="0" w:space="0" w:color="auto"/>
            <w:left w:val="none" w:sz="0" w:space="0" w:color="auto"/>
            <w:bottom w:val="none" w:sz="0" w:space="0" w:color="auto"/>
            <w:right w:val="none" w:sz="0" w:space="0" w:color="auto"/>
          </w:divBdr>
        </w:div>
        <w:div w:id="1298800774">
          <w:marLeft w:val="0"/>
          <w:marRight w:val="0"/>
          <w:marTop w:val="0"/>
          <w:marBottom w:val="0"/>
          <w:divBdr>
            <w:top w:val="none" w:sz="0" w:space="0" w:color="auto"/>
            <w:left w:val="none" w:sz="0" w:space="0" w:color="auto"/>
            <w:bottom w:val="none" w:sz="0" w:space="0" w:color="auto"/>
            <w:right w:val="none" w:sz="0" w:space="0" w:color="auto"/>
          </w:divBdr>
        </w:div>
        <w:div w:id="901716406">
          <w:marLeft w:val="0"/>
          <w:marRight w:val="0"/>
          <w:marTop w:val="0"/>
          <w:marBottom w:val="0"/>
          <w:divBdr>
            <w:top w:val="none" w:sz="0" w:space="0" w:color="auto"/>
            <w:left w:val="none" w:sz="0" w:space="0" w:color="auto"/>
            <w:bottom w:val="none" w:sz="0" w:space="0" w:color="auto"/>
            <w:right w:val="none" w:sz="0" w:space="0" w:color="auto"/>
          </w:divBdr>
        </w:div>
        <w:div w:id="2028630065">
          <w:marLeft w:val="0"/>
          <w:marRight w:val="0"/>
          <w:marTop w:val="0"/>
          <w:marBottom w:val="0"/>
          <w:divBdr>
            <w:top w:val="none" w:sz="0" w:space="0" w:color="auto"/>
            <w:left w:val="none" w:sz="0" w:space="0" w:color="auto"/>
            <w:bottom w:val="none" w:sz="0" w:space="0" w:color="auto"/>
            <w:right w:val="none" w:sz="0" w:space="0" w:color="auto"/>
          </w:divBdr>
        </w:div>
        <w:div w:id="908081030">
          <w:marLeft w:val="0"/>
          <w:marRight w:val="0"/>
          <w:marTop w:val="0"/>
          <w:marBottom w:val="0"/>
          <w:divBdr>
            <w:top w:val="none" w:sz="0" w:space="0" w:color="auto"/>
            <w:left w:val="none" w:sz="0" w:space="0" w:color="auto"/>
            <w:bottom w:val="none" w:sz="0" w:space="0" w:color="auto"/>
            <w:right w:val="none" w:sz="0" w:space="0" w:color="auto"/>
          </w:divBdr>
        </w:div>
        <w:div w:id="887113007">
          <w:marLeft w:val="0"/>
          <w:marRight w:val="0"/>
          <w:marTop w:val="0"/>
          <w:marBottom w:val="0"/>
          <w:divBdr>
            <w:top w:val="none" w:sz="0" w:space="0" w:color="auto"/>
            <w:left w:val="none" w:sz="0" w:space="0" w:color="auto"/>
            <w:bottom w:val="none" w:sz="0" w:space="0" w:color="auto"/>
            <w:right w:val="none" w:sz="0" w:space="0" w:color="auto"/>
          </w:divBdr>
        </w:div>
        <w:div w:id="895506384">
          <w:marLeft w:val="0"/>
          <w:marRight w:val="0"/>
          <w:marTop w:val="0"/>
          <w:marBottom w:val="0"/>
          <w:divBdr>
            <w:top w:val="none" w:sz="0" w:space="0" w:color="auto"/>
            <w:left w:val="none" w:sz="0" w:space="0" w:color="auto"/>
            <w:bottom w:val="none" w:sz="0" w:space="0" w:color="auto"/>
            <w:right w:val="none" w:sz="0" w:space="0" w:color="auto"/>
          </w:divBdr>
        </w:div>
        <w:div w:id="2032798403">
          <w:marLeft w:val="0"/>
          <w:marRight w:val="0"/>
          <w:marTop w:val="0"/>
          <w:marBottom w:val="0"/>
          <w:divBdr>
            <w:top w:val="none" w:sz="0" w:space="0" w:color="auto"/>
            <w:left w:val="none" w:sz="0" w:space="0" w:color="auto"/>
            <w:bottom w:val="none" w:sz="0" w:space="0" w:color="auto"/>
            <w:right w:val="none" w:sz="0" w:space="0" w:color="auto"/>
          </w:divBdr>
        </w:div>
        <w:div w:id="2027444241">
          <w:marLeft w:val="0"/>
          <w:marRight w:val="0"/>
          <w:marTop w:val="0"/>
          <w:marBottom w:val="0"/>
          <w:divBdr>
            <w:top w:val="none" w:sz="0" w:space="0" w:color="auto"/>
            <w:left w:val="none" w:sz="0" w:space="0" w:color="auto"/>
            <w:bottom w:val="none" w:sz="0" w:space="0" w:color="auto"/>
            <w:right w:val="none" w:sz="0" w:space="0" w:color="auto"/>
          </w:divBdr>
        </w:div>
        <w:div w:id="418672383">
          <w:marLeft w:val="0"/>
          <w:marRight w:val="0"/>
          <w:marTop w:val="0"/>
          <w:marBottom w:val="0"/>
          <w:divBdr>
            <w:top w:val="none" w:sz="0" w:space="0" w:color="auto"/>
            <w:left w:val="none" w:sz="0" w:space="0" w:color="auto"/>
            <w:bottom w:val="none" w:sz="0" w:space="0" w:color="auto"/>
            <w:right w:val="none" w:sz="0" w:space="0" w:color="auto"/>
          </w:divBdr>
        </w:div>
        <w:div w:id="1236626082">
          <w:marLeft w:val="0"/>
          <w:marRight w:val="0"/>
          <w:marTop w:val="0"/>
          <w:marBottom w:val="0"/>
          <w:divBdr>
            <w:top w:val="none" w:sz="0" w:space="0" w:color="auto"/>
            <w:left w:val="none" w:sz="0" w:space="0" w:color="auto"/>
            <w:bottom w:val="none" w:sz="0" w:space="0" w:color="auto"/>
            <w:right w:val="none" w:sz="0" w:space="0" w:color="auto"/>
          </w:divBdr>
        </w:div>
        <w:div w:id="1738279068">
          <w:marLeft w:val="0"/>
          <w:marRight w:val="0"/>
          <w:marTop w:val="0"/>
          <w:marBottom w:val="0"/>
          <w:divBdr>
            <w:top w:val="none" w:sz="0" w:space="0" w:color="auto"/>
            <w:left w:val="none" w:sz="0" w:space="0" w:color="auto"/>
            <w:bottom w:val="none" w:sz="0" w:space="0" w:color="auto"/>
            <w:right w:val="none" w:sz="0" w:space="0" w:color="auto"/>
          </w:divBdr>
        </w:div>
        <w:div w:id="1668945997">
          <w:marLeft w:val="0"/>
          <w:marRight w:val="0"/>
          <w:marTop w:val="0"/>
          <w:marBottom w:val="0"/>
          <w:divBdr>
            <w:top w:val="none" w:sz="0" w:space="0" w:color="auto"/>
            <w:left w:val="none" w:sz="0" w:space="0" w:color="auto"/>
            <w:bottom w:val="none" w:sz="0" w:space="0" w:color="auto"/>
            <w:right w:val="none" w:sz="0" w:space="0" w:color="auto"/>
          </w:divBdr>
        </w:div>
        <w:div w:id="1682465703">
          <w:marLeft w:val="0"/>
          <w:marRight w:val="0"/>
          <w:marTop w:val="0"/>
          <w:marBottom w:val="0"/>
          <w:divBdr>
            <w:top w:val="none" w:sz="0" w:space="0" w:color="auto"/>
            <w:left w:val="none" w:sz="0" w:space="0" w:color="auto"/>
            <w:bottom w:val="none" w:sz="0" w:space="0" w:color="auto"/>
            <w:right w:val="none" w:sz="0" w:space="0" w:color="auto"/>
          </w:divBdr>
        </w:div>
        <w:div w:id="529807235">
          <w:marLeft w:val="0"/>
          <w:marRight w:val="0"/>
          <w:marTop w:val="0"/>
          <w:marBottom w:val="0"/>
          <w:divBdr>
            <w:top w:val="none" w:sz="0" w:space="0" w:color="auto"/>
            <w:left w:val="none" w:sz="0" w:space="0" w:color="auto"/>
            <w:bottom w:val="none" w:sz="0" w:space="0" w:color="auto"/>
            <w:right w:val="none" w:sz="0" w:space="0" w:color="auto"/>
          </w:divBdr>
        </w:div>
        <w:div w:id="884681660">
          <w:marLeft w:val="0"/>
          <w:marRight w:val="0"/>
          <w:marTop w:val="0"/>
          <w:marBottom w:val="0"/>
          <w:divBdr>
            <w:top w:val="none" w:sz="0" w:space="0" w:color="auto"/>
            <w:left w:val="none" w:sz="0" w:space="0" w:color="auto"/>
            <w:bottom w:val="none" w:sz="0" w:space="0" w:color="auto"/>
            <w:right w:val="none" w:sz="0" w:space="0" w:color="auto"/>
          </w:divBdr>
        </w:div>
        <w:div w:id="1466702695">
          <w:marLeft w:val="0"/>
          <w:marRight w:val="0"/>
          <w:marTop w:val="0"/>
          <w:marBottom w:val="0"/>
          <w:divBdr>
            <w:top w:val="none" w:sz="0" w:space="0" w:color="auto"/>
            <w:left w:val="none" w:sz="0" w:space="0" w:color="auto"/>
            <w:bottom w:val="none" w:sz="0" w:space="0" w:color="auto"/>
            <w:right w:val="none" w:sz="0" w:space="0" w:color="auto"/>
          </w:divBdr>
        </w:div>
        <w:div w:id="1392382146">
          <w:marLeft w:val="0"/>
          <w:marRight w:val="0"/>
          <w:marTop w:val="0"/>
          <w:marBottom w:val="0"/>
          <w:divBdr>
            <w:top w:val="none" w:sz="0" w:space="0" w:color="auto"/>
            <w:left w:val="none" w:sz="0" w:space="0" w:color="auto"/>
            <w:bottom w:val="none" w:sz="0" w:space="0" w:color="auto"/>
            <w:right w:val="none" w:sz="0" w:space="0" w:color="auto"/>
          </w:divBdr>
        </w:div>
        <w:div w:id="1754472394">
          <w:marLeft w:val="0"/>
          <w:marRight w:val="0"/>
          <w:marTop w:val="0"/>
          <w:marBottom w:val="0"/>
          <w:divBdr>
            <w:top w:val="none" w:sz="0" w:space="0" w:color="auto"/>
            <w:left w:val="none" w:sz="0" w:space="0" w:color="auto"/>
            <w:bottom w:val="none" w:sz="0" w:space="0" w:color="auto"/>
            <w:right w:val="none" w:sz="0" w:space="0" w:color="auto"/>
          </w:divBdr>
        </w:div>
        <w:div w:id="322320992">
          <w:marLeft w:val="0"/>
          <w:marRight w:val="0"/>
          <w:marTop w:val="0"/>
          <w:marBottom w:val="0"/>
          <w:divBdr>
            <w:top w:val="none" w:sz="0" w:space="0" w:color="auto"/>
            <w:left w:val="none" w:sz="0" w:space="0" w:color="auto"/>
            <w:bottom w:val="none" w:sz="0" w:space="0" w:color="auto"/>
            <w:right w:val="none" w:sz="0" w:space="0" w:color="auto"/>
          </w:divBdr>
        </w:div>
        <w:div w:id="315380471">
          <w:marLeft w:val="0"/>
          <w:marRight w:val="0"/>
          <w:marTop w:val="0"/>
          <w:marBottom w:val="0"/>
          <w:divBdr>
            <w:top w:val="none" w:sz="0" w:space="0" w:color="auto"/>
            <w:left w:val="none" w:sz="0" w:space="0" w:color="auto"/>
            <w:bottom w:val="none" w:sz="0" w:space="0" w:color="auto"/>
            <w:right w:val="none" w:sz="0" w:space="0" w:color="auto"/>
          </w:divBdr>
        </w:div>
        <w:div w:id="2002654546">
          <w:marLeft w:val="0"/>
          <w:marRight w:val="0"/>
          <w:marTop w:val="0"/>
          <w:marBottom w:val="0"/>
          <w:divBdr>
            <w:top w:val="none" w:sz="0" w:space="0" w:color="auto"/>
            <w:left w:val="none" w:sz="0" w:space="0" w:color="auto"/>
            <w:bottom w:val="none" w:sz="0" w:space="0" w:color="auto"/>
            <w:right w:val="none" w:sz="0" w:space="0" w:color="auto"/>
          </w:divBdr>
        </w:div>
        <w:div w:id="1776444389">
          <w:marLeft w:val="0"/>
          <w:marRight w:val="0"/>
          <w:marTop w:val="0"/>
          <w:marBottom w:val="0"/>
          <w:divBdr>
            <w:top w:val="none" w:sz="0" w:space="0" w:color="auto"/>
            <w:left w:val="none" w:sz="0" w:space="0" w:color="auto"/>
            <w:bottom w:val="none" w:sz="0" w:space="0" w:color="auto"/>
            <w:right w:val="none" w:sz="0" w:space="0" w:color="auto"/>
          </w:divBdr>
        </w:div>
        <w:div w:id="1937519606">
          <w:marLeft w:val="0"/>
          <w:marRight w:val="0"/>
          <w:marTop w:val="0"/>
          <w:marBottom w:val="0"/>
          <w:divBdr>
            <w:top w:val="none" w:sz="0" w:space="0" w:color="auto"/>
            <w:left w:val="none" w:sz="0" w:space="0" w:color="auto"/>
            <w:bottom w:val="none" w:sz="0" w:space="0" w:color="auto"/>
            <w:right w:val="none" w:sz="0" w:space="0" w:color="auto"/>
          </w:divBdr>
        </w:div>
        <w:div w:id="2096511178">
          <w:marLeft w:val="0"/>
          <w:marRight w:val="0"/>
          <w:marTop w:val="0"/>
          <w:marBottom w:val="0"/>
          <w:divBdr>
            <w:top w:val="none" w:sz="0" w:space="0" w:color="auto"/>
            <w:left w:val="none" w:sz="0" w:space="0" w:color="auto"/>
            <w:bottom w:val="none" w:sz="0" w:space="0" w:color="auto"/>
            <w:right w:val="none" w:sz="0" w:space="0" w:color="auto"/>
          </w:divBdr>
        </w:div>
        <w:div w:id="1209142576">
          <w:marLeft w:val="0"/>
          <w:marRight w:val="0"/>
          <w:marTop w:val="0"/>
          <w:marBottom w:val="0"/>
          <w:divBdr>
            <w:top w:val="none" w:sz="0" w:space="0" w:color="auto"/>
            <w:left w:val="none" w:sz="0" w:space="0" w:color="auto"/>
            <w:bottom w:val="none" w:sz="0" w:space="0" w:color="auto"/>
            <w:right w:val="none" w:sz="0" w:space="0" w:color="auto"/>
          </w:divBdr>
        </w:div>
        <w:div w:id="2009092168">
          <w:marLeft w:val="0"/>
          <w:marRight w:val="0"/>
          <w:marTop w:val="0"/>
          <w:marBottom w:val="0"/>
          <w:divBdr>
            <w:top w:val="none" w:sz="0" w:space="0" w:color="auto"/>
            <w:left w:val="none" w:sz="0" w:space="0" w:color="auto"/>
            <w:bottom w:val="none" w:sz="0" w:space="0" w:color="auto"/>
            <w:right w:val="none" w:sz="0" w:space="0" w:color="auto"/>
          </w:divBdr>
        </w:div>
      </w:divsChild>
    </w:div>
    <w:div w:id="198854992">
      <w:bodyDiv w:val="1"/>
      <w:marLeft w:val="0"/>
      <w:marRight w:val="0"/>
      <w:marTop w:val="0"/>
      <w:marBottom w:val="0"/>
      <w:divBdr>
        <w:top w:val="none" w:sz="0" w:space="0" w:color="auto"/>
        <w:left w:val="none" w:sz="0" w:space="0" w:color="auto"/>
        <w:bottom w:val="none" w:sz="0" w:space="0" w:color="auto"/>
        <w:right w:val="none" w:sz="0" w:space="0" w:color="auto"/>
      </w:divBdr>
    </w:div>
    <w:div w:id="597256509">
      <w:bodyDiv w:val="1"/>
      <w:marLeft w:val="0"/>
      <w:marRight w:val="0"/>
      <w:marTop w:val="0"/>
      <w:marBottom w:val="0"/>
      <w:divBdr>
        <w:top w:val="none" w:sz="0" w:space="0" w:color="auto"/>
        <w:left w:val="none" w:sz="0" w:space="0" w:color="auto"/>
        <w:bottom w:val="none" w:sz="0" w:space="0" w:color="auto"/>
        <w:right w:val="none" w:sz="0" w:space="0" w:color="auto"/>
      </w:divBdr>
    </w:div>
    <w:div w:id="671644419">
      <w:bodyDiv w:val="1"/>
      <w:marLeft w:val="0"/>
      <w:marRight w:val="0"/>
      <w:marTop w:val="0"/>
      <w:marBottom w:val="0"/>
      <w:divBdr>
        <w:top w:val="none" w:sz="0" w:space="0" w:color="auto"/>
        <w:left w:val="none" w:sz="0" w:space="0" w:color="auto"/>
        <w:bottom w:val="none" w:sz="0" w:space="0" w:color="auto"/>
        <w:right w:val="none" w:sz="0" w:space="0" w:color="auto"/>
      </w:divBdr>
    </w:div>
    <w:div w:id="787548071">
      <w:bodyDiv w:val="1"/>
      <w:marLeft w:val="0"/>
      <w:marRight w:val="0"/>
      <w:marTop w:val="0"/>
      <w:marBottom w:val="0"/>
      <w:divBdr>
        <w:top w:val="none" w:sz="0" w:space="0" w:color="auto"/>
        <w:left w:val="none" w:sz="0" w:space="0" w:color="auto"/>
        <w:bottom w:val="none" w:sz="0" w:space="0" w:color="auto"/>
        <w:right w:val="none" w:sz="0" w:space="0" w:color="auto"/>
      </w:divBdr>
    </w:div>
    <w:div w:id="886987546">
      <w:bodyDiv w:val="1"/>
      <w:marLeft w:val="0"/>
      <w:marRight w:val="0"/>
      <w:marTop w:val="0"/>
      <w:marBottom w:val="0"/>
      <w:divBdr>
        <w:top w:val="none" w:sz="0" w:space="0" w:color="auto"/>
        <w:left w:val="none" w:sz="0" w:space="0" w:color="auto"/>
        <w:bottom w:val="none" w:sz="0" w:space="0" w:color="auto"/>
        <w:right w:val="none" w:sz="0" w:space="0" w:color="auto"/>
      </w:divBdr>
    </w:div>
    <w:div w:id="1078748846">
      <w:bodyDiv w:val="1"/>
      <w:marLeft w:val="0"/>
      <w:marRight w:val="0"/>
      <w:marTop w:val="0"/>
      <w:marBottom w:val="0"/>
      <w:divBdr>
        <w:top w:val="none" w:sz="0" w:space="0" w:color="auto"/>
        <w:left w:val="none" w:sz="0" w:space="0" w:color="auto"/>
        <w:bottom w:val="none" w:sz="0" w:space="0" w:color="auto"/>
        <w:right w:val="none" w:sz="0" w:space="0" w:color="auto"/>
      </w:divBdr>
    </w:div>
    <w:div w:id="1448112517">
      <w:bodyDiv w:val="1"/>
      <w:marLeft w:val="0"/>
      <w:marRight w:val="0"/>
      <w:marTop w:val="0"/>
      <w:marBottom w:val="0"/>
      <w:divBdr>
        <w:top w:val="none" w:sz="0" w:space="0" w:color="auto"/>
        <w:left w:val="none" w:sz="0" w:space="0" w:color="auto"/>
        <w:bottom w:val="none" w:sz="0" w:space="0" w:color="auto"/>
        <w:right w:val="none" w:sz="0" w:space="0" w:color="auto"/>
      </w:divBdr>
    </w:div>
    <w:div w:id="19187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5045</Characters>
  <Application>Microsoft Office Word</Application>
  <DocSecurity>0</DocSecurity>
  <Lines>105</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6044</CharactersWithSpaces>
  <SharedDoc>false</SharedDoc>
  <HyperlinkBase> </HyperlinkBase>
  <HLinks>
    <vt:vector size="6" baseType="variant">
      <vt:variant>
        <vt:i4>1703962</vt:i4>
      </vt:variant>
      <vt:variant>
        <vt:i4>3</vt:i4>
      </vt:variant>
      <vt:variant>
        <vt:i4>0</vt:i4>
      </vt:variant>
      <vt:variant>
        <vt:i4>5</vt:i4>
      </vt:variant>
      <vt:variant>
        <vt:lpwstr>http://www.snl.com/interactivex/article.aspx?ID=17175069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2015-05-04T19:05:00Z</cp:lastPrinted>
  <dcterms:created xsi:type="dcterms:W3CDTF">2016-12-01T20:34:00Z</dcterms:created>
  <dcterms:modified xsi:type="dcterms:W3CDTF">2016-12-01T20:34:00Z</dcterms:modified>
  <cp:category> </cp:category>
  <cp:contentStatus> </cp:contentStatus>
</cp:coreProperties>
</file>