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BA4CB" w14:textId="77777777" w:rsidR="00602577" w:rsidRPr="00AC4637" w:rsidRDefault="00602577">
      <w:pPr>
        <w:pStyle w:val="Header"/>
        <w:tabs>
          <w:tab w:val="clear" w:pos="4320"/>
          <w:tab w:val="clear" w:pos="8640"/>
        </w:tabs>
        <w:rPr>
          <w:sz w:val="23"/>
          <w:szCs w:val="23"/>
        </w:rPr>
        <w:sectPr w:rsidR="00602577" w:rsidRPr="00AC46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14:paraId="5AFE01E5" w14:textId="3A1AB3AA" w:rsidR="00602577" w:rsidRPr="003E30DE" w:rsidRDefault="00740D69">
      <w:pPr>
        <w:jc w:val="right"/>
        <w:rPr>
          <w:szCs w:val="22"/>
        </w:rPr>
      </w:pPr>
      <w:r w:rsidRPr="003E30DE">
        <w:rPr>
          <w:szCs w:val="22"/>
        </w:rPr>
        <w:lastRenderedPageBreak/>
        <w:t>DA 1</w:t>
      </w:r>
      <w:r w:rsidR="00ED18ED">
        <w:rPr>
          <w:szCs w:val="22"/>
        </w:rPr>
        <w:t>6</w:t>
      </w:r>
      <w:r w:rsidRPr="003E30DE">
        <w:rPr>
          <w:szCs w:val="22"/>
        </w:rPr>
        <w:t>-</w:t>
      </w:r>
      <w:r w:rsidR="00015CDA">
        <w:rPr>
          <w:szCs w:val="22"/>
        </w:rPr>
        <w:t>133</w:t>
      </w:r>
    </w:p>
    <w:p w14:paraId="5D9B9BA9" w14:textId="4A6CBC88" w:rsidR="00602577" w:rsidRPr="003E30DE" w:rsidRDefault="004D6DBF">
      <w:pPr>
        <w:spacing w:before="60"/>
        <w:jc w:val="right"/>
        <w:rPr>
          <w:szCs w:val="22"/>
        </w:rPr>
      </w:pPr>
      <w:r w:rsidRPr="003E30DE">
        <w:rPr>
          <w:szCs w:val="22"/>
        </w:rPr>
        <w:t xml:space="preserve">Released:  </w:t>
      </w:r>
      <w:r w:rsidR="00ED18ED">
        <w:rPr>
          <w:szCs w:val="22"/>
        </w:rPr>
        <w:t>February</w:t>
      </w:r>
      <w:r w:rsidRPr="003E30DE">
        <w:rPr>
          <w:szCs w:val="22"/>
        </w:rPr>
        <w:t xml:space="preserve"> </w:t>
      </w:r>
      <w:r w:rsidR="00015CDA">
        <w:rPr>
          <w:szCs w:val="22"/>
        </w:rPr>
        <w:t>5</w:t>
      </w:r>
      <w:r w:rsidR="002E22C0" w:rsidRPr="003E30DE">
        <w:rPr>
          <w:szCs w:val="22"/>
        </w:rPr>
        <w:t>, 201</w:t>
      </w:r>
      <w:r w:rsidR="00ED18ED">
        <w:rPr>
          <w:szCs w:val="22"/>
        </w:rPr>
        <w:t>6</w:t>
      </w:r>
    </w:p>
    <w:p w14:paraId="35AF8AB2" w14:textId="77777777" w:rsidR="00602577" w:rsidRPr="003E30DE" w:rsidRDefault="00602577">
      <w:pPr>
        <w:jc w:val="right"/>
        <w:rPr>
          <w:szCs w:val="22"/>
        </w:rPr>
      </w:pPr>
    </w:p>
    <w:p w14:paraId="79112CDD" w14:textId="1ACB6952" w:rsidR="00740D69" w:rsidRDefault="00740D69" w:rsidP="00F128CC">
      <w:pPr>
        <w:jc w:val="center"/>
        <w:rPr>
          <w:b/>
        </w:rPr>
      </w:pPr>
      <w:r w:rsidRPr="00740D69">
        <w:rPr>
          <w:b/>
        </w:rPr>
        <w:t xml:space="preserve">DEADLINE ESTABLISHED FOR PETITIONS FOR RECONSIDERATION OF THE </w:t>
      </w:r>
      <w:r w:rsidR="007C301E">
        <w:rPr>
          <w:b/>
        </w:rPr>
        <w:t>COMMENCING OPERATIONS REPORT AND ORDER</w:t>
      </w:r>
    </w:p>
    <w:p w14:paraId="35B20CD5" w14:textId="77777777" w:rsidR="00740D69" w:rsidRPr="00740D69" w:rsidRDefault="00740D69" w:rsidP="00740D69">
      <w:pPr>
        <w:jc w:val="center"/>
        <w:rPr>
          <w:b/>
        </w:rPr>
      </w:pPr>
    </w:p>
    <w:p w14:paraId="61FBAE5C" w14:textId="77777777" w:rsidR="00740D69" w:rsidRDefault="00740D69" w:rsidP="00740D69">
      <w:pPr>
        <w:jc w:val="center"/>
      </w:pPr>
      <w:r>
        <w:t>GN Docket No. 12-268</w:t>
      </w:r>
    </w:p>
    <w:p w14:paraId="0AA3148F" w14:textId="77777777" w:rsidR="00740D69" w:rsidRPr="00740D69" w:rsidRDefault="00740D69" w:rsidP="00740D69">
      <w:pPr>
        <w:jc w:val="center"/>
      </w:pPr>
    </w:p>
    <w:p w14:paraId="2DA5FFE8" w14:textId="44EC65F3" w:rsidR="00F52775" w:rsidRPr="003E30DE" w:rsidRDefault="002E22C0">
      <w:pPr>
        <w:spacing w:before="120" w:after="240"/>
        <w:rPr>
          <w:b/>
          <w:szCs w:val="22"/>
        </w:rPr>
      </w:pPr>
      <w:r w:rsidRPr="003E30DE">
        <w:rPr>
          <w:b/>
          <w:szCs w:val="22"/>
        </w:rPr>
        <w:t>Petitions for Reconsideration Due:</w:t>
      </w:r>
      <w:r w:rsidRPr="003E30DE">
        <w:rPr>
          <w:b/>
          <w:szCs w:val="22"/>
        </w:rPr>
        <w:tab/>
      </w:r>
      <w:r w:rsidR="007C301E">
        <w:rPr>
          <w:b/>
          <w:szCs w:val="22"/>
        </w:rPr>
        <w:t>February 29</w:t>
      </w:r>
      <w:r w:rsidR="00AA222C" w:rsidRPr="003E30DE">
        <w:rPr>
          <w:b/>
          <w:szCs w:val="22"/>
        </w:rPr>
        <w:t>, 201</w:t>
      </w:r>
      <w:r w:rsidR="007C301E">
        <w:rPr>
          <w:b/>
          <w:szCs w:val="22"/>
        </w:rPr>
        <w:t>6</w:t>
      </w:r>
    </w:p>
    <w:p w14:paraId="54573DE6" w14:textId="3C60C1C4" w:rsidR="00602577" w:rsidRPr="003E30DE" w:rsidRDefault="002E22C0">
      <w:pPr>
        <w:spacing w:before="120" w:after="240"/>
        <w:rPr>
          <w:szCs w:val="22"/>
        </w:rPr>
      </w:pPr>
      <w:r w:rsidRPr="003E30DE">
        <w:rPr>
          <w:szCs w:val="22"/>
        </w:rPr>
        <w:tab/>
        <w:t xml:space="preserve">On </w:t>
      </w:r>
      <w:r w:rsidR="007C301E">
        <w:rPr>
          <w:szCs w:val="22"/>
        </w:rPr>
        <w:t>October 22</w:t>
      </w:r>
      <w:r w:rsidRPr="003E30DE">
        <w:rPr>
          <w:szCs w:val="22"/>
        </w:rPr>
        <w:t xml:space="preserve">, 2015, the Commission </w:t>
      </w:r>
      <w:r w:rsidR="00AA222C" w:rsidRPr="003E30DE">
        <w:rPr>
          <w:szCs w:val="22"/>
        </w:rPr>
        <w:t>released</w:t>
      </w:r>
      <w:r w:rsidRPr="003E30DE">
        <w:rPr>
          <w:szCs w:val="22"/>
        </w:rPr>
        <w:t xml:space="preserve"> the </w:t>
      </w:r>
      <w:r w:rsidR="007C301E">
        <w:rPr>
          <w:i/>
          <w:szCs w:val="22"/>
        </w:rPr>
        <w:t>Commencing Operations Report and Order</w:t>
      </w:r>
      <w:r w:rsidR="00501F8F" w:rsidRPr="003E30DE">
        <w:rPr>
          <w:szCs w:val="22"/>
        </w:rPr>
        <w:t>,</w:t>
      </w:r>
      <w:r w:rsidRPr="003E30DE">
        <w:rPr>
          <w:szCs w:val="22"/>
        </w:rPr>
        <w:t xml:space="preserve"> </w:t>
      </w:r>
      <w:r w:rsidR="007C301E">
        <w:rPr>
          <w:szCs w:val="22"/>
        </w:rPr>
        <w:t xml:space="preserve">which </w:t>
      </w:r>
      <w:r w:rsidR="007C301E" w:rsidRPr="000B51BD">
        <w:rPr>
          <w:szCs w:val="22"/>
        </w:rPr>
        <w:t xml:space="preserve">defines when and in what areas 600 MHz Band wireless licensees will be deemed to “commence operations” for the purpose of establishing when the secondary and unlicensed </w:t>
      </w:r>
      <w:r w:rsidR="007C301E">
        <w:rPr>
          <w:szCs w:val="22"/>
        </w:rPr>
        <w:t>users</w:t>
      </w:r>
      <w:r w:rsidR="007C301E" w:rsidRPr="000B51BD">
        <w:rPr>
          <w:szCs w:val="22"/>
        </w:rPr>
        <w:t xml:space="preserve"> must cease operations and vacate the 600 MHz Band</w:t>
      </w:r>
      <w:r w:rsidR="007C301E">
        <w:rPr>
          <w:szCs w:val="22"/>
        </w:rPr>
        <w:t xml:space="preserve"> in those areas</w:t>
      </w:r>
      <w:r w:rsidR="00AA222C" w:rsidRPr="003E30DE">
        <w:rPr>
          <w:szCs w:val="22"/>
        </w:rPr>
        <w:t>.</w:t>
      </w:r>
      <w:r w:rsidR="00A25EB2" w:rsidRPr="003E30DE">
        <w:rPr>
          <w:rStyle w:val="FootnoteReference"/>
          <w:szCs w:val="22"/>
        </w:rPr>
        <w:footnoteReference w:id="1"/>
      </w:r>
      <w:r w:rsidR="00AA222C" w:rsidRPr="003E30DE">
        <w:rPr>
          <w:szCs w:val="22"/>
        </w:rPr>
        <w:t xml:space="preserve">  </w:t>
      </w:r>
      <w:r w:rsidR="00A25EB2" w:rsidRPr="003E30DE">
        <w:rPr>
          <w:szCs w:val="22"/>
        </w:rPr>
        <w:t>The</w:t>
      </w:r>
      <w:r w:rsidR="00F52775" w:rsidRPr="003E30DE">
        <w:rPr>
          <w:szCs w:val="22"/>
        </w:rPr>
        <w:t xml:space="preserve"> Commission published a summary of the </w:t>
      </w:r>
      <w:r w:rsidR="00F52775" w:rsidRPr="003E30DE">
        <w:rPr>
          <w:i/>
          <w:szCs w:val="22"/>
        </w:rPr>
        <w:t>Public Notice</w:t>
      </w:r>
      <w:r w:rsidR="00F52775" w:rsidRPr="003E30DE">
        <w:rPr>
          <w:szCs w:val="22"/>
        </w:rPr>
        <w:t xml:space="preserve"> in the</w:t>
      </w:r>
      <w:r w:rsidR="00A25EB2" w:rsidRPr="003E30DE">
        <w:rPr>
          <w:szCs w:val="22"/>
        </w:rPr>
        <w:t xml:space="preserve"> Federal Register </w:t>
      </w:r>
      <w:r w:rsidR="00F52775" w:rsidRPr="003E30DE">
        <w:rPr>
          <w:szCs w:val="22"/>
        </w:rPr>
        <w:t xml:space="preserve">on </w:t>
      </w:r>
      <w:r w:rsidR="007C301E">
        <w:rPr>
          <w:szCs w:val="22"/>
        </w:rPr>
        <w:t>January</w:t>
      </w:r>
      <w:r w:rsidR="00247938" w:rsidRPr="003E30DE">
        <w:rPr>
          <w:szCs w:val="22"/>
        </w:rPr>
        <w:t xml:space="preserve"> </w:t>
      </w:r>
      <w:r w:rsidR="007C301E">
        <w:rPr>
          <w:szCs w:val="22"/>
        </w:rPr>
        <w:t>29</w:t>
      </w:r>
      <w:r w:rsidR="00AF6F02" w:rsidRPr="003E30DE">
        <w:rPr>
          <w:szCs w:val="22"/>
        </w:rPr>
        <w:t>, 201</w:t>
      </w:r>
      <w:r w:rsidR="007C301E">
        <w:rPr>
          <w:szCs w:val="22"/>
        </w:rPr>
        <w:t>6</w:t>
      </w:r>
      <w:r w:rsidR="00AF6F02" w:rsidRPr="003E30DE">
        <w:rPr>
          <w:szCs w:val="22"/>
        </w:rPr>
        <w:t>.</w:t>
      </w:r>
      <w:r w:rsidR="00501F8F" w:rsidRPr="003E30DE">
        <w:rPr>
          <w:rStyle w:val="FootnoteReference"/>
          <w:szCs w:val="22"/>
        </w:rPr>
        <w:footnoteReference w:id="2"/>
      </w:r>
      <w:r w:rsidR="00AF6F02" w:rsidRPr="003E30DE">
        <w:rPr>
          <w:szCs w:val="22"/>
        </w:rPr>
        <w:t xml:space="preserve">  </w:t>
      </w:r>
      <w:r w:rsidR="00551292" w:rsidRPr="003E30DE">
        <w:rPr>
          <w:szCs w:val="22"/>
        </w:rPr>
        <w:t>Pursuant to Rule 1.429(d)</w:t>
      </w:r>
      <w:r w:rsidR="00A25EB2" w:rsidRPr="003E30DE">
        <w:rPr>
          <w:szCs w:val="22"/>
        </w:rPr>
        <w:t>,</w:t>
      </w:r>
      <w:r w:rsidR="00551292" w:rsidRPr="003E30DE">
        <w:rPr>
          <w:szCs w:val="22"/>
        </w:rPr>
        <w:t xml:space="preserve"> </w:t>
      </w:r>
      <w:r w:rsidR="00A25EB2" w:rsidRPr="003E30DE">
        <w:rPr>
          <w:szCs w:val="22"/>
        </w:rPr>
        <w:t xml:space="preserve">parties have thirty days </w:t>
      </w:r>
      <w:r w:rsidR="00551292" w:rsidRPr="003E30DE">
        <w:rPr>
          <w:szCs w:val="22"/>
        </w:rPr>
        <w:t xml:space="preserve">from the date of </w:t>
      </w:r>
      <w:r w:rsidR="00A25EB2" w:rsidRPr="003E30DE">
        <w:rPr>
          <w:szCs w:val="22"/>
        </w:rPr>
        <w:t>publication in the Federal Register</w:t>
      </w:r>
      <w:r w:rsidR="00551292" w:rsidRPr="003E30DE">
        <w:rPr>
          <w:szCs w:val="22"/>
        </w:rPr>
        <w:t xml:space="preserve"> to file a </w:t>
      </w:r>
      <w:r w:rsidRPr="003E30DE">
        <w:rPr>
          <w:szCs w:val="22"/>
        </w:rPr>
        <w:t>p</w:t>
      </w:r>
      <w:r w:rsidR="00551292" w:rsidRPr="003E30DE">
        <w:rPr>
          <w:szCs w:val="22"/>
        </w:rPr>
        <w:t>etition</w:t>
      </w:r>
      <w:r w:rsidRPr="003E30DE">
        <w:rPr>
          <w:szCs w:val="22"/>
        </w:rPr>
        <w:t xml:space="preserve"> for reconsideration.</w:t>
      </w:r>
      <w:r w:rsidR="00A25EB2" w:rsidRPr="003E30DE">
        <w:rPr>
          <w:rStyle w:val="FootnoteReference"/>
          <w:szCs w:val="22"/>
        </w:rPr>
        <w:footnoteReference w:id="3"/>
      </w:r>
      <w:r w:rsidRPr="003E30DE">
        <w:rPr>
          <w:szCs w:val="22"/>
        </w:rPr>
        <w:t xml:space="preserve">  </w:t>
      </w:r>
      <w:r w:rsidR="00551292" w:rsidRPr="003E30DE">
        <w:rPr>
          <w:szCs w:val="22"/>
        </w:rPr>
        <w:t xml:space="preserve">Accordingly, </w:t>
      </w:r>
      <w:r w:rsidR="00F52775" w:rsidRPr="003E30DE">
        <w:rPr>
          <w:szCs w:val="22"/>
        </w:rPr>
        <w:t xml:space="preserve">the deadline to file petitions for reconsideration of the </w:t>
      </w:r>
      <w:r w:rsidR="006769A5">
        <w:rPr>
          <w:i/>
          <w:szCs w:val="22"/>
        </w:rPr>
        <w:t>Commencing Operations Report and Order</w:t>
      </w:r>
      <w:r w:rsidR="00551292" w:rsidRPr="003E30DE">
        <w:rPr>
          <w:szCs w:val="22"/>
        </w:rPr>
        <w:t xml:space="preserve"> </w:t>
      </w:r>
      <w:r w:rsidR="00F52775" w:rsidRPr="003E30DE">
        <w:rPr>
          <w:szCs w:val="22"/>
        </w:rPr>
        <w:t xml:space="preserve">is </w:t>
      </w:r>
      <w:r w:rsidR="007C301E">
        <w:rPr>
          <w:b/>
          <w:szCs w:val="22"/>
        </w:rPr>
        <w:t>February 29</w:t>
      </w:r>
      <w:r w:rsidR="007C301E" w:rsidRPr="003E30DE">
        <w:rPr>
          <w:b/>
          <w:szCs w:val="22"/>
        </w:rPr>
        <w:t>, 201</w:t>
      </w:r>
      <w:r w:rsidR="007C301E">
        <w:rPr>
          <w:b/>
          <w:szCs w:val="22"/>
        </w:rPr>
        <w:t>6</w:t>
      </w:r>
      <w:r w:rsidR="00551292" w:rsidRPr="003E30DE">
        <w:rPr>
          <w:szCs w:val="22"/>
        </w:rPr>
        <w:t xml:space="preserve">. </w:t>
      </w:r>
      <w:r w:rsidR="00F52775" w:rsidRPr="003E30DE">
        <w:rPr>
          <w:szCs w:val="22"/>
        </w:rPr>
        <w:t xml:space="preserve"> </w:t>
      </w:r>
      <w:r w:rsidR="00857304" w:rsidRPr="003E30DE">
        <w:rPr>
          <w:szCs w:val="22"/>
        </w:rPr>
        <w:t>As necessary, t</w:t>
      </w:r>
      <w:r w:rsidR="00F52775" w:rsidRPr="003E30DE">
        <w:rPr>
          <w:szCs w:val="22"/>
        </w:rPr>
        <w:t xml:space="preserve">he Commission will </w:t>
      </w:r>
      <w:r w:rsidR="00857304" w:rsidRPr="003E30DE">
        <w:rPr>
          <w:szCs w:val="22"/>
        </w:rPr>
        <w:t xml:space="preserve">provide notice of any petitions for reconsideration received and </w:t>
      </w:r>
      <w:r w:rsidR="00F52775" w:rsidRPr="003E30DE">
        <w:rPr>
          <w:szCs w:val="22"/>
        </w:rPr>
        <w:t>establish a pleading</w:t>
      </w:r>
      <w:r w:rsidR="00857304" w:rsidRPr="003E30DE">
        <w:rPr>
          <w:szCs w:val="22"/>
        </w:rPr>
        <w:t xml:space="preserve"> cycle for oppositions and replies.</w:t>
      </w:r>
      <w:r w:rsidR="00857304" w:rsidRPr="003E30DE">
        <w:rPr>
          <w:rStyle w:val="FootnoteReference"/>
          <w:szCs w:val="22"/>
        </w:rPr>
        <w:footnoteReference w:id="4"/>
      </w:r>
      <w:r w:rsidR="006769A5">
        <w:rPr>
          <w:szCs w:val="22"/>
        </w:rPr>
        <w:t xml:space="preserve"> </w:t>
      </w:r>
    </w:p>
    <w:p w14:paraId="6D66CA4B" w14:textId="0D973D32" w:rsidR="00AC4637" w:rsidRPr="003E30DE" w:rsidRDefault="00ED18ED" w:rsidP="00AC4637">
      <w:pPr>
        <w:spacing w:before="120" w:after="240"/>
        <w:jc w:val="center"/>
        <w:rPr>
          <w:szCs w:val="22"/>
        </w:rPr>
      </w:pPr>
      <w:r>
        <w:rPr>
          <w:szCs w:val="22"/>
        </w:rPr>
        <w:t xml:space="preserve">-- </w:t>
      </w:r>
      <w:r w:rsidR="00857304" w:rsidRPr="003E30DE">
        <w:rPr>
          <w:szCs w:val="22"/>
        </w:rPr>
        <w:t>FCC--</w:t>
      </w:r>
    </w:p>
    <w:sectPr w:rsidR="00AC4637" w:rsidRPr="003E30DE" w:rsidSect="00881793">
      <w:type w:val="continuous"/>
      <w:pgSz w:w="12240" w:h="15840" w:code="1"/>
      <w:pgMar w:top="720" w:right="1440" w:bottom="1440" w:left="1440" w:header="720" w:footer="9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D7908" w14:textId="77777777" w:rsidR="00735638" w:rsidRDefault="00735638">
      <w:r>
        <w:separator/>
      </w:r>
    </w:p>
  </w:endnote>
  <w:endnote w:type="continuationSeparator" w:id="0">
    <w:p w14:paraId="55E04150" w14:textId="77777777" w:rsidR="00735638" w:rsidRDefault="0073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29C9B" w14:textId="77777777" w:rsidR="001A32FA" w:rsidRDefault="001A32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D71FC" w14:textId="77777777" w:rsidR="001A32FA" w:rsidRDefault="001A32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6F990" w14:textId="77777777" w:rsidR="001A32FA" w:rsidRDefault="001A3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F8B4C" w14:textId="77777777" w:rsidR="00735638" w:rsidRDefault="00735638">
      <w:r>
        <w:separator/>
      </w:r>
    </w:p>
  </w:footnote>
  <w:footnote w:type="continuationSeparator" w:id="0">
    <w:p w14:paraId="503161D7" w14:textId="77777777" w:rsidR="00735638" w:rsidRDefault="00735638">
      <w:r>
        <w:continuationSeparator/>
      </w:r>
    </w:p>
  </w:footnote>
  <w:footnote w:id="1">
    <w:p w14:paraId="32355E26" w14:textId="7657382B" w:rsidR="00A25EB2" w:rsidRPr="00881793" w:rsidRDefault="00A25EB2" w:rsidP="00AC4637">
      <w:pPr>
        <w:pStyle w:val="FootnoteText"/>
        <w:tabs>
          <w:tab w:val="clear" w:pos="720"/>
        </w:tabs>
        <w:spacing w:after="120"/>
        <w:ind w:left="720" w:right="-720"/>
        <w:rPr>
          <w:sz w:val="20"/>
        </w:rPr>
      </w:pPr>
      <w:r w:rsidRPr="00881793">
        <w:rPr>
          <w:rStyle w:val="FootnoteReference"/>
          <w:sz w:val="20"/>
        </w:rPr>
        <w:footnoteRef/>
      </w:r>
      <w:r w:rsidRPr="00881793">
        <w:rPr>
          <w:sz w:val="20"/>
        </w:rPr>
        <w:t xml:space="preserve"> </w:t>
      </w:r>
      <w:r w:rsidR="007C301E" w:rsidRPr="007C301E">
        <w:rPr>
          <w:i/>
          <w:sz w:val="20"/>
        </w:rPr>
        <w:t>Expanding the Economic and Innovation Opportunities of Spectrum Through Incentive Auctions</w:t>
      </w:r>
      <w:r w:rsidR="007C301E" w:rsidRPr="00ED18ED">
        <w:rPr>
          <w:sz w:val="20"/>
        </w:rPr>
        <w:t>, GN Docket No. 12-268, Report and Order, 30 FCC Rcd 12025 (2015)</w:t>
      </w:r>
      <w:r w:rsidR="007C301E" w:rsidRPr="007C301E">
        <w:rPr>
          <w:i/>
          <w:sz w:val="20"/>
        </w:rPr>
        <w:t xml:space="preserve"> </w:t>
      </w:r>
      <w:r w:rsidR="007C301E" w:rsidRPr="00BB3FC8">
        <w:rPr>
          <w:sz w:val="20"/>
        </w:rPr>
        <w:t>(</w:t>
      </w:r>
      <w:r w:rsidR="007C301E" w:rsidRPr="00BB3FC8">
        <w:rPr>
          <w:i/>
          <w:sz w:val="20"/>
        </w:rPr>
        <w:t>Commencing Operations Report and Order</w:t>
      </w:r>
      <w:r w:rsidR="007C301E" w:rsidRPr="00BB3FC8">
        <w:rPr>
          <w:sz w:val="20"/>
        </w:rPr>
        <w:t>)</w:t>
      </w:r>
      <w:r w:rsidR="00280641" w:rsidRPr="00BB3FC8">
        <w:rPr>
          <w:i/>
          <w:sz w:val="20"/>
        </w:rPr>
        <w:t>.</w:t>
      </w:r>
    </w:p>
  </w:footnote>
  <w:footnote w:id="2">
    <w:p w14:paraId="68214C6C" w14:textId="2162ADE6" w:rsidR="00501F8F" w:rsidRPr="00501F8F" w:rsidRDefault="00501F8F" w:rsidP="00AC4637">
      <w:pPr>
        <w:pStyle w:val="FootnoteText"/>
        <w:spacing w:after="120"/>
        <w:ind w:left="720" w:right="-720"/>
        <w:rPr>
          <w:sz w:val="20"/>
        </w:rPr>
      </w:pPr>
      <w:r w:rsidRPr="00501F8F">
        <w:rPr>
          <w:rStyle w:val="FootnoteReference"/>
          <w:sz w:val="20"/>
        </w:rPr>
        <w:footnoteRef/>
      </w:r>
      <w:r w:rsidRPr="00501F8F">
        <w:rPr>
          <w:sz w:val="20"/>
        </w:rPr>
        <w:t xml:space="preserve"> </w:t>
      </w:r>
      <w:r w:rsidRPr="00501F8F">
        <w:rPr>
          <w:i/>
          <w:sz w:val="20"/>
        </w:rPr>
        <w:t>See</w:t>
      </w:r>
      <w:r w:rsidRPr="00501F8F">
        <w:rPr>
          <w:sz w:val="20"/>
        </w:rPr>
        <w:t xml:space="preserve"> </w:t>
      </w:r>
      <w:r w:rsidR="007C301E" w:rsidRPr="007C301E">
        <w:rPr>
          <w:i/>
          <w:sz w:val="20"/>
        </w:rPr>
        <w:t>Expanding the Economic and Innovation Opportunities of Spectrum Through Incentive Auctions</w:t>
      </w:r>
      <w:r w:rsidRPr="00501F8F">
        <w:rPr>
          <w:sz w:val="20"/>
        </w:rPr>
        <w:t xml:space="preserve">, </w:t>
      </w:r>
      <w:r>
        <w:rPr>
          <w:sz w:val="20"/>
        </w:rPr>
        <w:t>8</w:t>
      </w:r>
      <w:r w:rsidR="007C301E">
        <w:rPr>
          <w:sz w:val="20"/>
        </w:rPr>
        <w:t>1</w:t>
      </w:r>
      <w:r>
        <w:rPr>
          <w:sz w:val="20"/>
        </w:rPr>
        <w:t xml:space="preserve"> FR </w:t>
      </w:r>
      <w:r w:rsidR="007C301E">
        <w:rPr>
          <w:sz w:val="20"/>
        </w:rPr>
        <w:t>4969</w:t>
      </w:r>
      <w:r>
        <w:rPr>
          <w:sz w:val="20"/>
        </w:rPr>
        <w:t xml:space="preserve"> (</w:t>
      </w:r>
      <w:r w:rsidR="007C301E">
        <w:rPr>
          <w:sz w:val="20"/>
        </w:rPr>
        <w:t>Jan. 29,</w:t>
      </w:r>
      <w:r>
        <w:rPr>
          <w:sz w:val="20"/>
        </w:rPr>
        <w:t xml:space="preserve"> 201</w:t>
      </w:r>
      <w:r w:rsidR="007C301E">
        <w:rPr>
          <w:sz w:val="20"/>
        </w:rPr>
        <w:t>6</w:t>
      </w:r>
      <w:r>
        <w:rPr>
          <w:sz w:val="20"/>
        </w:rPr>
        <w:t>).</w:t>
      </w:r>
    </w:p>
  </w:footnote>
  <w:footnote w:id="3">
    <w:p w14:paraId="4469A940" w14:textId="77777777" w:rsidR="00A25EB2" w:rsidRPr="00881793" w:rsidRDefault="00A25EB2" w:rsidP="00AC4637">
      <w:pPr>
        <w:pStyle w:val="FootnoteText"/>
        <w:tabs>
          <w:tab w:val="clear" w:pos="720"/>
        </w:tabs>
        <w:spacing w:after="120"/>
        <w:ind w:left="720" w:right="-720"/>
        <w:rPr>
          <w:sz w:val="20"/>
        </w:rPr>
      </w:pPr>
      <w:r w:rsidRPr="00881793">
        <w:rPr>
          <w:rStyle w:val="FootnoteReference"/>
          <w:sz w:val="20"/>
        </w:rPr>
        <w:footnoteRef/>
      </w:r>
      <w:r w:rsidRPr="00881793">
        <w:rPr>
          <w:sz w:val="20"/>
        </w:rPr>
        <w:t xml:space="preserve"> 47 C.F.R. § 1.429(d).  According to 1.429(d), parties have thirty days from the date of public notice, which, as defined by 1.4(b), is the date of publication in the Federal Register.  47 C.F.R. § 1.4(b)(1).</w:t>
      </w:r>
    </w:p>
  </w:footnote>
  <w:footnote w:id="4">
    <w:p w14:paraId="248EE71A" w14:textId="30F8112D" w:rsidR="00857304" w:rsidRPr="00881793" w:rsidRDefault="00857304" w:rsidP="00AC4637">
      <w:pPr>
        <w:pStyle w:val="FootnoteText"/>
        <w:tabs>
          <w:tab w:val="clear" w:pos="720"/>
        </w:tabs>
        <w:spacing w:after="120"/>
        <w:ind w:left="720" w:right="-720"/>
        <w:rPr>
          <w:sz w:val="20"/>
        </w:rPr>
      </w:pPr>
      <w:r w:rsidRPr="00881793">
        <w:rPr>
          <w:rStyle w:val="FootnoteReference"/>
          <w:sz w:val="20"/>
        </w:rPr>
        <w:footnoteRef/>
      </w:r>
      <w:r w:rsidRPr="00881793">
        <w:rPr>
          <w:sz w:val="20"/>
        </w:rPr>
        <w:t xml:space="preserve"> 47 C.F.R. §§ 1.429(f)-(g); 1.4(b)(1)</w:t>
      </w:r>
      <w:r w:rsidR="00247938" w:rsidRPr="00881793">
        <w:rPr>
          <w:sz w:val="20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7749A" w14:textId="77777777" w:rsidR="001A32FA" w:rsidRDefault="001A32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41DB0" w14:textId="77777777" w:rsidR="001A32FA" w:rsidRDefault="001A32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210EE" w14:textId="1E2A8AE1" w:rsidR="00602577" w:rsidRPr="00881793" w:rsidRDefault="00857304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  <w:szCs w:val="96"/>
      </w:rPr>
    </w:pPr>
    <w:r w:rsidRPr="00881793">
      <w:rPr>
        <w:rFonts w:ascii="News Gothic MT" w:hAnsi="News Gothic MT"/>
        <w:b/>
        <w:noProof/>
        <w:sz w:val="96"/>
        <w:szCs w:val="96"/>
      </w:rPr>
      <w:drawing>
        <wp:anchor distT="0" distB="0" distL="114300" distR="114300" simplePos="0" relativeHeight="251659264" behindDoc="0" locked="0" layoutInCell="0" allowOverlap="1" wp14:anchorId="33F55117" wp14:editId="5A34290C">
          <wp:simplePos x="0" y="0"/>
          <wp:positionH relativeFrom="column">
            <wp:posOffset>441960</wp:posOffset>
          </wp:positionH>
          <wp:positionV relativeFrom="paragraph">
            <wp:posOffset>137160</wp:posOffset>
          </wp:positionV>
          <wp:extent cx="530225" cy="530225"/>
          <wp:effectExtent l="0" t="0" r="3175" b="3175"/>
          <wp:wrapNone/>
          <wp:docPr id="8" name="Picture 8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 w:rsidRPr="00881793">
      <w:rPr>
        <w:rFonts w:ascii="News Gothic MT" w:hAnsi="News Gothic MT"/>
        <w:b/>
        <w:kern w:val="28"/>
        <w:sz w:val="96"/>
        <w:szCs w:val="96"/>
      </w:rPr>
      <w:t xml:space="preserve">  </w:t>
    </w:r>
    <w:r w:rsidR="00602577" w:rsidRPr="00881793">
      <w:rPr>
        <w:rFonts w:ascii="News Gothic MT" w:hAnsi="News Gothic MT"/>
        <w:b/>
        <w:kern w:val="28"/>
        <w:sz w:val="96"/>
        <w:szCs w:val="96"/>
      </w:rPr>
      <w:t>PUBLIC NOTICE</w:t>
    </w:r>
  </w:p>
  <w:p w14:paraId="5CE062FC" w14:textId="1621E9E4" w:rsidR="00602577" w:rsidRDefault="00857304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5349D52" wp14:editId="65EED302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18CA8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E8434F2" wp14:editId="65AB77F6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2851C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19D98014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48135150" w14:textId="77777777"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E8434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14:paraId="74A2851C" w14:textId="77777777"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19D98014" w14:textId="77777777"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48135150" w14:textId="77777777"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0EFFFCF" wp14:editId="41D93ECB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86D71" w14:textId="77777777"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3A6B7C0A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48826C5D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4E8418BB" w14:textId="77777777"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0EFFFCF"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14:paraId="6B586D71" w14:textId="77777777"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3A6B7C0A" w14:textId="77777777"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48826C5D" w14:textId="77777777"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4E8418BB" w14:textId="77777777"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27424660" w14:textId="77777777"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0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C0"/>
    <w:rsid w:val="00015CDA"/>
    <w:rsid w:val="000265AE"/>
    <w:rsid w:val="00173322"/>
    <w:rsid w:val="00181219"/>
    <w:rsid w:val="001A32FA"/>
    <w:rsid w:val="001D260B"/>
    <w:rsid w:val="00247938"/>
    <w:rsid w:val="00262EB5"/>
    <w:rsid w:val="00280641"/>
    <w:rsid w:val="002E22C0"/>
    <w:rsid w:val="003E30DE"/>
    <w:rsid w:val="00402FD8"/>
    <w:rsid w:val="004D6DBF"/>
    <w:rsid w:val="00501F8F"/>
    <w:rsid w:val="00551292"/>
    <w:rsid w:val="00602577"/>
    <w:rsid w:val="006769A5"/>
    <w:rsid w:val="00735638"/>
    <w:rsid w:val="00740D69"/>
    <w:rsid w:val="007C301E"/>
    <w:rsid w:val="00857304"/>
    <w:rsid w:val="00881793"/>
    <w:rsid w:val="008D52B8"/>
    <w:rsid w:val="009D1B1E"/>
    <w:rsid w:val="00A25EB2"/>
    <w:rsid w:val="00AA222C"/>
    <w:rsid w:val="00AC4637"/>
    <w:rsid w:val="00AF6F02"/>
    <w:rsid w:val="00BB3FC8"/>
    <w:rsid w:val="00BB73B3"/>
    <w:rsid w:val="00CD671F"/>
    <w:rsid w:val="00CE56D6"/>
    <w:rsid w:val="00D0240C"/>
    <w:rsid w:val="00D17DC0"/>
    <w:rsid w:val="00D60EFF"/>
    <w:rsid w:val="00E00F4C"/>
    <w:rsid w:val="00EA05C7"/>
    <w:rsid w:val="00ED18ED"/>
    <w:rsid w:val="00F128CC"/>
    <w:rsid w:val="00F5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696C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ParaNum0">
    <w:name w:val="ParaNum"/>
    <w:basedOn w:val="Normal"/>
    <w:link w:val="ParaNumChar"/>
    <w:rsid w:val="00262EB5"/>
    <w:pPr>
      <w:widowControl w:val="0"/>
      <w:numPr>
        <w:numId w:val="13"/>
      </w:numPr>
      <w:tabs>
        <w:tab w:val="clear" w:pos="1080"/>
        <w:tab w:val="num" w:pos="1440"/>
      </w:tabs>
      <w:spacing w:after="120"/>
    </w:pPr>
    <w:rPr>
      <w:snapToGrid w:val="0"/>
      <w:kern w:val="28"/>
    </w:rPr>
  </w:style>
  <w:style w:type="character" w:customStyle="1" w:styleId="ParaNumChar">
    <w:name w:val="ParaNum Char"/>
    <w:link w:val="ParaNum0"/>
    <w:locked/>
    <w:rsid w:val="00262EB5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1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ParaNum0">
    <w:name w:val="ParaNum"/>
    <w:basedOn w:val="Normal"/>
    <w:link w:val="ParaNumChar"/>
    <w:rsid w:val="00262EB5"/>
    <w:pPr>
      <w:widowControl w:val="0"/>
      <w:numPr>
        <w:numId w:val="13"/>
      </w:numPr>
      <w:tabs>
        <w:tab w:val="clear" w:pos="1080"/>
        <w:tab w:val="num" w:pos="1440"/>
      </w:tabs>
      <w:spacing w:after="120"/>
    </w:pPr>
    <w:rPr>
      <w:snapToGrid w:val="0"/>
      <w:kern w:val="28"/>
    </w:rPr>
  </w:style>
  <w:style w:type="character" w:customStyle="1" w:styleId="ParaNumChar">
    <w:name w:val="ParaNum Char"/>
    <w:link w:val="ParaNum0"/>
    <w:locked/>
    <w:rsid w:val="00262EB5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167</Words>
  <Characters>927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1093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2015-10-14T20:22:00Z</cp:lastPrinted>
  <dcterms:created xsi:type="dcterms:W3CDTF">2016-02-05T14:25:00Z</dcterms:created>
  <dcterms:modified xsi:type="dcterms:W3CDTF">2016-02-05T14:25:00Z</dcterms:modified>
  <cp:category> </cp:category>
  <cp:contentStatus> </cp:contentStatus>
</cp:coreProperties>
</file>