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6" w:rsidRDefault="00EE50F6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EE50F6" w:rsidRDefault="00EE50F6">
      <w:pPr>
        <w:jc w:val="center"/>
        <w:rPr>
          <w:b/>
        </w:rPr>
      </w:pPr>
      <w:r>
        <w:rPr>
          <w:b/>
        </w:rPr>
        <w:t>Federal Communications Commission</w:t>
      </w:r>
    </w:p>
    <w:p w:rsidR="00EE50F6" w:rsidRDefault="00EE50F6">
      <w:pPr>
        <w:jc w:val="center"/>
        <w:rPr>
          <w:b/>
        </w:rPr>
      </w:pPr>
      <w:r>
        <w:rPr>
          <w:b/>
        </w:rPr>
        <w:t>Washington, D.C. 20554</w:t>
      </w:r>
    </w:p>
    <w:p w:rsidR="00EE50F6" w:rsidRDefault="00EE50F6"/>
    <w:p w:rsidR="00EE50F6" w:rsidRDefault="00EE50F6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00119D" w:rsidTr="0000119D">
        <w:tc>
          <w:tcPr>
            <w:tcW w:w="4698" w:type="dxa"/>
          </w:tcPr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179A1">
              <w:rPr>
                <w:spacing w:val="-2"/>
              </w:rPr>
              <w:t>In the Matter of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179A1">
              <w:rPr>
                <w:spacing w:val="-2"/>
              </w:rPr>
              <w:t>The Commission’s Cable Horizontal and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179A1">
              <w:rPr>
                <w:spacing w:val="-2"/>
              </w:rPr>
              <w:t>Vertical Ownership Limits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0119D" w:rsidRPr="007179A1" w:rsidRDefault="0000119D" w:rsidP="0000119D">
            <w:pPr>
              <w:ind w:right="-18"/>
            </w:pPr>
            <w:r w:rsidRPr="007179A1">
              <w:t xml:space="preserve">Implementation of Section 11 of the </w:t>
            </w:r>
          </w:p>
          <w:p w:rsidR="0000119D" w:rsidRPr="007179A1" w:rsidRDefault="0000119D" w:rsidP="0000119D">
            <w:pPr>
              <w:ind w:right="-18"/>
            </w:pPr>
            <w:r w:rsidRPr="007179A1">
              <w:t>Cable Television Consumer Protection and</w:t>
            </w:r>
          </w:p>
          <w:p w:rsidR="0000119D" w:rsidRPr="007179A1" w:rsidRDefault="0000119D" w:rsidP="0000119D">
            <w:pPr>
              <w:ind w:right="-18"/>
            </w:pPr>
            <w:r w:rsidRPr="007179A1">
              <w:t>Competition Act of 1992</w:t>
            </w:r>
          </w:p>
          <w:p w:rsidR="0000119D" w:rsidRPr="007179A1" w:rsidRDefault="0000119D" w:rsidP="0000119D">
            <w:pPr>
              <w:tabs>
                <w:tab w:val="left" w:pos="1020"/>
              </w:tabs>
              <w:ind w:right="-18"/>
            </w:pPr>
            <w:r w:rsidRPr="007179A1">
              <w:tab/>
            </w:r>
          </w:p>
          <w:p w:rsidR="0000119D" w:rsidRPr="007179A1" w:rsidRDefault="0000119D" w:rsidP="0000119D">
            <w:pPr>
              <w:ind w:right="-18"/>
            </w:pPr>
            <w:r w:rsidRPr="007179A1">
              <w:t xml:space="preserve">Implementation of Cable Act Reform </w:t>
            </w:r>
          </w:p>
          <w:p w:rsidR="0000119D" w:rsidRPr="007179A1" w:rsidRDefault="0000119D" w:rsidP="0000119D">
            <w:pPr>
              <w:ind w:right="-18"/>
            </w:pPr>
            <w:r w:rsidRPr="007179A1">
              <w:t>Provisions of the Telecommunications</w:t>
            </w:r>
          </w:p>
          <w:p w:rsidR="0000119D" w:rsidRPr="007179A1" w:rsidRDefault="0000119D" w:rsidP="0000119D">
            <w:pPr>
              <w:ind w:right="-18"/>
            </w:pPr>
            <w:r w:rsidRPr="007179A1">
              <w:t>Act of 1996</w:t>
            </w:r>
          </w:p>
          <w:p w:rsidR="0000119D" w:rsidRPr="007179A1" w:rsidRDefault="0000119D" w:rsidP="0000119D">
            <w:pPr>
              <w:ind w:right="-18"/>
            </w:pPr>
          </w:p>
          <w:p w:rsidR="0000119D" w:rsidRPr="007179A1" w:rsidRDefault="0000119D" w:rsidP="0000119D">
            <w:pPr>
              <w:ind w:right="-18"/>
            </w:pPr>
            <w:r w:rsidRPr="007179A1">
              <w:t>Review of the Commission’s Regulations</w:t>
            </w:r>
          </w:p>
          <w:p w:rsidR="0000119D" w:rsidRPr="007179A1" w:rsidRDefault="0000119D" w:rsidP="0000119D">
            <w:pPr>
              <w:ind w:right="-18"/>
            </w:pPr>
            <w:r w:rsidRPr="007179A1">
              <w:t xml:space="preserve">Governing Attribution of Broadcast and </w:t>
            </w:r>
          </w:p>
          <w:p w:rsidR="0000119D" w:rsidRPr="007179A1" w:rsidRDefault="0000119D" w:rsidP="0000119D">
            <w:pPr>
              <w:ind w:right="-18"/>
            </w:pPr>
            <w:r w:rsidRPr="007179A1">
              <w:t>Cable/MDS Interests</w:t>
            </w:r>
          </w:p>
          <w:p w:rsidR="0000119D" w:rsidRPr="007179A1" w:rsidRDefault="0000119D" w:rsidP="0000119D">
            <w:pPr>
              <w:ind w:right="-18"/>
            </w:pPr>
          </w:p>
          <w:p w:rsidR="0000119D" w:rsidRPr="007179A1" w:rsidRDefault="0000119D" w:rsidP="0000119D">
            <w:pPr>
              <w:ind w:right="-18"/>
            </w:pPr>
            <w:r w:rsidRPr="007179A1">
              <w:t>Review of the Commission’s Regulations and</w:t>
            </w:r>
          </w:p>
          <w:p w:rsidR="0000119D" w:rsidRPr="007179A1" w:rsidRDefault="0000119D" w:rsidP="0000119D">
            <w:pPr>
              <w:ind w:right="-18"/>
            </w:pPr>
            <w:r w:rsidRPr="007179A1">
              <w:t xml:space="preserve">Policies Affecting Investment in the </w:t>
            </w:r>
          </w:p>
          <w:p w:rsidR="0000119D" w:rsidRPr="007179A1" w:rsidRDefault="0000119D" w:rsidP="0000119D">
            <w:pPr>
              <w:ind w:right="-18"/>
            </w:pPr>
            <w:r w:rsidRPr="007179A1">
              <w:t>Broadcast Industry</w:t>
            </w:r>
          </w:p>
          <w:p w:rsidR="0000119D" w:rsidRPr="007179A1" w:rsidRDefault="0000119D" w:rsidP="0000119D">
            <w:pPr>
              <w:ind w:right="-18"/>
            </w:pPr>
          </w:p>
          <w:p w:rsidR="0000119D" w:rsidRPr="007179A1" w:rsidRDefault="0000119D" w:rsidP="0000119D">
            <w:pPr>
              <w:ind w:right="-18"/>
            </w:pPr>
            <w:r w:rsidRPr="007179A1">
              <w:t>Reexamination of the Commission’s</w:t>
            </w:r>
          </w:p>
          <w:p w:rsidR="0000119D" w:rsidRPr="007179A1" w:rsidRDefault="0000119D" w:rsidP="0000119D">
            <w:r w:rsidRPr="007179A1">
              <w:t>Cross-Interest Policy</w:t>
            </w:r>
          </w:p>
        </w:tc>
        <w:tc>
          <w:tcPr>
            <w:tcW w:w="720" w:type="dxa"/>
          </w:tcPr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7179A1">
              <w:rPr>
                <w:b/>
                <w:spacing w:val="-2"/>
              </w:rPr>
              <w:t>)</w:t>
            </w:r>
          </w:p>
        </w:tc>
        <w:tc>
          <w:tcPr>
            <w:tcW w:w="4230" w:type="dxa"/>
          </w:tcPr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0119D" w:rsidRPr="007179A1" w:rsidRDefault="0000119D" w:rsidP="0000119D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  <w:r w:rsidRPr="007179A1">
              <w:rPr>
                <w:spacing w:val="-2"/>
              </w:rPr>
              <w:t>MM Docket No. 92-264</w:t>
            </w:r>
          </w:p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>
            <w:r w:rsidRPr="007179A1">
              <w:t>CS Docket No. 98-82</w:t>
            </w:r>
          </w:p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>
            <w:r w:rsidRPr="007179A1">
              <w:t>CS Docket No. 96-85</w:t>
            </w:r>
          </w:p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>
            <w:pPr>
              <w:rPr>
                <w:b/>
              </w:rPr>
            </w:pPr>
            <w:r w:rsidRPr="007179A1">
              <w:t>MM Docket No. 94-150</w:t>
            </w:r>
          </w:p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>
            <w:r w:rsidRPr="007179A1">
              <w:t>MM Docket No. 92-51</w:t>
            </w:r>
          </w:p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/>
          <w:p w:rsidR="0000119D" w:rsidRPr="007179A1" w:rsidRDefault="0000119D" w:rsidP="0000119D">
            <w:r w:rsidRPr="007179A1">
              <w:t>MM Docket No. 87-154</w:t>
            </w:r>
          </w:p>
          <w:p w:rsidR="0000119D" w:rsidRPr="007179A1" w:rsidRDefault="0000119D" w:rsidP="0000119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CF54ED" w:rsidRDefault="00CF54ED">
      <w:pPr>
        <w:spacing w:before="120"/>
        <w:jc w:val="center"/>
        <w:rPr>
          <w:b/>
          <w:spacing w:val="-2"/>
        </w:rPr>
      </w:pPr>
    </w:p>
    <w:p w:rsidR="00EE50F6" w:rsidRDefault="00EE50F6">
      <w:pPr>
        <w:spacing w:before="120"/>
        <w:jc w:val="center"/>
        <w:rPr>
          <w:b/>
        </w:rPr>
      </w:pPr>
      <w:r>
        <w:rPr>
          <w:b/>
          <w:spacing w:val="-2"/>
        </w:rPr>
        <w:t>ORDER OF DISMISSAL</w:t>
      </w:r>
    </w:p>
    <w:p w:rsidR="00EE50F6" w:rsidRDefault="00EE50F6"/>
    <w:p w:rsidR="00EE50F6" w:rsidRDefault="00EE50F6">
      <w:pPr>
        <w:tabs>
          <w:tab w:val="left" w:pos="5760"/>
        </w:tabs>
        <w:rPr>
          <w:b/>
        </w:rPr>
      </w:pPr>
      <w:r>
        <w:rPr>
          <w:b/>
        </w:rPr>
        <w:t xml:space="preserve">Adopted:  </w:t>
      </w:r>
      <w:r w:rsidR="006C10D4">
        <w:rPr>
          <w:b/>
          <w:spacing w:val="-2"/>
        </w:rPr>
        <w:t>December 9</w:t>
      </w:r>
      <w:r w:rsidR="0000119D">
        <w:rPr>
          <w:b/>
          <w:spacing w:val="-2"/>
        </w:rPr>
        <w:t>, 2016</w:t>
      </w:r>
      <w:r>
        <w:rPr>
          <w:b/>
        </w:rPr>
        <w:tab/>
      </w:r>
      <w:r w:rsidR="00FB66C9">
        <w:rPr>
          <w:b/>
        </w:rPr>
        <w:tab/>
      </w:r>
      <w:r>
        <w:rPr>
          <w:b/>
        </w:rPr>
        <w:t xml:space="preserve">Released:  </w:t>
      </w:r>
      <w:r w:rsidR="0000119D">
        <w:rPr>
          <w:b/>
        </w:rPr>
        <w:t>December</w:t>
      </w:r>
      <w:r w:rsidR="003219BE">
        <w:rPr>
          <w:b/>
        </w:rPr>
        <w:t xml:space="preserve"> </w:t>
      </w:r>
      <w:r w:rsidR="006C10D4">
        <w:rPr>
          <w:b/>
        </w:rPr>
        <w:t>9,</w:t>
      </w:r>
      <w:r w:rsidR="0000119D">
        <w:rPr>
          <w:b/>
        </w:rPr>
        <w:t xml:space="preserve"> 2016</w:t>
      </w:r>
    </w:p>
    <w:p w:rsidR="00EE50F6" w:rsidRDefault="00EE50F6">
      <w:pPr>
        <w:tabs>
          <w:tab w:val="left" w:pos="5760"/>
        </w:tabs>
        <w:rPr>
          <w:b/>
        </w:rPr>
      </w:pPr>
    </w:p>
    <w:p w:rsidR="00EE50F6" w:rsidRDefault="00EE50F6">
      <w:pPr>
        <w:tabs>
          <w:tab w:val="left" w:pos="5760"/>
        </w:tabs>
      </w:pPr>
      <w:r>
        <w:t>By the Chief, Media Bureau:</w:t>
      </w:r>
    </w:p>
    <w:p w:rsidR="00EE50F6" w:rsidRDefault="00EE50F6">
      <w:pPr>
        <w:tabs>
          <w:tab w:val="left" w:pos="5760"/>
        </w:tabs>
      </w:pPr>
    </w:p>
    <w:p w:rsidR="00EE50F6" w:rsidRDefault="0000119D" w:rsidP="00EE3238">
      <w:pPr>
        <w:pStyle w:val="ParaNum"/>
        <w:tabs>
          <w:tab w:val="clear" w:pos="1080"/>
        </w:tabs>
        <w:jc w:val="left"/>
      </w:pPr>
      <w:r>
        <w:t>On December 18, 2007</w:t>
      </w:r>
      <w:r w:rsidR="00EE50F6">
        <w:t xml:space="preserve">, the Commission adopted </w:t>
      </w:r>
      <w:r w:rsidR="00B66B59">
        <w:t>an Order in the above-captioned docket</w:t>
      </w:r>
      <w:r>
        <w:t>s</w:t>
      </w:r>
      <w:r w:rsidR="00EE50F6">
        <w:t xml:space="preserve"> to</w:t>
      </w:r>
      <w:r>
        <w:t xml:space="preserve"> reinstate the 30 percent cable horizontal ownership limit</w:t>
      </w:r>
      <w:r w:rsidR="00EE50F6">
        <w:t>.</w:t>
      </w:r>
      <w:r w:rsidR="00EE50F6">
        <w:rPr>
          <w:rStyle w:val="FootnoteReference"/>
        </w:rPr>
        <w:footnoteReference w:id="2"/>
      </w:r>
      <w:r w:rsidR="00EE50F6">
        <w:t xml:space="preserve">  </w:t>
      </w:r>
      <w:r w:rsidR="003219BE">
        <w:t>A p</w:t>
      </w:r>
      <w:r w:rsidR="00EE50F6">
        <w:t xml:space="preserve">etition seeking </w:t>
      </w:r>
      <w:r>
        <w:t xml:space="preserve">clarification and/or </w:t>
      </w:r>
      <w:r w:rsidR="00EE50F6">
        <w:t xml:space="preserve">reconsideration of </w:t>
      </w:r>
      <w:r w:rsidR="00E53659">
        <w:t xml:space="preserve">particular </w:t>
      </w:r>
      <w:r w:rsidR="00EE50F6">
        <w:t xml:space="preserve">aspects of </w:t>
      </w:r>
      <w:r w:rsidR="00B66B59">
        <w:t xml:space="preserve">this Order </w:t>
      </w:r>
      <w:r w:rsidR="003219BE">
        <w:t xml:space="preserve">was </w:t>
      </w:r>
      <w:r w:rsidR="00EE50F6">
        <w:t>filed by</w:t>
      </w:r>
      <w:r>
        <w:t xml:space="preserve"> Verizon</w:t>
      </w:r>
      <w:r w:rsidR="00EE50F6">
        <w:t>.  Due to the passage of time</w:t>
      </w:r>
      <w:r>
        <w:t xml:space="preserve"> and subsequent decision by the D.C. Circuit </w:t>
      </w:r>
      <w:r w:rsidR="009C005D">
        <w:t xml:space="preserve">Court of Appeals </w:t>
      </w:r>
      <w:r w:rsidR="00E53659">
        <w:t>that now make</w:t>
      </w:r>
      <w:r>
        <w:t>s</w:t>
      </w:r>
      <w:r w:rsidR="00E53659">
        <w:t xml:space="preserve"> this petition moot</w:t>
      </w:r>
      <w:r w:rsidR="00EE50F6">
        <w:t>,</w:t>
      </w:r>
      <w:r w:rsidR="001A547A">
        <w:t xml:space="preserve"> Verizon has </w:t>
      </w:r>
      <w:r w:rsidR="00451B83">
        <w:t>moved</w:t>
      </w:r>
      <w:r w:rsidR="001A547A">
        <w:t xml:space="preserve"> to withdraw the petition.</w:t>
      </w:r>
      <w:r w:rsidR="001A547A">
        <w:rPr>
          <w:rStyle w:val="FootnoteReference"/>
        </w:rPr>
        <w:footnoteReference w:id="3"/>
      </w:r>
      <w:r w:rsidR="00EE50F6">
        <w:t xml:space="preserve"> </w:t>
      </w:r>
      <w:r w:rsidR="00011ECF">
        <w:t xml:space="preserve"> </w:t>
      </w:r>
      <w:r w:rsidR="001A547A">
        <w:t xml:space="preserve">Therefore, </w:t>
      </w:r>
      <w:r w:rsidR="00EE50F6">
        <w:t>with no objections put forth by petitio</w:t>
      </w:r>
      <w:r w:rsidR="00CF54ED">
        <w:t>ner</w:t>
      </w:r>
      <w:r w:rsidR="00EE50F6">
        <w:t>, we are dismissing t</w:t>
      </w:r>
      <w:r w:rsidR="003219BE">
        <w:t xml:space="preserve">he </w:t>
      </w:r>
      <w:r w:rsidR="00EE50F6">
        <w:t>petition without prejudice.</w:t>
      </w:r>
    </w:p>
    <w:p w:rsidR="00EE50F6" w:rsidRDefault="00EE50F6" w:rsidP="00CF54ED">
      <w:pPr>
        <w:pStyle w:val="ParaNum"/>
        <w:tabs>
          <w:tab w:val="clear" w:pos="1080"/>
        </w:tabs>
        <w:jc w:val="left"/>
      </w:pPr>
      <w:r>
        <w:t xml:space="preserve">Accordingly, </w:t>
      </w:r>
      <w:r w:rsidR="00CF54ED">
        <w:t>IT IS ORDERED that the Petition</w:t>
      </w:r>
      <w:r>
        <w:t xml:space="preserve"> for </w:t>
      </w:r>
      <w:r w:rsidR="0000119D">
        <w:t xml:space="preserve">Clarification and/or </w:t>
      </w:r>
      <w:r>
        <w:t xml:space="preserve">Reconsideration </w:t>
      </w:r>
      <w:r w:rsidR="003219BE">
        <w:t xml:space="preserve">filed by </w:t>
      </w:r>
      <w:r w:rsidR="0000119D">
        <w:t>Verizon</w:t>
      </w:r>
      <w:r w:rsidR="003219BE">
        <w:t xml:space="preserve"> IS</w:t>
      </w:r>
      <w:r>
        <w:t xml:space="preserve"> DISMISSED without prejudice.</w:t>
      </w:r>
    </w:p>
    <w:p w:rsidR="00EE50F6" w:rsidRDefault="00EE50F6" w:rsidP="00CF54ED">
      <w:pPr>
        <w:pStyle w:val="ParaNum"/>
        <w:keepNext/>
        <w:widowControl/>
        <w:tabs>
          <w:tab w:val="clear" w:pos="1080"/>
        </w:tabs>
        <w:jc w:val="left"/>
      </w:pPr>
      <w:r>
        <w:lastRenderedPageBreak/>
        <w:t>This action is taken purs</w:t>
      </w:r>
      <w:r w:rsidR="00CF54ED">
        <w:t>uant to authority delegated by S</w:t>
      </w:r>
      <w:r>
        <w:t>ection 0.283 of th</w:t>
      </w:r>
      <w:r w:rsidR="00CF54ED">
        <w:t>e Commission’s rules.  47 CFR</w:t>
      </w:r>
      <w:r>
        <w:t xml:space="preserve"> § 0.283.</w:t>
      </w:r>
    </w:p>
    <w:p w:rsidR="00EE50F6" w:rsidRDefault="00EE50F6" w:rsidP="00CF54ED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EE50F6" w:rsidRDefault="00EE50F6" w:rsidP="00CF54ED">
      <w:pPr>
        <w:keepNext/>
      </w:pPr>
    </w:p>
    <w:p w:rsidR="00EE50F6" w:rsidRDefault="00EE50F6" w:rsidP="00CF54ED">
      <w:pPr>
        <w:keepNext/>
      </w:pPr>
    </w:p>
    <w:p w:rsidR="00EE50F6" w:rsidRDefault="00EE50F6" w:rsidP="00CF54ED">
      <w:pPr>
        <w:keepNext/>
      </w:pPr>
    </w:p>
    <w:p w:rsidR="00EE50F6" w:rsidRDefault="00EE50F6" w:rsidP="00CF54ED">
      <w:pPr>
        <w:keepNext/>
      </w:pPr>
    </w:p>
    <w:p w:rsidR="00EE50F6" w:rsidRDefault="00EE50F6" w:rsidP="00CF54ED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William T. Lake  </w:t>
      </w:r>
    </w:p>
    <w:p w:rsidR="00EE50F6" w:rsidRDefault="00EE50F6">
      <w:r>
        <w:t xml:space="preserve">         </w:t>
      </w:r>
      <w:r>
        <w:tab/>
        <w:t xml:space="preserve">                                                        </w:t>
      </w:r>
      <w:r>
        <w:tab/>
        <w:t>Chief</w:t>
      </w:r>
    </w:p>
    <w:p w:rsidR="00EE50F6" w:rsidRDefault="00EE50F6">
      <w:r>
        <w:t xml:space="preserve">           </w:t>
      </w:r>
      <w:r>
        <w:tab/>
        <w:t xml:space="preserve">                                                      </w:t>
      </w:r>
      <w:r>
        <w:tab/>
        <w:t xml:space="preserve">Media Bureau    </w:t>
      </w:r>
    </w:p>
    <w:p w:rsidR="008D246D" w:rsidRPr="005F7D2B" w:rsidRDefault="008D246D" w:rsidP="003219BE">
      <w:pPr>
        <w:jc w:val="center"/>
        <w:rPr>
          <w:szCs w:val="22"/>
          <w:highlight w:val="yellow"/>
        </w:rPr>
      </w:pPr>
    </w:p>
    <w:p w:rsidR="00FB2CB2" w:rsidRDefault="00FB2CB2" w:rsidP="00917ACF">
      <w:pPr>
        <w:rPr>
          <w:szCs w:val="22"/>
        </w:rPr>
      </w:pPr>
    </w:p>
    <w:sectPr w:rsidR="00FB2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15" w:rsidRDefault="00192D15">
      <w:r>
        <w:separator/>
      </w:r>
    </w:p>
  </w:endnote>
  <w:endnote w:type="continuationSeparator" w:id="0">
    <w:p w:rsidR="00192D15" w:rsidRDefault="0019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CC" w:rsidRDefault="007F0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6D" w:rsidRDefault="008D246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457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CC" w:rsidRDefault="007F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15" w:rsidRDefault="00192D1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92D15" w:rsidRDefault="00192D15">
      <w:pPr>
        <w:rPr>
          <w:sz w:val="20"/>
        </w:rPr>
      </w:pPr>
      <w:r>
        <w:rPr>
          <w:sz w:val="20"/>
        </w:rPr>
        <w:separator/>
      </w:r>
    </w:p>
    <w:p w:rsidR="00192D15" w:rsidRDefault="00192D15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192D15" w:rsidRDefault="00192D15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2">
    <w:p w:rsidR="008D246D" w:rsidRPr="00EE3238" w:rsidRDefault="008D246D" w:rsidP="00EE3238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EE3238">
        <w:rPr>
          <w:i/>
        </w:rPr>
        <w:t>See</w:t>
      </w:r>
      <w:r w:rsidR="0000119D">
        <w:rPr>
          <w:i/>
          <w:iCs/>
        </w:rPr>
        <w:t xml:space="preserve"> </w:t>
      </w:r>
      <w:r w:rsidR="00AF363B">
        <w:rPr>
          <w:i/>
          <w:iCs/>
        </w:rPr>
        <w:t xml:space="preserve">generally </w:t>
      </w:r>
      <w:r w:rsidR="0000119D">
        <w:rPr>
          <w:i/>
          <w:iCs/>
        </w:rPr>
        <w:t>The Commission’s Cable Horizontal and Vertical Ownership Limits et al.</w:t>
      </w:r>
      <w:r w:rsidR="00EE3238" w:rsidRPr="00EE3238">
        <w:t xml:space="preserve">, </w:t>
      </w:r>
      <w:r w:rsidR="0000119D">
        <w:t>Fourth Report &amp;</w:t>
      </w:r>
      <w:r w:rsidR="00EE3238" w:rsidRPr="00EE3238">
        <w:t xml:space="preserve"> Order</w:t>
      </w:r>
      <w:r w:rsidR="0000119D">
        <w:t xml:space="preserve"> and Further Notice of Proposed Rulemaking</w:t>
      </w:r>
      <w:r w:rsidR="00EE3238" w:rsidRPr="00EE3238">
        <w:t>,</w:t>
      </w:r>
      <w:r w:rsidR="0000119D">
        <w:t xml:space="preserve"> 23 FCC Rcd 2134</w:t>
      </w:r>
      <w:r w:rsidR="00EE3238">
        <w:t xml:space="preserve"> (2008). </w:t>
      </w:r>
    </w:p>
  </w:footnote>
  <w:footnote w:id="3">
    <w:p w:rsidR="001A547A" w:rsidRPr="00451B83" w:rsidRDefault="001A547A" w:rsidP="001A54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0F79">
        <w:t xml:space="preserve">Withdrawal and Request for Dismissal of Verizon’s Petition for Clarification and/or Reconsideration, MM Docket No. 92-264 </w:t>
      </w:r>
      <w:r w:rsidR="00840F79">
        <w:rPr>
          <w:i/>
        </w:rPr>
        <w:t xml:space="preserve">et al. </w:t>
      </w:r>
      <w:r w:rsidR="00840F79">
        <w:t>(filed Dec. 7, 2016)</w:t>
      </w:r>
      <w:r>
        <w:t xml:space="preserve">; </w:t>
      </w:r>
      <w:r>
        <w:rPr>
          <w:i/>
        </w:rPr>
        <w:t xml:space="preserve">see also </w:t>
      </w:r>
      <w:r w:rsidRPr="0000119D">
        <w:rPr>
          <w:i/>
        </w:rPr>
        <w:t>Comcast Corp. v. FCC</w:t>
      </w:r>
      <w:r w:rsidRPr="00CF54ED">
        <w:t xml:space="preserve">, </w:t>
      </w:r>
      <w:r w:rsidRPr="0000119D">
        <w:t>579 F.3d 1 (D.C. Cir. 2009) (vacating the limit as arbitrary and capricious).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CC" w:rsidRDefault="007F0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6D" w:rsidRDefault="008D246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DA </w:t>
    </w:r>
    <w:r w:rsidR="00D62E97">
      <w:rPr>
        <w:b/>
      </w:rPr>
      <w:t>1</w:t>
    </w:r>
    <w:r w:rsidR="00CF54ED">
      <w:rPr>
        <w:b/>
      </w:rPr>
      <w:t>6</w:t>
    </w:r>
    <w:r>
      <w:rPr>
        <w:b/>
      </w:rPr>
      <w:t>-</w:t>
    </w:r>
    <w:r w:rsidR="0089443B">
      <w:rPr>
        <w:b/>
      </w:rPr>
      <w:t>1364</w:t>
    </w:r>
    <w:r>
      <w:rPr>
        <w:b/>
      </w:rPr>
      <w:t xml:space="preserve"> </w:t>
    </w:r>
  </w:p>
  <w:p w:rsidR="008D246D" w:rsidRDefault="00CF54ED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AB040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8D246D" w:rsidRDefault="008D2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6D" w:rsidRDefault="008D246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 xml:space="preserve">Federal Communications Commission </w:t>
    </w:r>
    <w:r>
      <w:rPr>
        <w:b/>
      </w:rPr>
      <w:tab/>
      <w:t>DA 1</w:t>
    </w:r>
    <w:r w:rsidR="0000119D">
      <w:rPr>
        <w:b/>
      </w:rPr>
      <w:t>6</w:t>
    </w:r>
    <w:r>
      <w:rPr>
        <w:b/>
      </w:rPr>
      <w:t>-</w:t>
    </w:r>
    <w:r w:rsidR="0089443B">
      <w:rPr>
        <w:b/>
      </w:rPr>
      <w:t>1364</w:t>
    </w:r>
    <w:r>
      <w:rPr>
        <w:b/>
      </w:rPr>
      <w:t xml:space="preserve"> </w:t>
    </w:r>
  </w:p>
  <w:p w:rsidR="008D246D" w:rsidRDefault="00CF54ED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4F37F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F6"/>
    <w:rsid w:val="0000119D"/>
    <w:rsid w:val="0001177D"/>
    <w:rsid w:val="00011ECF"/>
    <w:rsid w:val="0006330C"/>
    <w:rsid w:val="00074577"/>
    <w:rsid w:val="000D77B7"/>
    <w:rsid w:val="00175F39"/>
    <w:rsid w:val="00192D15"/>
    <w:rsid w:val="00196BFD"/>
    <w:rsid w:val="001A03A1"/>
    <w:rsid w:val="001A547A"/>
    <w:rsid w:val="001B4334"/>
    <w:rsid w:val="0028182F"/>
    <w:rsid w:val="00297DBF"/>
    <w:rsid w:val="002E006F"/>
    <w:rsid w:val="003219BE"/>
    <w:rsid w:val="003A214E"/>
    <w:rsid w:val="003B7442"/>
    <w:rsid w:val="00444677"/>
    <w:rsid w:val="004457FB"/>
    <w:rsid w:val="00451B83"/>
    <w:rsid w:val="004726B2"/>
    <w:rsid w:val="004931DE"/>
    <w:rsid w:val="004C17BD"/>
    <w:rsid w:val="005108FB"/>
    <w:rsid w:val="005130AB"/>
    <w:rsid w:val="005527A5"/>
    <w:rsid w:val="00552D47"/>
    <w:rsid w:val="005F7D2B"/>
    <w:rsid w:val="006054F0"/>
    <w:rsid w:val="00612914"/>
    <w:rsid w:val="0064101E"/>
    <w:rsid w:val="00643342"/>
    <w:rsid w:val="00646F60"/>
    <w:rsid w:val="006529D8"/>
    <w:rsid w:val="0066284B"/>
    <w:rsid w:val="006B4644"/>
    <w:rsid w:val="006C10D4"/>
    <w:rsid w:val="006C6648"/>
    <w:rsid w:val="006F1662"/>
    <w:rsid w:val="0071718F"/>
    <w:rsid w:val="007B262B"/>
    <w:rsid w:val="007B3B6D"/>
    <w:rsid w:val="007B5416"/>
    <w:rsid w:val="007D4FC1"/>
    <w:rsid w:val="007E3F07"/>
    <w:rsid w:val="007E523D"/>
    <w:rsid w:val="007F09CC"/>
    <w:rsid w:val="0080624B"/>
    <w:rsid w:val="00825CEB"/>
    <w:rsid w:val="00827E71"/>
    <w:rsid w:val="00840F79"/>
    <w:rsid w:val="00842EB8"/>
    <w:rsid w:val="00867BBE"/>
    <w:rsid w:val="0089443B"/>
    <w:rsid w:val="008D246D"/>
    <w:rsid w:val="008D4C59"/>
    <w:rsid w:val="00917ACF"/>
    <w:rsid w:val="00937B8A"/>
    <w:rsid w:val="009674E5"/>
    <w:rsid w:val="00993C58"/>
    <w:rsid w:val="009A50AA"/>
    <w:rsid w:val="009C005D"/>
    <w:rsid w:val="00A7647E"/>
    <w:rsid w:val="00A803B3"/>
    <w:rsid w:val="00AF363B"/>
    <w:rsid w:val="00B14172"/>
    <w:rsid w:val="00B66B59"/>
    <w:rsid w:val="00B73729"/>
    <w:rsid w:val="00BB7AEA"/>
    <w:rsid w:val="00BE0043"/>
    <w:rsid w:val="00C143FC"/>
    <w:rsid w:val="00C339D9"/>
    <w:rsid w:val="00C37ABA"/>
    <w:rsid w:val="00C512EF"/>
    <w:rsid w:val="00C7275B"/>
    <w:rsid w:val="00CD2AA1"/>
    <w:rsid w:val="00CD3E56"/>
    <w:rsid w:val="00CF54ED"/>
    <w:rsid w:val="00D12010"/>
    <w:rsid w:val="00D62E97"/>
    <w:rsid w:val="00D6353A"/>
    <w:rsid w:val="00D721C8"/>
    <w:rsid w:val="00DB1A8B"/>
    <w:rsid w:val="00DC0E66"/>
    <w:rsid w:val="00E53659"/>
    <w:rsid w:val="00EA40C4"/>
    <w:rsid w:val="00EE3238"/>
    <w:rsid w:val="00EE50F6"/>
    <w:rsid w:val="00F2067E"/>
    <w:rsid w:val="00F4203B"/>
    <w:rsid w:val="00F535A1"/>
    <w:rsid w:val="00F662A2"/>
    <w:rsid w:val="00FB199A"/>
    <w:rsid w:val="00FB2CB2"/>
    <w:rsid w:val="00FB66C9"/>
    <w:rsid w:val="00FD2E61"/>
    <w:rsid w:val="00FE215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157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00119D"/>
    <w:pPr>
      <w:widowControl w:val="0"/>
      <w:tabs>
        <w:tab w:val="right" w:pos="9360"/>
      </w:tabs>
      <w:suppressAutoHyphens/>
    </w:pPr>
    <w:rPr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157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00119D"/>
    <w:pPr>
      <w:widowControl w:val="0"/>
      <w:tabs>
        <w:tab w:val="right" w:pos="9360"/>
      </w:tabs>
      <w:suppressAutoHyphens/>
    </w:pPr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1445</Characters>
  <Application>Microsoft Office Word</Application>
  <DocSecurity>0</DocSecurity>
  <Lines>99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2002-06-24T13:24:00Z</cp:lastPrinted>
  <dcterms:created xsi:type="dcterms:W3CDTF">2016-12-08T18:53:00Z</dcterms:created>
  <dcterms:modified xsi:type="dcterms:W3CDTF">2016-12-08T18:53:00Z</dcterms:modified>
  <cp:category> </cp:category>
  <cp:contentStatus> </cp:contentStatus>
</cp:coreProperties>
</file>