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0F251" w14:textId="77777777" w:rsidR="00471814" w:rsidRDefault="00471814" w:rsidP="00471814">
      <w:pPr>
        <w:jc w:val="center"/>
        <w:rPr>
          <w:b/>
        </w:rPr>
      </w:pPr>
      <w:bookmarkStart w:id="0" w:name="_GoBack"/>
      <w:bookmarkEnd w:id="0"/>
      <w:r>
        <w:rPr>
          <w:b/>
        </w:rPr>
        <w:t>Before the</w:t>
      </w:r>
    </w:p>
    <w:p w14:paraId="1F6CE758" w14:textId="77777777" w:rsidR="00471814" w:rsidRDefault="00471814" w:rsidP="00471814">
      <w:pPr>
        <w:jc w:val="center"/>
        <w:rPr>
          <w:b/>
        </w:rPr>
      </w:pPr>
      <w:r>
        <w:rPr>
          <w:b/>
        </w:rPr>
        <w:t>Federal Communications Commission</w:t>
      </w:r>
    </w:p>
    <w:p w14:paraId="2FF3CD3F" w14:textId="77777777" w:rsidR="00471814" w:rsidRDefault="00471814" w:rsidP="00471814">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14:paraId="3715BF28" w14:textId="77777777" w:rsidR="00471814" w:rsidRDefault="00471814" w:rsidP="00471814"/>
    <w:tbl>
      <w:tblPr>
        <w:tblW w:w="9648" w:type="dxa"/>
        <w:tblLayout w:type="fixed"/>
        <w:tblLook w:val="0000" w:firstRow="0" w:lastRow="0" w:firstColumn="0" w:lastColumn="0" w:noHBand="0" w:noVBand="0"/>
      </w:tblPr>
      <w:tblGrid>
        <w:gridCol w:w="4698"/>
        <w:gridCol w:w="630"/>
        <w:gridCol w:w="90"/>
        <w:gridCol w:w="4158"/>
        <w:gridCol w:w="72"/>
      </w:tblGrid>
      <w:tr w:rsidR="00471814" w14:paraId="0AC59E0B" w14:textId="77777777" w:rsidTr="00CF5B62">
        <w:tc>
          <w:tcPr>
            <w:tcW w:w="4698" w:type="dxa"/>
          </w:tcPr>
          <w:p w14:paraId="58533021" w14:textId="77777777" w:rsidR="00471814" w:rsidRPr="007115F7" w:rsidRDefault="00471814" w:rsidP="00CF5B62">
            <w:pPr>
              <w:tabs>
                <w:tab w:val="center" w:pos="4680"/>
              </w:tabs>
              <w:suppressAutoHyphens/>
              <w:rPr>
                <w:spacing w:val="-2"/>
              </w:rPr>
            </w:pPr>
          </w:p>
        </w:tc>
        <w:tc>
          <w:tcPr>
            <w:tcW w:w="720" w:type="dxa"/>
            <w:gridSpan w:val="2"/>
          </w:tcPr>
          <w:p w14:paraId="0A6A5096" w14:textId="77777777" w:rsidR="00471814" w:rsidRPr="00A7264C" w:rsidRDefault="00471814" w:rsidP="00CF5B62">
            <w:pPr>
              <w:tabs>
                <w:tab w:val="center" w:pos="4680"/>
              </w:tabs>
              <w:suppressAutoHyphens/>
              <w:rPr>
                <w:b/>
                <w:spacing w:val="-2"/>
              </w:rPr>
            </w:pPr>
          </w:p>
        </w:tc>
        <w:tc>
          <w:tcPr>
            <w:tcW w:w="4230" w:type="dxa"/>
            <w:gridSpan w:val="2"/>
          </w:tcPr>
          <w:p w14:paraId="2BA241DE" w14:textId="77777777" w:rsidR="00471814" w:rsidRDefault="00471814" w:rsidP="00CF5B62">
            <w:pPr>
              <w:tabs>
                <w:tab w:val="center" w:pos="4680"/>
              </w:tabs>
              <w:suppressAutoHyphens/>
              <w:rPr>
                <w:spacing w:val="-2"/>
              </w:rPr>
            </w:pPr>
          </w:p>
        </w:tc>
      </w:tr>
      <w:tr w:rsidR="00471814" w:rsidRPr="00AB6C6E" w14:paraId="2C081FD0" w14:textId="77777777" w:rsidTr="00CF5B62">
        <w:trPr>
          <w:gridAfter w:val="1"/>
          <w:wAfter w:w="72" w:type="dxa"/>
        </w:trPr>
        <w:tc>
          <w:tcPr>
            <w:tcW w:w="4698" w:type="dxa"/>
          </w:tcPr>
          <w:p w14:paraId="5A4CCEE8" w14:textId="77777777" w:rsidR="00471814" w:rsidRPr="00D72DE2" w:rsidRDefault="00471814" w:rsidP="00CF5B62">
            <w:pPr>
              <w:tabs>
                <w:tab w:val="center" w:pos="4680"/>
              </w:tabs>
              <w:suppressAutoHyphens/>
              <w:rPr>
                <w:spacing w:val="-2"/>
              </w:rPr>
            </w:pPr>
            <w:r w:rsidRPr="00170D42">
              <w:rPr>
                <w:spacing w:val="-2"/>
              </w:rPr>
              <w:t>In the Matter of</w:t>
            </w:r>
          </w:p>
          <w:p w14:paraId="4FAA7BFD" w14:textId="77777777" w:rsidR="00471814" w:rsidRPr="00D72DE2" w:rsidRDefault="00471814" w:rsidP="00CF5B62">
            <w:pPr>
              <w:tabs>
                <w:tab w:val="center" w:pos="4680"/>
              </w:tabs>
              <w:suppressAutoHyphens/>
              <w:rPr>
                <w:spacing w:val="-2"/>
              </w:rPr>
            </w:pPr>
          </w:p>
          <w:p w14:paraId="5A636D5A" w14:textId="77777777" w:rsidR="00471814" w:rsidRPr="00D72DE2" w:rsidRDefault="00471814" w:rsidP="00CF5B62">
            <w:pPr>
              <w:ind w:right="-18"/>
              <w:rPr>
                <w:szCs w:val="22"/>
              </w:rPr>
            </w:pPr>
            <w:r w:rsidRPr="00D72DE2">
              <w:rPr>
                <w:szCs w:val="22"/>
              </w:rPr>
              <w:t xml:space="preserve">Amendment of Parts 0, 1, 2, 15 and 18 of the Commission’s Rules regarding Authorization of Radiofrequency Equipment </w:t>
            </w:r>
          </w:p>
          <w:p w14:paraId="33670ABC" w14:textId="77777777" w:rsidR="00471814" w:rsidRPr="00D72DE2" w:rsidRDefault="00471814" w:rsidP="00CF5B62">
            <w:pPr>
              <w:tabs>
                <w:tab w:val="center" w:pos="4680"/>
              </w:tabs>
              <w:suppressAutoHyphens/>
              <w:rPr>
                <w:spacing w:val="-2"/>
              </w:rPr>
            </w:pPr>
          </w:p>
          <w:p w14:paraId="13139D80" w14:textId="77777777" w:rsidR="00471814" w:rsidRPr="00D72DE2" w:rsidRDefault="00471814" w:rsidP="00CF5B62">
            <w:pPr>
              <w:ind w:right="-18"/>
              <w:rPr>
                <w:spacing w:val="-2"/>
              </w:rPr>
            </w:pPr>
          </w:p>
        </w:tc>
        <w:tc>
          <w:tcPr>
            <w:tcW w:w="630" w:type="dxa"/>
          </w:tcPr>
          <w:p w14:paraId="728DEAC0" w14:textId="77777777" w:rsidR="00471814" w:rsidRPr="00D72DE2" w:rsidRDefault="00471814" w:rsidP="00CF5B62">
            <w:pPr>
              <w:tabs>
                <w:tab w:val="center" w:pos="4680"/>
              </w:tabs>
              <w:suppressAutoHyphens/>
              <w:rPr>
                <w:b/>
                <w:spacing w:val="-2"/>
              </w:rPr>
            </w:pPr>
            <w:r w:rsidRPr="00D72DE2">
              <w:rPr>
                <w:b/>
                <w:spacing w:val="-2"/>
              </w:rPr>
              <w:t>)</w:t>
            </w:r>
          </w:p>
          <w:p w14:paraId="4973AAE1" w14:textId="77777777" w:rsidR="00471814" w:rsidRPr="00D72DE2" w:rsidRDefault="00471814" w:rsidP="00CF5B62">
            <w:pPr>
              <w:tabs>
                <w:tab w:val="center" w:pos="4680"/>
              </w:tabs>
              <w:suppressAutoHyphens/>
              <w:rPr>
                <w:b/>
                <w:spacing w:val="-2"/>
              </w:rPr>
            </w:pPr>
            <w:r w:rsidRPr="00D72DE2">
              <w:rPr>
                <w:b/>
                <w:spacing w:val="-2"/>
              </w:rPr>
              <w:t>)</w:t>
            </w:r>
          </w:p>
          <w:p w14:paraId="756F5F90" w14:textId="77777777" w:rsidR="00471814" w:rsidRPr="00D72DE2" w:rsidRDefault="00471814" w:rsidP="00CF5B62">
            <w:pPr>
              <w:tabs>
                <w:tab w:val="center" w:pos="4680"/>
              </w:tabs>
              <w:suppressAutoHyphens/>
              <w:rPr>
                <w:b/>
                <w:spacing w:val="-2"/>
              </w:rPr>
            </w:pPr>
            <w:r w:rsidRPr="00D72DE2">
              <w:rPr>
                <w:b/>
                <w:spacing w:val="-2"/>
              </w:rPr>
              <w:t>)</w:t>
            </w:r>
          </w:p>
          <w:p w14:paraId="4CB211BF" w14:textId="77777777" w:rsidR="00471814" w:rsidRPr="00D72DE2" w:rsidRDefault="00471814" w:rsidP="00CF5B62">
            <w:pPr>
              <w:tabs>
                <w:tab w:val="center" w:pos="4680"/>
              </w:tabs>
              <w:suppressAutoHyphens/>
              <w:rPr>
                <w:b/>
                <w:spacing w:val="-2"/>
              </w:rPr>
            </w:pPr>
            <w:r w:rsidRPr="00D72DE2">
              <w:rPr>
                <w:b/>
                <w:spacing w:val="-2"/>
              </w:rPr>
              <w:t>)</w:t>
            </w:r>
          </w:p>
          <w:p w14:paraId="665F9EBB" w14:textId="77777777" w:rsidR="00471814" w:rsidRPr="00D72DE2" w:rsidRDefault="00471814" w:rsidP="00CF5B62">
            <w:pPr>
              <w:tabs>
                <w:tab w:val="center" w:pos="4680"/>
              </w:tabs>
              <w:suppressAutoHyphens/>
              <w:rPr>
                <w:b/>
                <w:spacing w:val="-2"/>
              </w:rPr>
            </w:pPr>
            <w:r w:rsidRPr="00D72DE2">
              <w:rPr>
                <w:b/>
                <w:spacing w:val="-2"/>
              </w:rPr>
              <w:t>)</w:t>
            </w:r>
          </w:p>
          <w:p w14:paraId="7D595DAC" w14:textId="77777777" w:rsidR="00471814" w:rsidRPr="00D72DE2" w:rsidRDefault="00471814" w:rsidP="00CF5B62">
            <w:pPr>
              <w:tabs>
                <w:tab w:val="center" w:pos="4680"/>
              </w:tabs>
              <w:suppressAutoHyphens/>
              <w:rPr>
                <w:spacing w:val="-2"/>
              </w:rPr>
            </w:pPr>
          </w:p>
        </w:tc>
        <w:tc>
          <w:tcPr>
            <w:tcW w:w="4248" w:type="dxa"/>
            <w:gridSpan w:val="2"/>
          </w:tcPr>
          <w:p w14:paraId="686B8558" w14:textId="77777777" w:rsidR="00471814" w:rsidRPr="006B59DF" w:rsidRDefault="00471814" w:rsidP="00CF5B62">
            <w:pPr>
              <w:tabs>
                <w:tab w:val="center" w:pos="4680"/>
              </w:tabs>
              <w:suppressAutoHyphens/>
              <w:rPr>
                <w:spacing w:val="-2"/>
              </w:rPr>
            </w:pPr>
          </w:p>
          <w:p w14:paraId="7FE77687" w14:textId="77777777" w:rsidR="00471814" w:rsidRPr="006B59DF" w:rsidRDefault="00471814" w:rsidP="00CF5B62">
            <w:pPr>
              <w:tabs>
                <w:tab w:val="center" w:pos="4680"/>
              </w:tabs>
              <w:suppressAutoHyphens/>
              <w:rPr>
                <w:spacing w:val="-2"/>
              </w:rPr>
            </w:pPr>
          </w:p>
          <w:p w14:paraId="6DBB1905" w14:textId="77777777" w:rsidR="00471814" w:rsidRPr="006B59DF" w:rsidRDefault="00471814" w:rsidP="00CF5B62">
            <w:pPr>
              <w:tabs>
                <w:tab w:val="center" w:pos="4680"/>
              </w:tabs>
              <w:suppressAutoHyphens/>
              <w:rPr>
                <w:spacing w:val="-2"/>
              </w:rPr>
            </w:pPr>
            <w:r w:rsidRPr="006B59DF">
              <w:rPr>
                <w:spacing w:val="-2"/>
              </w:rPr>
              <w:t>ET Docket No. 15</w:t>
            </w:r>
            <w:r>
              <w:rPr>
                <w:spacing w:val="-2"/>
              </w:rPr>
              <w:t>-170</w:t>
            </w:r>
          </w:p>
          <w:p w14:paraId="3DBBB7F2" w14:textId="77777777" w:rsidR="00471814" w:rsidRPr="006B59DF" w:rsidRDefault="00471814" w:rsidP="00CF5B62">
            <w:pPr>
              <w:tabs>
                <w:tab w:val="center" w:pos="4680"/>
              </w:tabs>
              <w:suppressAutoHyphens/>
              <w:rPr>
                <w:spacing w:val="-2"/>
              </w:rPr>
            </w:pPr>
          </w:p>
          <w:p w14:paraId="658CA4BD" w14:textId="77777777" w:rsidR="00471814" w:rsidRPr="006B59DF" w:rsidRDefault="00471814" w:rsidP="00CF5B62">
            <w:pPr>
              <w:tabs>
                <w:tab w:val="center" w:pos="4680"/>
              </w:tabs>
              <w:suppressAutoHyphens/>
              <w:rPr>
                <w:spacing w:val="-2"/>
              </w:rPr>
            </w:pPr>
          </w:p>
          <w:p w14:paraId="5F98E117" w14:textId="77777777" w:rsidR="00471814" w:rsidRPr="006B59DF" w:rsidRDefault="00471814" w:rsidP="00CF5B62">
            <w:pPr>
              <w:tabs>
                <w:tab w:val="center" w:pos="4680"/>
              </w:tabs>
              <w:suppressAutoHyphens/>
              <w:rPr>
                <w:spacing w:val="-2"/>
              </w:rPr>
            </w:pPr>
          </w:p>
          <w:p w14:paraId="070027EB" w14:textId="77777777" w:rsidR="00471814" w:rsidRPr="00AB6C6E" w:rsidRDefault="00471814" w:rsidP="00CF5B62">
            <w:pPr>
              <w:tabs>
                <w:tab w:val="center" w:pos="4680"/>
              </w:tabs>
              <w:suppressAutoHyphens/>
              <w:rPr>
                <w:spacing w:val="-2"/>
              </w:rPr>
            </w:pPr>
          </w:p>
        </w:tc>
      </w:tr>
    </w:tbl>
    <w:p w14:paraId="4EB9464E" w14:textId="77777777" w:rsidR="00471814" w:rsidRDefault="00471814" w:rsidP="00471814">
      <w:pPr>
        <w:spacing w:before="120"/>
        <w:ind w:left="720" w:hanging="720"/>
        <w:jc w:val="center"/>
        <w:rPr>
          <w:b/>
          <w:spacing w:val="-2"/>
        </w:rPr>
      </w:pPr>
      <w:r>
        <w:rPr>
          <w:b/>
          <w:spacing w:val="-2"/>
        </w:rPr>
        <w:t>ORDER</w:t>
      </w:r>
    </w:p>
    <w:p w14:paraId="34CAECB6" w14:textId="77777777" w:rsidR="00471814" w:rsidRDefault="00471814" w:rsidP="00471814">
      <w:pPr>
        <w:spacing w:before="120"/>
        <w:ind w:left="720" w:hanging="720"/>
        <w:jc w:val="center"/>
      </w:pPr>
    </w:p>
    <w:p w14:paraId="67E7DBCE" w14:textId="4B82A34D" w:rsidR="00471814" w:rsidRDefault="00471814" w:rsidP="00471814">
      <w:pPr>
        <w:tabs>
          <w:tab w:val="right" w:pos="9360"/>
        </w:tabs>
        <w:rPr>
          <w:b/>
        </w:rPr>
      </w:pPr>
      <w:r>
        <w:rPr>
          <w:b/>
        </w:rPr>
        <w:t xml:space="preserve">Adopted:  </w:t>
      </w:r>
      <w:r w:rsidR="005F264F">
        <w:rPr>
          <w:b/>
        </w:rPr>
        <w:t>December</w:t>
      </w:r>
      <w:r>
        <w:rPr>
          <w:b/>
        </w:rPr>
        <w:t xml:space="preserve"> </w:t>
      </w:r>
      <w:r w:rsidR="00BA70C6">
        <w:rPr>
          <w:b/>
        </w:rPr>
        <w:t>8</w:t>
      </w:r>
      <w:r>
        <w:rPr>
          <w:b/>
        </w:rPr>
        <w:t>, 201</w:t>
      </w:r>
      <w:r w:rsidR="005F264F">
        <w:rPr>
          <w:b/>
        </w:rPr>
        <w:t>6</w:t>
      </w:r>
      <w:r>
        <w:rPr>
          <w:b/>
        </w:rPr>
        <w:tab/>
        <w:t xml:space="preserve">Released:  </w:t>
      </w:r>
      <w:r w:rsidR="005F264F">
        <w:rPr>
          <w:b/>
        </w:rPr>
        <w:t xml:space="preserve">December </w:t>
      </w:r>
      <w:r w:rsidR="00BA70C6">
        <w:rPr>
          <w:b/>
        </w:rPr>
        <w:t>8</w:t>
      </w:r>
      <w:r>
        <w:rPr>
          <w:b/>
        </w:rPr>
        <w:t>, 201</w:t>
      </w:r>
      <w:r w:rsidR="005F264F">
        <w:rPr>
          <w:b/>
        </w:rPr>
        <w:t>6</w:t>
      </w:r>
    </w:p>
    <w:p w14:paraId="44E857EF" w14:textId="77777777" w:rsidR="00471814" w:rsidRDefault="00471814" w:rsidP="00471814">
      <w:pPr>
        <w:tabs>
          <w:tab w:val="left" w:pos="5760"/>
        </w:tabs>
        <w:rPr>
          <w:b/>
        </w:rPr>
      </w:pPr>
    </w:p>
    <w:p w14:paraId="20824D75" w14:textId="77777777" w:rsidR="00471814" w:rsidRDefault="00471814" w:rsidP="00471814">
      <w:pPr>
        <w:tabs>
          <w:tab w:val="left" w:pos="5760"/>
        </w:tabs>
        <w:rPr>
          <w:spacing w:val="-2"/>
        </w:rPr>
      </w:pPr>
      <w:r>
        <w:t>By the C</w:t>
      </w:r>
      <w:r w:rsidR="005F264F">
        <w:t>hief, Office of Engineering and Technology</w:t>
      </w:r>
      <w:r>
        <w:t>:</w:t>
      </w:r>
      <w:r>
        <w:rPr>
          <w:spacing w:val="-2"/>
        </w:rPr>
        <w:t xml:space="preserve">  </w:t>
      </w:r>
    </w:p>
    <w:p w14:paraId="41E24EFB" w14:textId="77777777" w:rsidR="00471814" w:rsidRDefault="00471814" w:rsidP="00471814">
      <w:pPr>
        <w:tabs>
          <w:tab w:val="left" w:pos="5760"/>
        </w:tabs>
        <w:rPr>
          <w:spacing w:val="-2"/>
        </w:rPr>
      </w:pPr>
    </w:p>
    <w:p w14:paraId="21FCC5FB" w14:textId="3FADC767" w:rsidR="00471814" w:rsidRDefault="00B20A4A" w:rsidP="002723D4">
      <w:pPr>
        <w:pStyle w:val="ParaNum"/>
      </w:pPr>
      <w:r>
        <w:t>For the reasons discussed below, we extend, through June 30, 2017</w:t>
      </w:r>
      <w:r w:rsidR="00C97B51">
        <w:t xml:space="preserve">, </w:t>
      </w:r>
      <w:r>
        <w:t>waiver</w:t>
      </w:r>
      <w:r w:rsidR="00350629">
        <w:t>s</w:t>
      </w:r>
      <w:r>
        <w:t xml:space="preserve"> of Sections 2.1203 and 2.1205 of the Commission’s rules that w</w:t>
      </w:r>
      <w:r w:rsidR="00350629">
        <w:t>ere</w:t>
      </w:r>
      <w:r>
        <w:t xml:space="preserve"> </w:t>
      </w:r>
      <w:r w:rsidR="00F00239">
        <w:t xml:space="preserve">previously </w:t>
      </w:r>
      <w:r w:rsidR="00851D8C">
        <w:t xml:space="preserve">granted by Commission Order </w:t>
      </w:r>
      <w:r>
        <w:t>in this docket.</w:t>
      </w:r>
      <w:r>
        <w:rPr>
          <w:rStyle w:val="FootnoteReference"/>
        </w:rPr>
        <w:footnoteReference w:id="2"/>
      </w:r>
      <w:r>
        <w:t xml:space="preserve">  </w:t>
      </w:r>
      <w:r w:rsidR="00874705">
        <w:t>Our action</w:t>
      </w:r>
      <w:r>
        <w:t xml:space="preserve"> </w:t>
      </w:r>
      <w:r w:rsidR="00350629">
        <w:t xml:space="preserve">continues </w:t>
      </w:r>
      <w:r w:rsidR="00F00239">
        <w:t>a</w:t>
      </w:r>
      <w:r>
        <w:t xml:space="preserve"> suspension of information collection requirements associated with FCC Form 740 and the importation of </w:t>
      </w:r>
      <w:r w:rsidR="00471814">
        <w:t>Radio Frequency (RF) devices</w:t>
      </w:r>
      <w:r>
        <w:t xml:space="preserve"> that was due to expire of December 31, 2016.</w:t>
      </w:r>
    </w:p>
    <w:p w14:paraId="7943FD01" w14:textId="2CAD7E7E" w:rsidR="00170499" w:rsidRDefault="00471814" w:rsidP="002723D4">
      <w:pPr>
        <w:pStyle w:val="ParaNum"/>
      </w:pPr>
      <w:r>
        <w:rPr>
          <w:spacing w:val="-2"/>
        </w:rPr>
        <w:t>S</w:t>
      </w:r>
      <w:r w:rsidRPr="00E8122B">
        <w:t>ection 2.1203 of our rules states that no RF device may be imported unless the importer or ultimate consignee (or their designated customs broker) declares that the device meets the conditions of entry set forth in our importation rules</w:t>
      </w:r>
      <w:r w:rsidR="00F00239">
        <w:t>.</w:t>
      </w:r>
      <w:r w:rsidR="0077163C">
        <w:t xml:space="preserve">  </w:t>
      </w:r>
      <w:r w:rsidRPr="00E8122B">
        <w:t xml:space="preserve">Section 2.1205 </w:t>
      </w:r>
      <w:r w:rsidR="0077163C">
        <w:t xml:space="preserve">addresses the filing of </w:t>
      </w:r>
      <w:r w:rsidRPr="00E8122B">
        <w:t>this declaration</w:t>
      </w:r>
      <w:r>
        <w:t>.</w:t>
      </w:r>
      <w:r w:rsidR="0077163C" w:rsidRPr="0077163C">
        <w:rPr>
          <w:rStyle w:val="FootnoteReference"/>
        </w:rPr>
        <w:t xml:space="preserve"> </w:t>
      </w:r>
      <w:r w:rsidR="0077163C" w:rsidRPr="00E8122B">
        <w:rPr>
          <w:rStyle w:val="FootnoteReference"/>
        </w:rPr>
        <w:footnoteReference w:id="3"/>
      </w:r>
      <w:r w:rsidR="0077163C" w:rsidRPr="00E8122B">
        <w:t xml:space="preserve"> </w:t>
      </w:r>
      <w:r>
        <w:t xml:space="preserve"> </w:t>
      </w:r>
      <w:r w:rsidR="00F00239">
        <w:t xml:space="preserve">A </w:t>
      </w:r>
      <w:r w:rsidR="00B33DF2" w:rsidRPr="0053550C">
        <w:t>Notice of Proposed Rulemaking (</w:t>
      </w:r>
      <w:r w:rsidR="00B33DF2" w:rsidRPr="00B33DF2">
        <w:rPr>
          <w:i/>
        </w:rPr>
        <w:t>NPRM</w:t>
      </w:r>
      <w:r w:rsidR="00B33DF2" w:rsidRPr="0053550C">
        <w:t xml:space="preserve">) in the </w:t>
      </w:r>
      <w:r w:rsidR="0050139E">
        <w:t xml:space="preserve">instant </w:t>
      </w:r>
      <w:r w:rsidR="00F00239">
        <w:t xml:space="preserve">docket </w:t>
      </w:r>
      <w:r w:rsidR="0050139E">
        <w:t>proposes to</w:t>
      </w:r>
      <w:r w:rsidR="00B33DF2" w:rsidRPr="0053550C">
        <w:t xml:space="preserve"> update the rules that govern the evaluation and approval of RF devices.</w:t>
      </w:r>
      <w:r w:rsidR="00B33DF2" w:rsidRPr="0053550C">
        <w:rPr>
          <w:vertAlign w:val="superscript"/>
        </w:rPr>
        <w:footnoteReference w:id="4"/>
      </w:r>
      <w:r w:rsidR="00B33DF2" w:rsidRPr="0053550C">
        <w:t xml:space="preserve">  </w:t>
      </w:r>
      <w:r w:rsidR="006855A9">
        <w:t xml:space="preserve">In </w:t>
      </w:r>
      <w:r w:rsidR="00BA5510">
        <w:t xml:space="preserve">the </w:t>
      </w:r>
      <w:r w:rsidR="00BA5510">
        <w:rPr>
          <w:i/>
        </w:rPr>
        <w:t>NPRM</w:t>
      </w:r>
      <w:r w:rsidR="006855A9">
        <w:t xml:space="preserve">, the Commission </w:t>
      </w:r>
      <w:r w:rsidR="00F00239">
        <w:t>p</w:t>
      </w:r>
      <w:r w:rsidR="00B33DF2" w:rsidRPr="0053550C">
        <w:t>ropos</w:t>
      </w:r>
      <w:r w:rsidR="006855A9">
        <w:t>ed</w:t>
      </w:r>
      <w:r w:rsidR="00B33DF2" w:rsidRPr="0053550C">
        <w:t xml:space="preserve"> to eliminate the requirement</w:t>
      </w:r>
      <w:r w:rsidR="00D212AE">
        <w:t xml:space="preserve"> </w:t>
      </w:r>
      <w:r w:rsidR="0050139E">
        <w:t xml:space="preserve">to file FCC </w:t>
      </w:r>
      <w:r w:rsidR="003E49A9">
        <w:t>F</w:t>
      </w:r>
      <w:r w:rsidR="0050139E">
        <w:t xml:space="preserve">orm 740 </w:t>
      </w:r>
      <w:r w:rsidR="00D212AE">
        <w:t xml:space="preserve">by </w:t>
      </w:r>
      <w:r w:rsidR="00D212AE" w:rsidRPr="0053550C">
        <w:t>amend</w:t>
      </w:r>
      <w:r w:rsidR="00D212AE">
        <w:t>ing</w:t>
      </w:r>
      <w:r w:rsidR="00D212AE" w:rsidRPr="0053550C">
        <w:t xml:space="preserve"> </w:t>
      </w:r>
      <w:r w:rsidR="006855A9">
        <w:t>S</w:t>
      </w:r>
      <w:r w:rsidR="00D212AE" w:rsidRPr="0053550C">
        <w:t>ection 2.1203 and remov</w:t>
      </w:r>
      <w:r w:rsidR="00D212AE">
        <w:t>ing</w:t>
      </w:r>
      <w:r w:rsidR="00D212AE" w:rsidRPr="0053550C">
        <w:t xml:space="preserve"> </w:t>
      </w:r>
      <w:r w:rsidR="006855A9">
        <w:t>S</w:t>
      </w:r>
      <w:r w:rsidR="00D212AE" w:rsidRPr="0053550C">
        <w:t>ection 2.1205</w:t>
      </w:r>
      <w:r w:rsidR="00B33DF2" w:rsidRPr="0053550C">
        <w:t>, observing that most of the</w:t>
      </w:r>
      <w:r w:rsidR="00D17E0E">
        <w:t xml:space="preserve"> </w:t>
      </w:r>
      <w:r w:rsidR="00BA6CE1">
        <w:t xml:space="preserve">relevant </w:t>
      </w:r>
      <w:r w:rsidR="00B33DF2" w:rsidRPr="0053550C">
        <w:t xml:space="preserve">information </w:t>
      </w:r>
      <w:r w:rsidR="00D17E0E">
        <w:t>can now be obtained through</w:t>
      </w:r>
      <w:r w:rsidR="00B33DF2" w:rsidRPr="0053550C">
        <w:t xml:space="preserve"> other </w:t>
      </w:r>
      <w:r w:rsidR="00D17E0E">
        <w:t>sources</w:t>
      </w:r>
      <w:r w:rsidR="00B33DF2" w:rsidRPr="0053550C">
        <w:t>.</w:t>
      </w:r>
      <w:r w:rsidR="00B33DF2" w:rsidRPr="0053550C">
        <w:rPr>
          <w:vertAlign w:val="superscript"/>
        </w:rPr>
        <w:footnoteReference w:id="5"/>
      </w:r>
      <w:r w:rsidR="00B33DF2">
        <w:t xml:space="preserve"> </w:t>
      </w:r>
    </w:p>
    <w:p w14:paraId="404E12DD" w14:textId="6FD97C42" w:rsidR="00D17E0E" w:rsidRDefault="00170499" w:rsidP="009A6F1D">
      <w:pPr>
        <w:pStyle w:val="ParaNum"/>
      </w:pPr>
      <w:r>
        <w:t>Section 2.1205</w:t>
      </w:r>
      <w:r w:rsidR="00A075B3">
        <w:t xml:space="preserve"> </w:t>
      </w:r>
      <w:r w:rsidR="00731F8A">
        <w:t>directs</w:t>
      </w:r>
      <w:r w:rsidR="00125569">
        <w:t xml:space="preserve"> parties to submit</w:t>
      </w:r>
      <w:r w:rsidR="00512EC6">
        <w:t xml:space="preserve"> FCC-required import information</w:t>
      </w:r>
      <w:r w:rsidR="00125569">
        <w:t xml:space="preserve"> in conjunction with their filings </w:t>
      </w:r>
      <w:r w:rsidR="00471814" w:rsidRPr="00E8122B">
        <w:t xml:space="preserve">with </w:t>
      </w:r>
      <w:r w:rsidR="00471814">
        <w:t xml:space="preserve">the </w:t>
      </w:r>
      <w:r w:rsidR="00471814" w:rsidRPr="00B56FEB">
        <w:rPr>
          <w:spacing w:val="-2"/>
        </w:rPr>
        <w:t>U.S. Customs and Border Protection (CBP)</w:t>
      </w:r>
      <w:r w:rsidR="00125569">
        <w:rPr>
          <w:spacing w:val="-2"/>
        </w:rPr>
        <w:t>, and the vast majority of such filings are made electronically through CBP’</w:t>
      </w:r>
      <w:r w:rsidR="00731F8A">
        <w:rPr>
          <w:spacing w:val="-2"/>
        </w:rPr>
        <w:t>s filing system</w:t>
      </w:r>
      <w:r w:rsidR="00125569">
        <w:rPr>
          <w:spacing w:val="-2"/>
        </w:rPr>
        <w:t>.</w:t>
      </w:r>
      <w:r w:rsidR="00125569">
        <w:rPr>
          <w:rStyle w:val="FootnoteReference"/>
          <w:spacing w:val="-2"/>
        </w:rPr>
        <w:footnoteReference w:id="6"/>
      </w:r>
      <w:r w:rsidR="00471814">
        <w:t xml:space="preserve">  </w:t>
      </w:r>
      <w:r w:rsidR="00125569">
        <w:t>T</w:t>
      </w:r>
      <w:r w:rsidR="00A075B3">
        <w:t xml:space="preserve">he </w:t>
      </w:r>
      <w:r w:rsidR="00A075B3" w:rsidRPr="00B32499">
        <w:rPr>
          <w:i/>
        </w:rPr>
        <w:t>Waiver Order</w:t>
      </w:r>
      <w:r w:rsidR="00A075B3">
        <w:t xml:space="preserve"> was prompted by</w:t>
      </w:r>
      <w:r w:rsidR="00A075B3" w:rsidDel="00A075B3">
        <w:t xml:space="preserve"> </w:t>
      </w:r>
      <w:r w:rsidR="00A075B3">
        <w:t>CBP’s imminent deployment of</w:t>
      </w:r>
      <w:r w:rsidR="001218EA">
        <w:t xml:space="preserve"> </w:t>
      </w:r>
      <w:r>
        <w:t xml:space="preserve">a new system that </w:t>
      </w:r>
      <w:r w:rsidR="00A075B3">
        <w:t xml:space="preserve">would </w:t>
      </w:r>
      <w:r w:rsidR="00D17E0E">
        <w:t>no longer</w:t>
      </w:r>
      <w:r w:rsidR="00A075B3">
        <w:t xml:space="preserve"> include</w:t>
      </w:r>
      <w:r>
        <w:t xml:space="preserve"> the </w:t>
      </w:r>
      <w:r w:rsidR="001218EA">
        <w:t xml:space="preserve">capability to accept the FCC-required </w:t>
      </w:r>
      <w:r w:rsidR="00125569">
        <w:t xml:space="preserve">importation </w:t>
      </w:r>
      <w:r w:rsidR="001218EA">
        <w:t>information electronically.</w:t>
      </w:r>
      <w:r w:rsidR="001218EA">
        <w:rPr>
          <w:rStyle w:val="FootnoteReference"/>
        </w:rPr>
        <w:footnoteReference w:id="7"/>
      </w:r>
      <w:r w:rsidR="00A075B3">
        <w:t xml:space="preserve">  </w:t>
      </w:r>
      <w:r w:rsidR="00443852">
        <w:t>T</w:t>
      </w:r>
      <w:r w:rsidR="00B33F08">
        <w:t xml:space="preserve">he Commission </w:t>
      </w:r>
      <w:r w:rsidR="00125569">
        <w:t xml:space="preserve">estimated </w:t>
      </w:r>
      <w:r w:rsidR="00B33F08">
        <w:t>that</w:t>
      </w:r>
      <w:r w:rsidR="00443852">
        <w:t xml:space="preserve"> a</w:t>
      </w:r>
      <w:r w:rsidR="00B33F08">
        <w:t>bsent th</w:t>
      </w:r>
      <w:r w:rsidR="00125569">
        <w:t xml:space="preserve">e electronic </w:t>
      </w:r>
      <w:r w:rsidR="00125569">
        <w:lastRenderedPageBreak/>
        <w:t>filing</w:t>
      </w:r>
      <w:r w:rsidR="00B33F08">
        <w:t xml:space="preserve"> capability, approximately 20,000 Form</w:t>
      </w:r>
      <w:r w:rsidR="00443852">
        <w:t xml:space="preserve"> 740</w:t>
      </w:r>
      <w:r w:rsidR="00B33F08">
        <w:t xml:space="preserve"> </w:t>
      </w:r>
      <w:r w:rsidR="00443852">
        <w:t xml:space="preserve">paper </w:t>
      </w:r>
      <w:r w:rsidR="00B33F08">
        <w:t>filings could be received weekly</w:t>
      </w:r>
      <w:r w:rsidR="00D17E0E">
        <w:t>.</w:t>
      </w:r>
      <w:r w:rsidR="00D17E0E">
        <w:rPr>
          <w:rStyle w:val="FootnoteReference"/>
        </w:rPr>
        <w:footnoteReference w:id="8"/>
      </w:r>
      <w:r w:rsidR="000533F0">
        <w:t xml:space="preserve">  </w:t>
      </w:r>
      <w:r w:rsidR="006855A9">
        <w:t xml:space="preserve">Noting that the pending </w:t>
      </w:r>
      <w:r w:rsidR="006855A9" w:rsidRPr="00B33DF2">
        <w:t>rulemaking proceeding</w:t>
      </w:r>
      <w:r w:rsidR="006855A9">
        <w:t xml:space="preserve"> could</w:t>
      </w:r>
      <w:r w:rsidR="006855A9" w:rsidRPr="00B33DF2">
        <w:t xml:space="preserve"> ultimately result in the elimination, modification, or retention of the section 2.1203 and 2.1205 requirements</w:t>
      </w:r>
      <w:r w:rsidR="006855A9">
        <w:t xml:space="preserve">, the Commission </w:t>
      </w:r>
      <w:r w:rsidR="00500BA7">
        <w:t xml:space="preserve">found good cause </w:t>
      </w:r>
      <w:r w:rsidR="006855A9">
        <w:t>t</w:t>
      </w:r>
      <w:r w:rsidR="00471814">
        <w:t xml:space="preserve">o temporarily waive the filing requirements </w:t>
      </w:r>
      <w:r w:rsidR="006855A9">
        <w:t>associated with these</w:t>
      </w:r>
      <w:r w:rsidR="00471814">
        <w:t xml:space="preserve"> rules</w:t>
      </w:r>
      <w:r w:rsidR="00D212AE">
        <w:t xml:space="preserve"> </w:t>
      </w:r>
      <w:r w:rsidR="00500BA7">
        <w:t>through December 31, 2016</w:t>
      </w:r>
      <w:r w:rsidR="00471814">
        <w:t>.</w:t>
      </w:r>
      <w:r w:rsidR="00500BA7" w:rsidRPr="00500BA7">
        <w:rPr>
          <w:rStyle w:val="FootnoteReference"/>
          <w:spacing w:val="-2"/>
        </w:rPr>
        <w:t xml:space="preserve"> </w:t>
      </w:r>
      <w:r w:rsidR="00500BA7">
        <w:rPr>
          <w:rStyle w:val="FootnoteReference"/>
          <w:spacing w:val="-2"/>
        </w:rPr>
        <w:footnoteReference w:id="9"/>
      </w:r>
      <w:r w:rsidR="00471814">
        <w:t xml:space="preserve">  </w:t>
      </w:r>
      <w:r w:rsidR="00D212AE">
        <w:t>Moreover</w:t>
      </w:r>
      <w:r w:rsidR="00500BA7">
        <w:t xml:space="preserve">, the Commission acknowledged </w:t>
      </w:r>
      <w:r w:rsidR="004D0CB7">
        <w:t xml:space="preserve">that </w:t>
      </w:r>
      <w:r w:rsidR="00500BA7" w:rsidRPr="00D1066A">
        <w:rPr>
          <w:szCs w:val="22"/>
        </w:rPr>
        <w:t xml:space="preserve">additional time </w:t>
      </w:r>
      <w:r w:rsidR="00500BA7">
        <w:rPr>
          <w:szCs w:val="22"/>
        </w:rPr>
        <w:t>m</w:t>
      </w:r>
      <w:r w:rsidR="00D212AE">
        <w:rPr>
          <w:szCs w:val="22"/>
        </w:rPr>
        <w:t>ight</w:t>
      </w:r>
      <w:r w:rsidR="00500BA7">
        <w:rPr>
          <w:szCs w:val="22"/>
        </w:rPr>
        <w:t xml:space="preserve"> be required to resolve the </w:t>
      </w:r>
      <w:r w:rsidR="00D212AE">
        <w:rPr>
          <w:szCs w:val="22"/>
        </w:rPr>
        <w:t>relevant</w:t>
      </w:r>
      <w:r w:rsidR="00500BA7">
        <w:rPr>
          <w:szCs w:val="22"/>
        </w:rPr>
        <w:t xml:space="preserve"> issues in th</w:t>
      </w:r>
      <w:r w:rsidR="00D212AE">
        <w:rPr>
          <w:szCs w:val="22"/>
        </w:rPr>
        <w:t>e</w:t>
      </w:r>
      <w:r w:rsidR="004D0CB7">
        <w:rPr>
          <w:szCs w:val="22"/>
        </w:rPr>
        <w:t xml:space="preserve"> docket</w:t>
      </w:r>
      <w:r w:rsidR="00D212AE">
        <w:rPr>
          <w:szCs w:val="22"/>
        </w:rPr>
        <w:t xml:space="preserve"> and</w:t>
      </w:r>
      <w:r w:rsidR="00500BA7">
        <w:rPr>
          <w:szCs w:val="22"/>
        </w:rPr>
        <w:t xml:space="preserve"> </w:t>
      </w:r>
      <w:r w:rsidR="00500BA7" w:rsidRPr="00D1066A">
        <w:rPr>
          <w:szCs w:val="22"/>
        </w:rPr>
        <w:t>delegate</w:t>
      </w:r>
      <w:r w:rsidR="00500BA7">
        <w:rPr>
          <w:szCs w:val="22"/>
        </w:rPr>
        <w:t>d</w:t>
      </w:r>
      <w:r w:rsidR="00500BA7" w:rsidRPr="00D1066A">
        <w:rPr>
          <w:szCs w:val="22"/>
        </w:rPr>
        <w:t xml:space="preserve"> authority to the OET to extend </w:t>
      </w:r>
      <w:r w:rsidR="004D0CB7">
        <w:rPr>
          <w:szCs w:val="22"/>
        </w:rPr>
        <w:t>the waiver period</w:t>
      </w:r>
      <w:r w:rsidR="00500BA7" w:rsidRPr="00D1066A">
        <w:rPr>
          <w:rFonts w:ascii="Arial" w:hAnsi="Arial" w:cs="Arial"/>
          <w:sz w:val="20"/>
        </w:rPr>
        <w:t>.</w:t>
      </w:r>
      <w:r w:rsidR="004D0CB7">
        <w:rPr>
          <w:rStyle w:val="FootnoteReference"/>
          <w:rFonts w:cs="Arial"/>
        </w:rPr>
        <w:footnoteReference w:id="10"/>
      </w:r>
    </w:p>
    <w:p w14:paraId="5AE8E5C8" w14:textId="00457A29" w:rsidR="00471814" w:rsidRDefault="00CE1C50" w:rsidP="001E3B32">
      <w:pPr>
        <w:pStyle w:val="ParaNum"/>
        <w:widowControl/>
      </w:pPr>
      <w:r>
        <w:t>A</w:t>
      </w:r>
      <w:r w:rsidR="00032AC2">
        <w:t xml:space="preserve">s it does not appear that the subject rulemaking will be concluded prior to December 31, </w:t>
      </w:r>
      <w:r w:rsidR="0003777A">
        <w:t xml:space="preserve">2016, </w:t>
      </w:r>
      <w:r w:rsidR="00C73BF3">
        <w:t xml:space="preserve">and the use of paper filing without an electronic option would cause significant burdens, </w:t>
      </w:r>
      <w:r w:rsidR="00BA5510">
        <w:t>the basis for grant of the original waiver</w:t>
      </w:r>
      <w:r w:rsidR="0003777A">
        <w:t>s</w:t>
      </w:r>
      <w:r w:rsidR="00BA5510">
        <w:t xml:space="preserve"> remains valid.</w:t>
      </w:r>
      <w:r w:rsidR="00C73BF3">
        <w:t xml:space="preserve">   </w:t>
      </w:r>
      <w:r w:rsidR="00A757DC">
        <w:t>Moreover</w:t>
      </w:r>
      <w:r w:rsidR="00BA5510">
        <w:t xml:space="preserve">, as anticipated in the </w:t>
      </w:r>
      <w:r w:rsidR="00BA5510" w:rsidRPr="001E3B32">
        <w:rPr>
          <w:i/>
        </w:rPr>
        <w:t>Wavier Order</w:t>
      </w:r>
      <w:r w:rsidR="00BA5510">
        <w:t>, we have been able to work with CBP to draw on other data</w:t>
      </w:r>
      <w:r w:rsidR="00C97B51">
        <w:t xml:space="preserve"> to satisfy any additional information needs, and </w:t>
      </w:r>
      <w:r w:rsidR="0003777A">
        <w:t>we expect</w:t>
      </w:r>
      <w:r w:rsidR="00C97B51">
        <w:t xml:space="preserve"> th</w:t>
      </w:r>
      <w:r w:rsidR="0003777A">
        <w:t>is cooperation to</w:t>
      </w:r>
      <w:r w:rsidR="00C97B51">
        <w:t xml:space="preserve"> continue.</w:t>
      </w:r>
      <w:r w:rsidR="00C97B51">
        <w:rPr>
          <w:rStyle w:val="FootnoteReference"/>
        </w:rPr>
        <w:footnoteReference w:id="11"/>
      </w:r>
      <w:r w:rsidR="0003777A">
        <w:t xml:space="preserve">  </w:t>
      </w:r>
      <w:r w:rsidR="00F36346">
        <w:t>As with the</w:t>
      </w:r>
      <w:r w:rsidR="006855A9">
        <w:t xml:space="preserve"> </w:t>
      </w:r>
      <w:r w:rsidR="006855A9" w:rsidRPr="001E3B32">
        <w:rPr>
          <w:i/>
        </w:rPr>
        <w:t>Waiver Order</w:t>
      </w:r>
      <w:r w:rsidR="006855A9">
        <w:t xml:space="preserve">, </w:t>
      </w:r>
      <w:r w:rsidR="00DD5B71">
        <w:t xml:space="preserve">this </w:t>
      </w:r>
      <w:r w:rsidR="006855A9">
        <w:t xml:space="preserve">extension </w:t>
      </w:r>
      <w:r w:rsidR="00471814">
        <w:t xml:space="preserve">only affects the manner in which the Commission collects the information about imported RF equipment that is associated with the requirements of </w:t>
      </w:r>
      <w:r w:rsidR="00DD5B71">
        <w:t>S</w:t>
      </w:r>
      <w:r w:rsidR="00471814">
        <w:t xml:space="preserve">ections 2.1203 and 2.1205.  </w:t>
      </w:r>
      <w:r w:rsidR="00C73BF3">
        <w:t xml:space="preserve">In the event the Commission decides to require importers to submit some or all of the information currently required by Sections 2.1203 and 2.1205, it can still set forth appropriate revised filing procedures.   </w:t>
      </w:r>
      <w:r w:rsidR="00471814">
        <w:t>The general proscription against importation of non-authorized equipment</w:t>
      </w:r>
      <w:r w:rsidR="00DD5B71">
        <w:t>, Section 2.1204,</w:t>
      </w:r>
      <w:r w:rsidR="00DD5B71">
        <w:rPr>
          <w:rStyle w:val="FootnoteReference"/>
        </w:rPr>
        <w:footnoteReference w:id="12"/>
      </w:r>
      <w:r w:rsidR="00471814">
        <w:t xml:space="preserve"> </w:t>
      </w:r>
      <w:r w:rsidR="00F36346">
        <w:t xml:space="preserve">continues to </w:t>
      </w:r>
      <w:r w:rsidR="00471814">
        <w:t xml:space="preserve">remain fully in effect.    </w:t>
      </w:r>
    </w:p>
    <w:p w14:paraId="33C4043F" w14:textId="77777777" w:rsidR="00471814" w:rsidRDefault="00471814" w:rsidP="002723D4">
      <w:pPr>
        <w:pStyle w:val="ParaNum"/>
      </w:pPr>
      <w:r>
        <w:t xml:space="preserve">Accordingly, </w:t>
      </w:r>
      <w:r w:rsidRPr="0035570D">
        <w:rPr>
          <w:spacing w:val="-2"/>
        </w:rPr>
        <w:t>IT</w:t>
      </w:r>
      <w:r>
        <w:t xml:space="preserve"> IS ORDERED, pursuant to </w:t>
      </w:r>
      <w:r w:rsidR="00B2390A">
        <w:t xml:space="preserve">authority delegated to the Office of Engineering and Technology by the Commission, </w:t>
      </w:r>
      <w:r>
        <w:t xml:space="preserve">that </w:t>
      </w:r>
      <w:r w:rsidR="00B2390A">
        <w:t>the waiver</w:t>
      </w:r>
      <w:r w:rsidR="0053550C">
        <w:t>s</w:t>
      </w:r>
      <w:r w:rsidR="00B2390A">
        <w:t xml:space="preserve"> </w:t>
      </w:r>
      <w:r w:rsidR="0053550C">
        <w:t xml:space="preserve">of </w:t>
      </w:r>
      <w:r>
        <w:t xml:space="preserve">Sections 2.1203 and 2.1205 of the Commission’s Rules and Regulations, </w:t>
      </w:r>
      <w:r w:rsidRPr="003C538E">
        <w:t>47 C.F.R. Sections</w:t>
      </w:r>
      <w:r>
        <w:t xml:space="preserve"> 2.1203 and 2.1205, </w:t>
      </w:r>
      <w:r w:rsidR="0053550C">
        <w:t xml:space="preserve">that were originally granted by the Commission on October 16, 2015, </w:t>
      </w:r>
      <w:r>
        <w:t xml:space="preserve">ARE </w:t>
      </w:r>
      <w:r w:rsidR="0053550C">
        <w:t xml:space="preserve">HEREBY EXTENDED through </w:t>
      </w:r>
      <w:r>
        <w:t>Ju</w:t>
      </w:r>
      <w:r w:rsidR="0053550C">
        <w:t>ne 30</w:t>
      </w:r>
      <w:r>
        <w:t>, 201</w:t>
      </w:r>
      <w:r w:rsidR="0053550C">
        <w:t>7</w:t>
      </w:r>
      <w:r w:rsidR="00C97B51">
        <w:t>.</w:t>
      </w:r>
    </w:p>
    <w:p w14:paraId="01E3AF85" w14:textId="77777777" w:rsidR="00471814" w:rsidRDefault="00471814" w:rsidP="00471814"/>
    <w:p w14:paraId="16D13180" w14:textId="77777777" w:rsidR="00471814" w:rsidRDefault="00471814" w:rsidP="00471814">
      <w:r>
        <w:tab/>
      </w:r>
      <w:r>
        <w:tab/>
      </w:r>
      <w:r>
        <w:tab/>
      </w:r>
      <w:r>
        <w:tab/>
      </w:r>
      <w:r>
        <w:tab/>
      </w:r>
      <w:r>
        <w:tab/>
        <w:t>FEDERAL COMMUNICATIONS COMMISSION</w:t>
      </w:r>
    </w:p>
    <w:p w14:paraId="7264A71C" w14:textId="77777777" w:rsidR="00471814" w:rsidRDefault="00471814" w:rsidP="00471814"/>
    <w:p w14:paraId="1A6BC314" w14:textId="77777777" w:rsidR="00471814" w:rsidRDefault="00471814" w:rsidP="00471814"/>
    <w:p w14:paraId="33278AF1" w14:textId="77777777" w:rsidR="00471814" w:rsidRDefault="00471814" w:rsidP="00471814"/>
    <w:p w14:paraId="0F0A0DA1" w14:textId="77777777" w:rsidR="00471814" w:rsidRDefault="00471814" w:rsidP="00471814"/>
    <w:p w14:paraId="0FB9974F" w14:textId="77777777" w:rsidR="00471814" w:rsidRDefault="00471814" w:rsidP="00471814">
      <w:r>
        <w:tab/>
      </w:r>
      <w:r>
        <w:tab/>
      </w:r>
      <w:r>
        <w:tab/>
      </w:r>
      <w:r>
        <w:tab/>
      </w:r>
      <w:r>
        <w:tab/>
      </w:r>
      <w:r>
        <w:tab/>
      </w:r>
      <w:r w:rsidR="0053550C">
        <w:t>Julius P. Knapp</w:t>
      </w:r>
    </w:p>
    <w:p w14:paraId="5DEE5F8E" w14:textId="77777777" w:rsidR="00471814" w:rsidRDefault="00471814" w:rsidP="00471814">
      <w:r>
        <w:tab/>
      </w:r>
      <w:r>
        <w:tab/>
      </w:r>
      <w:r>
        <w:tab/>
      </w:r>
      <w:r>
        <w:tab/>
      </w:r>
      <w:r>
        <w:tab/>
      </w:r>
      <w:r>
        <w:tab/>
      </w:r>
      <w:r w:rsidR="0053550C">
        <w:t>Chief, Office of Engineering and Technology</w:t>
      </w:r>
    </w:p>
    <w:p w14:paraId="1CD4AAB9" w14:textId="77777777" w:rsidR="00471814" w:rsidRDefault="00471814" w:rsidP="00471814">
      <w:pPr>
        <w:rPr>
          <w:lang w:val="pt-BR"/>
        </w:rPr>
      </w:pPr>
    </w:p>
    <w:p w14:paraId="25A63068" w14:textId="77777777" w:rsidR="002C00E8" w:rsidRPr="00471814" w:rsidRDefault="002C00E8" w:rsidP="00471814"/>
    <w:sectPr w:rsidR="002C00E8" w:rsidRPr="0047181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92567" w14:textId="77777777" w:rsidR="00AD26FC" w:rsidRDefault="00AD26FC">
      <w:pPr>
        <w:spacing w:line="20" w:lineRule="exact"/>
      </w:pPr>
    </w:p>
  </w:endnote>
  <w:endnote w:type="continuationSeparator" w:id="0">
    <w:p w14:paraId="1C371D70" w14:textId="77777777" w:rsidR="00AD26FC" w:rsidRDefault="00AD26FC">
      <w:r>
        <w:t xml:space="preserve"> </w:t>
      </w:r>
    </w:p>
  </w:endnote>
  <w:endnote w:type="continuationNotice" w:id="1">
    <w:p w14:paraId="533B6743" w14:textId="77777777" w:rsidR="00AD26FC" w:rsidRDefault="00AD26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E3A5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EB1DF3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F840"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2531F">
      <w:rPr>
        <w:noProof/>
      </w:rPr>
      <w:t>2</w:t>
    </w:r>
    <w:r>
      <w:fldChar w:fldCharType="end"/>
    </w:r>
  </w:p>
  <w:p w14:paraId="066A8F76"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DFDD7"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8683F" w14:textId="77777777" w:rsidR="00AD26FC" w:rsidRDefault="00AD26FC">
      <w:r>
        <w:separator/>
      </w:r>
    </w:p>
  </w:footnote>
  <w:footnote w:type="continuationSeparator" w:id="0">
    <w:p w14:paraId="0DB8F8F9" w14:textId="77777777" w:rsidR="00AD26FC" w:rsidRDefault="00AD26FC" w:rsidP="00C721AC">
      <w:pPr>
        <w:spacing w:before="120"/>
        <w:rPr>
          <w:sz w:val="20"/>
        </w:rPr>
      </w:pPr>
      <w:r>
        <w:rPr>
          <w:sz w:val="20"/>
        </w:rPr>
        <w:t xml:space="preserve">(Continued from previous page)  </w:t>
      </w:r>
      <w:r>
        <w:rPr>
          <w:sz w:val="20"/>
        </w:rPr>
        <w:separator/>
      </w:r>
    </w:p>
  </w:footnote>
  <w:footnote w:type="continuationNotice" w:id="1">
    <w:p w14:paraId="491FEEF7" w14:textId="77777777" w:rsidR="00AD26FC" w:rsidRDefault="00AD26FC" w:rsidP="00C721AC">
      <w:pPr>
        <w:jc w:val="right"/>
        <w:rPr>
          <w:sz w:val="20"/>
        </w:rPr>
      </w:pPr>
      <w:r>
        <w:rPr>
          <w:sz w:val="20"/>
        </w:rPr>
        <w:t>(continued….)</w:t>
      </w:r>
    </w:p>
  </w:footnote>
  <w:footnote w:id="2">
    <w:p w14:paraId="7E0B28A4" w14:textId="77777777" w:rsidR="00B20A4A" w:rsidRDefault="00B20A4A" w:rsidP="00B20A4A">
      <w:pPr>
        <w:pStyle w:val="FootnoteText"/>
      </w:pPr>
      <w:r>
        <w:rPr>
          <w:rStyle w:val="FootnoteReference"/>
        </w:rPr>
        <w:footnoteRef/>
      </w:r>
      <w:r>
        <w:t xml:space="preserve"> </w:t>
      </w:r>
      <w:r w:rsidRPr="006B59DF">
        <w:t>Amendment of Parts 0, 1, 2, 15 and 18 of the Commission’s Rules Regarding Authorization of Radiofrequency Equipment, ET Docket No. 15-170</w:t>
      </w:r>
      <w:r>
        <w:t xml:space="preserve">, </w:t>
      </w:r>
      <w:r>
        <w:rPr>
          <w:i/>
        </w:rPr>
        <w:t>Order,</w:t>
      </w:r>
      <w:r w:rsidRPr="006B59DF">
        <w:t xml:space="preserve"> </w:t>
      </w:r>
      <w:r>
        <w:t>30 FCC Rcd 7725 (</w:t>
      </w:r>
      <w:r w:rsidRPr="006B59DF">
        <w:t>2015)</w:t>
      </w:r>
      <w:r>
        <w:t xml:space="preserve"> (</w:t>
      </w:r>
      <w:r>
        <w:rPr>
          <w:i/>
        </w:rPr>
        <w:t>Waiver Order</w:t>
      </w:r>
      <w:r>
        <w:t xml:space="preserve">).  </w:t>
      </w:r>
    </w:p>
  </w:footnote>
  <w:footnote w:id="3">
    <w:p w14:paraId="0D2309F3" w14:textId="77777777" w:rsidR="0077163C" w:rsidRDefault="0077163C" w:rsidP="0077163C">
      <w:pPr>
        <w:pStyle w:val="FootnoteText"/>
      </w:pPr>
      <w:r>
        <w:rPr>
          <w:rStyle w:val="FootnoteReference"/>
        </w:rPr>
        <w:footnoteRef/>
      </w:r>
      <w:r>
        <w:t xml:space="preserve"> 47 C.F.R. §§ 2.1203 and 2.1205.</w:t>
      </w:r>
    </w:p>
  </w:footnote>
  <w:footnote w:id="4">
    <w:p w14:paraId="14417830" w14:textId="5706912D" w:rsidR="00B33DF2" w:rsidRPr="003E36E1" w:rsidRDefault="00B33DF2" w:rsidP="00B33DF2">
      <w:pPr>
        <w:pStyle w:val="FootnoteText"/>
      </w:pPr>
      <w:r>
        <w:rPr>
          <w:rStyle w:val="FootnoteReference"/>
        </w:rPr>
        <w:footnoteRef/>
      </w:r>
      <w:r w:rsidR="001E5D04">
        <w:t xml:space="preserve"> </w:t>
      </w:r>
      <w:r w:rsidRPr="006B59DF">
        <w:t>Amendment of Parts 0, 1, 2, 15 and 18 of the Commission’s Rules Regarding Authorization of Radiofrequency Equipment, ET Docket No. 15-170</w:t>
      </w:r>
      <w:r>
        <w:t xml:space="preserve">, </w:t>
      </w:r>
      <w:r w:rsidRPr="006B59DF">
        <w:rPr>
          <w:i/>
        </w:rPr>
        <w:t>Notice of Proposed Rulemaking</w:t>
      </w:r>
      <w:r w:rsidRPr="006B59DF">
        <w:t xml:space="preserve">, </w:t>
      </w:r>
      <w:r>
        <w:t>30 FCC Rcd 7725 (</w:t>
      </w:r>
      <w:r w:rsidRPr="006B59DF">
        <w:t>2015)</w:t>
      </w:r>
      <w:r>
        <w:t xml:space="preserve"> (</w:t>
      </w:r>
      <w:r w:rsidRPr="00210FB8">
        <w:rPr>
          <w:i/>
        </w:rPr>
        <w:t>NPRM</w:t>
      </w:r>
      <w:r>
        <w:t xml:space="preserve">).  </w:t>
      </w:r>
    </w:p>
  </w:footnote>
  <w:footnote w:id="5">
    <w:p w14:paraId="2EAC72CD" w14:textId="77777777" w:rsidR="00B33DF2" w:rsidRPr="00D65F06" w:rsidRDefault="00B33DF2" w:rsidP="00B33DF2">
      <w:pPr>
        <w:pStyle w:val="FootnoteText"/>
      </w:pPr>
      <w:r>
        <w:rPr>
          <w:rStyle w:val="FootnoteReference"/>
        </w:rPr>
        <w:footnoteRef/>
      </w:r>
      <w:r>
        <w:t xml:space="preserve"> </w:t>
      </w:r>
      <w:r>
        <w:rPr>
          <w:i/>
        </w:rPr>
        <w:t>NPRM</w:t>
      </w:r>
      <w:r>
        <w:t>, 30 FCC Rcd at 7766-67, paras. 117-121</w:t>
      </w:r>
      <w:r w:rsidR="00D212AE">
        <w:t xml:space="preserve"> and proposed 47 C.F.R. § 2.1203 (Appx. A).</w:t>
      </w:r>
    </w:p>
  </w:footnote>
  <w:footnote w:id="6">
    <w:p w14:paraId="28BCE024" w14:textId="543BB459" w:rsidR="00125569" w:rsidRDefault="00125569">
      <w:pPr>
        <w:pStyle w:val="FootnoteText"/>
      </w:pPr>
      <w:r>
        <w:rPr>
          <w:rStyle w:val="FootnoteReference"/>
        </w:rPr>
        <w:footnoteRef/>
      </w:r>
      <w:r>
        <w:t xml:space="preserve"> Pursuant to the Section 2.1205 of our rules, a</w:t>
      </w:r>
      <w:r w:rsidRPr="00E8122B">
        <w:t>t ports of entry</w:t>
      </w:r>
      <w:r w:rsidRPr="00B56FEB">
        <w:rPr>
          <w:spacing w:val="-2"/>
        </w:rPr>
        <w:t xml:space="preserve"> where electronic customs filing is available, the importer may submit the </w:t>
      </w:r>
      <w:r>
        <w:rPr>
          <w:spacing w:val="-2"/>
        </w:rPr>
        <w:t xml:space="preserve">FCC-required </w:t>
      </w:r>
      <w:r w:rsidRPr="00B56FEB">
        <w:rPr>
          <w:spacing w:val="-2"/>
        </w:rPr>
        <w:t>information electronically as part of its entry documentation submission to CBP</w:t>
      </w:r>
      <w:r>
        <w:rPr>
          <w:spacing w:val="-2"/>
        </w:rPr>
        <w:t>.  W</w:t>
      </w:r>
      <w:r w:rsidRPr="00E8122B">
        <w:t xml:space="preserve">here electronic filing with </w:t>
      </w:r>
      <w:r w:rsidRPr="00B56FEB">
        <w:rPr>
          <w:spacing w:val="-2"/>
        </w:rPr>
        <w:t>CBP</w:t>
      </w:r>
      <w:r>
        <w:t xml:space="preserve"> </w:t>
      </w:r>
      <w:r w:rsidRPr="00E8122B">
        <w:t xml:space="preserve">is </w:t>
      </w:r>
      <w:r>
        <w:t xml:space="preserve">not </w:t>
      </w:r>
      <w:r w:rsidRPr="00E8122B">
        <w:t xml:space="preserve">available, </w:t>
      </w:r>
      <w:r>
        <w:t xml:space="preserve">the importer must </w:t>
      </w:r>
      <w:r w:rsidRPr="00B56FEB">
        <w:rPr>
          <w:spacing w:val="-2"/>
        </w:rPr>
        <w:t xml:space="preserve">complete FCC Form 740 and attach a copy to its customs </w:t>
      </w:r>
      <w:r w:rsidR="0024401E">
        <w:rPr>
          <w:spacing w:val="-2"/>
        </w:rPr>
        <w:t xml:space="preserve">entry </w:t>
      </w:r>
      <w:r w:rsidRPr="00B56FEB">
        <w:rPr>
          <w:spacing w:val="-2"/>
        </w:rPr>
        <w:t>papers</w:t>
      </w:r>
      <w:r w:rsidR="00731F8A">
        <w:rPr>
          <w:spacing w:val="-2"/>
        </w:rPr>
        <w:t>.</w:t>
      </w:r>
    </w:p>
  </w:footnote>
  <w:footnote w:id="7">
    <w:p w14:paraId="70EF8B5C" w14:textId="77777777" w:rsidR="001218EA" w:rsidRPr="001218EA" w:rsidRDefault="001218EA" w:rsidP="001218EA">
      <w:pPr>
        <w:pStyle w:val="FootnoteText"/>
      </w:pPr>
      <w:r>
        <w:rPr>
          <w:rStyle w:val="FootnoteReference"/>
        </w:rPr>
        <w:footnoteRef/>
      </w:r>
      <w:r>
        <w:t xml:space="preserve"> </w:t>
      </w:r>
      <w:r w:rsidR="009A6F1D">
        <w:rPr>
          <w:i/>
        </w:rPr>
        <w:t>Waiver Order.</w:t>
      </w:r>
      <w:r w:rsidR="009A6F1D">
        <w:t xml:space="preserve">  </w:t>
      </w:r>
      <w:r w:rsidR="009A6F1D">
        <w:rPr>
          <w:i/>
        </w:rPr>
        <w:t xml:space="preserve">See also </w:t>
      </w:r>
      <w:r w:rsidRPr="001218EA">
        <w:rPr>
          <w:i/>
        </w:rPr>
        <w:t>Office Of Engineering And Technology Addresses Misconceptions About F</w:t>
      </w:r>
      <w:r w:rsidR="00B56FEB">
        <w:rPr>
          <w:i/>
        </w:rPr>
        <w:t>CC</w:t>
      </w:r>
      <w:r w:rsidRPr="001218EA">
        <w:rPr>
          <w:i/>
        </w:rPr>
        <w:t xml:space="preserve"> Form 740 Electronic Filing Requirements</w:t>
      </w:r>
      <w:r>
        <w:t xml:space="preserve">, Public Notice, </w:t>
      </w:r>
      <w:r w:rsidR="005B2E19">
        <w:t xml:space="preserve">ET Docket 15-170, </w:t>
      </w:r>
      <w:r w:rsidR="009A6F1D">
        <w:t xml:space="preserve">31 FCC Rcd 21 </w:t>
      </w:r>
      <w:r w:rsidR="005B2E19">
        <w:t>(OET</w:t>
      </w:r>
      <w:r w:rsidR="009A6F1D">
        <w:t>,</w:t>
      </w:r>
      <w:r w:rsidR="005B2E19">
        <w:t xml:space="preserve"> Jan. 6, 2016).</w:t>
      </w:r>
    </w:p>
  </w:footnote>
  <w:footnote w:id="8">
    <w:p w14:paraId="30C230CC" w14:textId="77777777" w:rsidR="00D17E0E" w:rsidRPr="009A6F1D" w:rsidRDefault="00D17E0E">
      <w:pPr>
        <w:pStyle w:val="FootnoteText"/>
        <w:rPr>
          <w:i/>
        </w:rPr>
      </w:pPr>
      <w:r>
        <w:rPr>
          <w:rStyle w:val="FootnoteReference"/>
        </w:rPr>
        <w:footnoteRef/>
      </w:r>
      <w:r>
        <w:t xml:space="preserve"> Filers would also lose the ability to make “hybrid” filings (i.e. partial electronic and partial paper) that had been allowed in certain circumstances, and would instead have to resort to submitting all materials in paper form.  </w:t>
      </w:r>
      <w:r>
        <w:rPr>
          <w:i/>
        </w:rPr>
        <w:t xml:space="preserve">Waiver Order </w:t>
      </w:r>
      <w:r>
        <w:t>at 11828, para. 4.</w:t>
      </w:r>
    </w:p>
  </w:footnote>
  <w:footnote w:id="9">
    <w:p w14:paraId="24D6DD00" w14:textId="2A674674" w:rsidR="00500BA7" w:rsidRDefault="00500BA7" w:rsidP="00500BA7">
      <w:pPr>
        <w:pStyle w:val="FootnoteText"/>
      </w:pPr>
      <w:r>
        <w:rPr>
          <w:rStyle w:val="FootnoteReference"/>
        </w:rPr>
        <w:footnoteRef/>
      </w:r>
      <w:r w:rsidR="001E5D04">
        <w:t xml:space="preserve"> </w:t>
      </w:r>
      <w:r>
        <w:rPr>
          <w:i/>
        </w:rPr>
        <w:t xml:space="preserve">Waiver Order </w:t>
      </w:r>
      <w:r>
        <w:t>at 11829</w:t>
      </w:r>
      <w:r w:rsidR="0003777A">
        <w:t>, para. 6</w:t>
      </w:r>
      <w:r>
        <w:t xml:space="preserve">.  Section 1.3 of the Commission’s rules provides that “[a]ny provision of the rules may be waived by the Commission on its own motion or on petition if good cause therefor is shown.”  </w:t>
      </w:r>
      <w:r w:rsidRPr="00722005">
        <w:rPr>
          <w:i/>
        </w:rPr>
        <w:t>See</w:t>
      </w:r>
      <w:r>
        <w:t xml:space="preserve"> 47 C.F.R. § 1.3.</w:t>
      </w:r>
    </w:p>
  </w:footnote>
  <w:footnote w:id="10">
    <w:p w14:paraId="61E90923" w14:textId="77777777" w:rsidR="004D0CB7" w:rsidRPr="009A6F1D" w:rsidRDefault="004D0CB7">
      <w:pPr>
        <w:pStyle w:val="FootnoteText"/>
      </w:pPr>
      <w:r>
        <w:rPr>
          <w:rStyle w:val="FootnoteReference"/>
        </w:rPr>
        <w:footnoteRef/>
      </w:r>
      <w:r>
        <w:t xml:space="preserve"> </w:t>
      </w:r>
      <w:r>
        <w:rPr>
          <w:i/>
        </w:rPr>
        <w:t>Id.</w:t>
      </w:r>
      <w:r w:rsidR="00D212AE">
        <w:rPr>
          <w:i/>
        </w:rPr>
        <w:t xml:space="preserve">  </w:t>
      </w:r>
      <w:r w:rsidR="00D212AE">
        <w:t xml:space="preserve">Such an extension could extend as far as the </w:t>
      </w:r>
      <w:r w:rsidR="00D212AE" w:rsidRPr="00D1066A">
        <w:rPr>
          <w:szCs w:val="22"/>
        </w:rPr>
        <w:t xml:space="preserve">effective date of </w:t>
      </w:r>
      <w:r w:rsidR="00D212AE">
        <w:rPr>
          <w:szCs w:val="22"/>
        </w:rPr>
        <w:t>the Commission’s</w:t>
      </w:r>
      <w:r w:rsidR="00D212AE" w:rsidRPr="00D1066A">
        <w:rPr>
          <w:szCs w:val="22"/>
        </w:rPr>
        <w:t xml:space="preserve"> decision in the proceeding</w:t>
      </w:r>
      <w:r w:rsidR="00D212AE">
        <w:rPr>
          <w:szCs w:val="22"/>
        </w:rPr>
        <w:t>.</w:t>
      </w:r>
    </w:p>
  </w:footnote>
  <w:footnote w:id="11">
    <w:p w14:paraId="44107023" w14:textId="2F7F8208" w:rsidR="00C97B51" w:rsidRDefault="00C97B51">
      <w:pPr>
        <w:pStyle w:val="FootnoteText"/>
      </w:pPr>
      <w:r>
        <w:rPr>
          <w:rStyle w:val="FootnoteReference"/>
        </w:rPr>
        <w:footnoteRef/>
      </w:r>
      <w:r>
        <w:t xml:space="preserve"> </w:t>
      </w:r>
      <w:r w:rsidR="0024401E" w:rsidRPr="0024401E">
        <w:rPr>
          <w:i/>
        </w:rPr>
        <w:t>W</w:t>
      </w:r>
      <w:r w:rsidRPr="0024401E">
        <w:rPr>
          <w:i/>
        </w:rPr>
        <w:t xml:space="preserve">aiver </w:t>
      </w:r>
      <w:r w:rsidR="0024401E" w:rsidRPr="0024401E">
        <w:rPr>
          <w:i/>
        </w:rPr>
        <w:t>O</w:t>
      </w:r>
      <w:r w:rsidRPr="0024401E">
        <w:rPr>
          <w:i/>
        </w:rPr>
        <w:t>rde</w:t>
      </w:r>
      <w:r>
        <w:t xml:space="preserve">r at </w:t>
      </w:r>
      <w:r w:rsidR="0024401E">
        <w:t xml:space="preserve">11829, </w:t>
      </w:r>
      <w:r>
        <w:t>para</w:t>
      </w:r>
      <w:r w:rsidR="0024401E">
        <w:t>.</w:t>
      </w:r>
      <w:r>
        <w:t xml:space="preserve"> 6</w:t>
      </w:r>
      <w:r w:rsidR="0024401E">
        <w:t>.</w:t>
      </w:r>
    </w:p>
  </w:footnote>
  <w:footnote w:id="12">
    <w:p w14:paraId="45AAC22F" w14:textId="77777777" w:rsidR="00DD5B71" w:rsidRDefault="00DD5B71">
      <w:pPr>
        <w:pStyle w:val="FootnoteText"/>
      </w:pPr>
      <w:r>
        <w:rPr>
          <w:rStyle w:val="FootnoteReference"/>
        </w:rPr>
        <w:footnoteRef/>
      </w:r>
      <w:r>
        <w:t xml:space="preserve"> </w:t>
      </w:r>
      <w:r w:rsidRPr="009E0090">
        <w:t>47 C.F.R § 2.1204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D06C" w14:textId="77777777" w:rsidR="00A9299F" w:rsidRDefault="00A92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AE7FC" w14:textId="7CD826DA" w:rsidR="00D25FB5" w:rsidRDefault="00D25FB5" w:rsidP="00810B6F">
    <w:pPr>
      <w:pStyle w:val="Header"/>
      <w:rPr>
        <w:b w:val="0"/>
      </w:rPr>
    </w:pPr>
    <w:r>
      <w:tab/>
      <w:t>Federal Communications Commission</w:t>
    </w:r>
    <w:r>
      <w:tab/>
    </w:r>
    <w:r w:rsidR="00A9494D">
      <w:t>DA</w:t>
    </w:r>
    <w:r w:rsidR="00471814">
      <w:t xml:space="preserve"> 1</w:t>
    </w:r>
    <w:r w:rsidR="00A9494D">
      <w:t>6</w:t>
    </w:r>
    <w:r w:rsidR="00471814">
      <w:t>-</w:t>
    </w:r>
    <w:r w:rsidR="00BA70C6">
      <w:t>1366</w:t>
    </w:r>
  </w:p>
  <w:p w14:paraId="30129EDE" w14:textId="77777777" w:rsidR="00D25FB5" w:rsidRDefault="00463A3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7AFEFC1" wp14:editId="638DB0B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87A23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56568D7"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53A3" w14:textId="7E3CAA23" w:rsidR="00D25FB5" w:rsidRDefault="00463A3A" w:rsidP="00810B6F">
    <w:pPr>
      <w:pStyle w:val="Header"/>
      <w:rPr>
        <w:b w:val="0"/>
      </w:rPr>
    </w:pPr>
    <w:r>
      <w:rPr>
        <w:noProof/>
      </w:rPr>
      <mc:AlternateContent>
        <mc:Choice Requires="wps">
          <w:drawing>
            <wp:anchor distT="0" distB="0" distL="114300" distR="114300" simplePos="0" relativeHeight="251658240" behindDoc="1" locked="0" layoutInCell="0" allowOverlap="1" wp14:anchorId="4DC0D151" wp14:editId="792AE7C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CE8D0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A70C6">
      <w:rPr>
        <w:spacing w:val="-2"/>
      </w:rPr>
      <w:t xml:space="preserve">DA </w:t>
    </w:r>
    <w:r w:rsidR="00471814">
      <w:rPr>
        <w:spacing w:val="-2"/>
      </w:rPr>
      <w:t>1</w:t>
    </w:r>
    <w:r w:rsidR="005F264F">
      <w:rPr>
        <w:spacing w:val="-2"/>
      </w:rPr>
      <w:t>6</w:t>
    </w:r>
    <w:r w:rsidR="00471814">
      <w:rPr>
        <w:spacing w:val="-2"/>
      </w:rPr>
      <w:t>-</w:t>
    </w:r>
    <w:r w:rsidR="00BA70C6">
      <w:rPr>
        <w:spacing w:val="-2"/>
      </w:rPr>
      <w:t>1366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2AC2"/>
    <w:rsid w:val="00035C08"/>
    <w:rsid w:val="00036039"/>
    <w:rsid w:val="0003777A"/>
    <w:rsid w:val="00037F90"/>
    <w:rsid w:val="000422A0"/>
    <w:rsid w:val="000533F0"/>
    <w:rsid w:val="000875BF"/>
    <w:rsid w:val="00096D8C"/>
    <w:rsid w:val="000C0B65"/>
    <w:rsid w:val="000E05FE"/>
    <w:rsid w:val="000E3D42"/>
    <w:rsid w:val="001218EA"/>
    <w:rsid w:val="00122BD5"/>
    <w:rsid w:val="00125569"/>
    <w:rsid w:val="00133F79"/>
    <w:rsid w:val="00170499"/>
    <w:rsid w:val="00194A66"/>
    <w:rsid w:val="0019640A"/>
    <w:rsid w:val="00197C06"/>
    <w:rsid w:val="001D6BCF"/>
    <w:rsid w:val="001E01CA"/>
    <w:rsid w:val="001E3B32"/>
    <w:rsid w:val="001E5D04"/>
    <w:rsid w:val="0024401E"/>
    <w:rsid w:val="002505A4"/>
    <w:rsid w:val="002723D4"/>
    <w:rsid w:val="00275CF5"/>
    <w:rsid w:val="0028301F"/>
    <w:rsid w:val="00285017"/>
    <w:rsid w:val="002A2D2E"/>
    <w:rsid w:val="002C00E8"/>
    <w:rsid w:val="002E1D5E"/>
    <w:rsid w:val="00343749"/>
    <w:rsid w:val="00350629"/>
    <w:rsid w:val="00355883"/>
    <w:rsid w:val="00364528"/>
    <w:rsid w:val="003660ED"/>
    <w:rsid w:val="00382E7E"/>
    <w:rsid w:val="003B0550"/>
    <w:rsid w:val="003B694F"/>
    <w:rsid w:val="003E49A9"/>
    <w:rsid w:val="003E62B8"/>
    <w:rsid w:val="003F171C"/>
    <w:rsid w:val="00412FC5"/>
    <w:rsid w:val="00422276"/>
    <w:rsid w:val="004242F1"/>
    <w:rsid w:val="00443852"/>
    <w:rsid w:val="00445A00"/>
    <w:rsid w:val="00451B0F"/>
    <w:rsid w:val="00463A3A"/>
    <w:rsid w:val="00471814"/>
    <w:rsid w:val="00472809"/>
    <w:rsid w:val="004C2EE3"/>
    <w:rsid w:val="004D0CB7"/>
    <w:rsid w:val="004E4A22"/>
    <w:rsid w:val="00500BA7"/>
    <w:rsid w:val="0050139E"/>
    <w:rsid w:val="00511968"/>
    <w:rsid w:val="00512EC6"/>
    <w:rsid w:val="00517BAF"/>
    <w:rsid w:val="0052531F"/>
    <w:rsid w:val="0053550C"/>
    <w:rsid w:val="0055614C"/>
    <w:rsid w:val="005B20F4"/>
    <w:rsid w:val="005B2E19"/>
    <w:rsid w:val="005E14C2"/>
    <w:rsid w:val="005F264F"/>
    <w:rsid w:val="00607BA5"/>
    <w:rsid w:val="0061180A"/>
    <w:rsid w:val="00626EB6"/>
    <w:rsid w:val="00655D03"/>
    <w:rsid w:val="00683388"/>
    <w:rsid w:val="00683F84"/>
    <w:rsid w:val="006855A9"/>
    <w:rsid w:val="006A13EA"/>
    <w:rsid w:val="006A6A81"/>
    <w:rsid w:val="006B032B"/>
    <w:rsid w:val="006F7393"/>
    <w:rsid w:val="0070224F"/>
    <w:rsid w:val="007115F7"/>
    <w:rsid w:val="00730AFE"/>
    <w:rsid w:val="00731F8A"/>
    <w:rsid w:val="0077163C"/>
    <w:rsid w:val="00785689"/>
    <w:rsid w:val="00790954"/>
    <w:rsid w:val="0079754B"/>
    <w:rsid w:val="007A1E6D"/>
    <w:rsid w:val="007B0EB2"/>
    <w:rsid w:val="00810B6F"/>
    <w:rsid w:val="00822CE0"/>
    <w:rsid w:val="00841AB1"/>
    <w:rsid w:val="00851D8C"/>
    <w:rsid w:val="00874705"/>
    <w:rsid w:val="008C68F1"/>
    <w:rsid w:val="008D6E58"/>
    <w:rsid w:val="00901B61"/>
    <w:rsid w:val="00905B9E"/>
    <w:rsid w:val="00921803"/>
    <w:rsid w:val="00926503"/>
    <w:rsid w:val="009726D8"/>
    <w:rsid w:val="009A6F1D"/>
    <w:rsid w:val="009F76DB"/>
    <w:rsid w:val="00A0707D"/>
    <w:rsid w:val="00A075B3"/>
    <w:rsid w:val="00A32C3B"/>
    <w:rsid w:val="00A45F4F"/>
    <w:rsid w:val="00A54D63"/>
    <w:rsid w:val="00A600A9"/>
    <w:rsid w:val="00A757DC"/>
    <w:rsid w:val="00A9299F"/>
    <w:rsid w:val="00A9494D"/>
    <w:rsid w:val="00AA55B7"/>
    <w:rsid w:val="00AA5B9E"/>
    <w:rsid w:val="00AB2407"/>
    <w:rsid w:val="00AB53DF"/>
    <w:rsid w:val="00AD26FC"/>
    <w:rsid w:val="00B07E5C"/>
    <w:rsid w:val="00B20A4A"/>
    <w:rsid w:val="00B2390A"/>
    <w:rsid w:val="00B33DF2"/>
    <w:rsid w:val="00B33F08"/>
    <w:rsid w:val="00B56FEB"/>
    <w:rsid w:val="00B811F7"/>
    <w:rsid w:val="00BA5510"/>
    <w:rsid w:val="00BA5DC6"/>
    <w:rsid w:val="00BA6196"/>
    <w:rsid w:val="00BA6CE1"/>
    <w:rsid w:val="00BA70C6"/>
    <w:rsid w:val="00BC6D8C"/>
    <w:rsid w:val="00C145C0"/>
    <w:rsid w:val="00C34006"/>
    <w:rsid w:val="00C35E1B"/>
    <w:rsid w:val="00C426B1"/>
    <w:rsid w:val="00C66160"/>
    <w:rsid w:val="00C721AC"/>
    <w:rsid w:val="00C73BF3"/>
    <w:rsid w:val="00C90D6A"/>
    <w:rsid w:val="00C97B51"/>
    <w:rsid w:val="00CA247E"/>
    <w:rsid w:val="00CC72B6"/>
    <w:rsid w:val="00CE1C50"/>
    <w:rsid w:val="00CF5D59"/>
    <w:rsid w:val="00D0218D"/>
    <w:rsid w:val="00D17E0E"/>
    <w:rsid w:val="00D212AE"/>
    <w:rsid w:val="00D25FB5"/>
    <w:rsid w:val="00D44223"/>
    <w:rsid w:val="00DA2529"/>
    <w:rsid w:val="00DA2DC2"/>
    <w:rsid w:val="00DB130A"/>
    <w:rsid w:val="00DB2EBB"/>
    <w:rsid w:val="00DC10A1"/>
    <w:rsid w:val="00DC655F"/>
    <w:rsid w:val="00DD0B59"/>
    <w:rsid w:val="00DD5B71"/>
    <w:rsid w:val="00DD7EBD"/>
    <w:rsid w:val="00DF62B6"/>
    <w:rsid w:val="00E07225"/>
    <w:rsid w:val="00E143EE"/>
    <w:rsid w:val="00E52026"/>
    <w:rsid w:val="00E5409F"/>
    <w:rsid w:val="00E77300"/>
    <w:rsid w:val="00EE6488"/>
    <w:rsid w:val="00F00239"/>
    <w:rsid w:val="00F021FA"/>
    <w:rsid w:val="00F36346"/>
    <w:rsid w:val="00F62E97"/>
    <w:rsid w:val="00F64209"/>
    <w:rsid w:val="00F7244C"/>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4:docId w14:val="7BE5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
    <w:link w:val="FootnoteText"/>
    <w:locked/>
    <w:rsid w:val="00471814"/>
  </w:style>
  <w:style w:type="character" w:customStyle="1" w:styleId="header1">
    <w:name w:val="header1"/>
    <w:rsid w:val="00471814"/>
  </w:style>
  <w:style w:type="paragraph" w:styleId="BalloonText">
    <w:name w:val="Balloon Text"/>
    <w:basedOn w:val="Normal"/>
    <w:link w:val="BalloonTextChar"/>
    <w:rsid w:val="002505A4"/>
    <w:rPr>
      <w:rFonts w:ascii="Segoe UI" w:hAnsi="Segoe UI" w:cs="Segoe UI"/>
      <w:sz w:val="18"/>
      <w:szCs w:val="18"/>
    </w:rPr>
  </w:style>
  <w:style w:type="character" w:customStyle="1" w:styleId="BalloonTextChar">
    <w:name w:val="Balloon Text Char"/>
    <w:basedOn w:val="DefaultParagraphFont"/>
    <w:link w:val="BalloonText"/>
    <w:rsid w:val="002505A4"/>
    <w:rPr>
      <w:rFonts w:ascii="Segoe UI" w:hAnsi="Segoe UI" w:cs="Segoe UI"/>
      <w:snapToGrid w:val="0"/>
      <w:kern w:val="28"/>
      <w:sz w:val="18"/>
      <w:szCs w:val="18"/>
    </w:rPr>
  </w:style>
  <w:style w:type="character" w:styleId="CommentReference">
    <w:name w:val="annotation reference"/>
    <w:basedOn w:val="DefaultParagraphFont"/>
    <w:semiHidden/>
    <w:unhideWhenUsed/>
    <w:rsid w:val="00032AC2"/>
    <w:rPr>
      <w:sz w:val="16"/>
      <w:szCs w:val="16"/>
    </w:rPr>
  </w:style>
  <w:style w:type="paragraph" w:styleId="CommentText">
    <w:name w:val="annotation text"/>
    <w:basedOn w:val="Normal"/>
    <w:link w:val="CommentTextChar"/>
    <w:semiHidden/>
    <w:unhideWhenUsed/>
    <w:rsid w:val="00032AC2"/>
    <w:rPr>
      <w:sz w:val="20"/>
    </w:rPr>
  </w:style>
  <w:style w:type="character" w:customStyle="1" w:styleId="CommentTextChar">
    <w:name w:val="Comment Text Char"/>
    <w:basedOn w:val="DefaultParagraphFont"/>
    <w:link w:val="CommentText"/>
    <w:semiHidden/>
    <w:rsid w:val="00032AC2"/>
    <w:rPr>
      <w:snapToGrid w:val="0"/>
      <w:kern w:val="28"/>
    </w:rPr>
  </w:style>
  <w:style w:type="paragraph" w:styleId="CommentSubject">
    <w:name w:val="annotation subject"/>
    <w:basedOn w:val="CommentText"/>
    <w:next w:val="CommentText"/>
    <w:link w:val="CommentSubjectChar"/>
    <w:semiHidden/>
    <w:unhideWhenUsed/>
    <w:rsid w:val="00032AC2"/>
    <w:rPr>
      <w:b/>
      <w:bCs/>
    </w:rPr>
  </w:style>
  <w:style w:type="character" w:customStyle="1" w:styleId="CommentSubjectChar">
    <w:name w:val="Comment Subject Char"/>
    <w:basedOn w:val="CommentTextChar"/>
    <w:link w:val="CommentSubject"/>
    <w:semiHidden/>
    <w:rsid w:val="00032AC2"/>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
    <w:link w:val="FootnoteText"/>
    <w:locked/>
    <w:rsid w:val="00471814"/>
  </w:style>
  <w:style w:type="character" w:customStyle="1" w:styleId="header1">
    <w:name w:val="header1"/>
    <w:rsid w:val="00471814"/>
  </w:style>
  <w:style w:type="paragraph" w:styleId="BalloonText">
    <w:name w:val="Balloon Text"/>
    <w:basedOn w:val="Normal"/>
    <w:link w:val="BalloonTextChar"/>
    <w:rsid w:val="002505A4"/>
    <w:rPr>
      <w:rFonts w:ascii="Segoe UI" w:hAnsi="Segoe UI" w:cs="Segoe UI"/>
      <w:sz w:val="18"/>
      <w:szCs w:val="18"/>
    </w:rPr>
  </w:style>
  <w:style w:type="character" w:customStyle="1" w:styleId="BalloonTextChar">
    <w:name w:val="Balloon Text Char"/>
    <w:basedOn w:val="DefaultParagraphFont"/>
    <w:link w:val="BalloonText"/>
    <w:rsid w:val="002505A4"/>
    <w:rPr>
      <w:rFonts w:ascii="Segoe UI" w:hAnsi="Segoe UI" w:cs="Segoe UI"/>
      <w:snapToGrid w:val="0"/>
      <w:kern w:val="28"/>
      <w:sz w:val="18"/>
      <w:szCs w:val="18"/>
    </w:rPr>
  </w:style>
  <w:style w:type="character" w:styleId="CommentReference">
    <w:name w:val="annotation reference"/>
    <w:basedOn w:val="DefaultParagraphFont"/>
    <w:semiHidden/>
    <w:unhideWhenUsed/>
    <w:rsid w:val="00032AC2"/>
    <w:rPr>
      <w:sz w:val="16"/>
      <w:szCs w:val="16"/>
    </w:rPr>
  </w:style>
  <w:style w:type="paragraph" w:styleId="CommentText">
    <w:name w:val="annotation text"/>
    <w:basedOn w:val="Normal"/>
    <w:link w:val="CommentTextChar"/>
    <w:semiHidden/>
    <w:unhideWhenUsed/>
    <w:rsid w:val="00032AC2"/>
    <w:rPr>
      <w:sz w:val="20"/>
    </w:rPr>
  </w:style>
  <w:style w:type="character" w:customStyle="1" w:styleId="CommentTextChar">
    <w:name w:val="Comment Text Char"/>
    <w:basedOn w:val="DefaultParagraphFont"/>
    <w:link w:val="CommentText"/>
    <w:semiHidden/>
    <w:rsid w:val="00032AC2"/>
    <w:rPr>
      <w:snapToGrid w:val="0"/>
      <w:kern w:val="28"/>
    </w:rPr>
  </w:style>
  <w:style w:type="paragraph" w:styleId="CommentSubject">
    <w:name w:val="annotation subject"/>
    <w:basedOn w:val="CommentText"/>
    <w:next w:val="CommentText"/>
    <w:link w:val="CommentSubjectChar"/>
    <w:semiHidden/>
    <w:unhideWhenUsed/>
    <w:rsid w:val="00032AC2"/>
    <w:rPr>
      <w:b/>
      <w:bCs/>
    </w:rPr>
  </w:style>
  <w:style w:type="character" w:customStyle="1" w:styleId="CommentSubjectChar">
    <w:name w:val="Comment Subject Char"/>
    <w:basedOn w:val="CommentTextChar"/>
    <w:link w:val="CommentSubject"/>
    <w:semiHidden/>
    <w:rsid w:val="00032AC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2015-10-19T12:58:00Z</cp:lastPrinted>
  <dcterms:created xsi:type="dcterms:W3CDTF">2016-12-08T20:33:00Z</dcterms:created>
  <dcterms:modified xsi:type="dcterms:W3CDTF">2016-12-08T20:33:00Z</dcterms:modified>
  <cp:category> </cp:category>
  <cp:contentStatus> </cp:contentStatus>
</cp:coreProperties>
</file>