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4C" w:rsidRDefault="00614B4C" w:rsidP="00614B4C">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614B4C" w:rsidRDefault="00614B4C" w:rsidP="00614B4C">
      <w:pPr>
        <w:pStyle w:val="StyleBoldCentered"/>
        <w:widowControl/>
      </w:pPr>
      <w:r>
        <w:t>F</w:t>
      </w:r>
      <w:r>
        <w:rPr>
          <w:caps w:val="0"/>
        </w:rPr>
        <w:t>ederal Communications Commission</w:t>
      </w:r>
    </w:p>
    <w:p w:rsidR="00614B4C" w:rsidRDefault="00614B4C" w:rsidP="00614B4C">
      <w:pPr>
        <w:pStyle w:val="StyleBoldCentered"/>
        <w:widowControl/>
      </w:pPr>
      <w:r>
        <w:rPr>
          <w:caps w:val="0"/>
        </w:rPr>
        <w:t>Washington, D.C. 20554</w:t>
      </w:r>
    </w:p>
    <w:p w:rsidR="00614B4C" w:rsidRDefault="00614B4C" w:rsidP="00614B4C">
      <w:pPr>
        <w:widowControl/>
      </w:pPr>
    </w:p>
    <w:p w:rsidR="00614B4C" w:rsidRDefault="00614B4C" w:rsidP="00614B4C">
      <w:pPr>
        <w:widowControl/>
      </w:pPr>
    </w:p>
    <w:tbl>
      <w:tblPr>
        <w:tblW w:w="0" w:type="auto"/>
        <w:tblLayout w:type="fixed"/>
        <w:tblLook w:val="0000" w:firstRow="0" w:lastRow="0" w:firstColumn="0" w:lastColumn="0" w:noHBand="0" w:noVBand="0"/>
      </w:tblPr>
      <w:tblGrid>
        <w:gridCol w:w="4698"/>
        <w:gridCol w:w="630"/>
        <w:gridCol w:w="4248"/>
      </w:tblGrid>
      <w:tr w:rsidR="00614B4C" w:rsidTr="00A603CD">
        <w:tc>
          <w:tcPr>
            <w:tcW w:w="4698" w:type="dxa"/>
          </w:tcPr>
          <w:p w:rsidR="00614B4C" w:rsidRDefault="00614B4C" w:rsidP="00A603CD">
            <w:pPr>
              <w:widowControl/>
              <w:tabs>
                <w:tab w:val="center" w:pos="4680"/>
              </w:tabs>
              <w:suppressAutoHyphens/>
              <w:rPr>
                <w:spacing w:val="-2"/>
              </w:rPr>
            </w:pPr>
            <w:r>
              <w:rPr>
                <w:spacing w:val="-2"/>
              </w:rPr>
              <w:t>In the Matter of</w:t>
            </w:r>
          </w:p>
          <w:p w:rsidR="00614B4C" w:rsidRDefault="00614B4C" w:rsidP="00A603CD">
            <w:pPr>
              <w:widowControl/>
              <w:tabs>
                <w:tab w:val="center" w:pos="4680"/>
              </w:tabs>
              <w:suppressAutoHyphens/>
              <w:rPr>
                <w:szCs w:val="22"/>
              </w:rPr>
            </w:pPr>
          </w:p>
          <w:p w:rsidR="00614B4C" w:rsidRDefault="00614B4C" w:rsidP="00A603CD">
            <w:pPr>
              <w:widowControl/>
              <w:tabs>
                <w:tab w:val="center" w:pos="4680"/>
              </w:tabs>
              <w:suppressAutoHyphens/>
              <w:rPr>
                <w:szCs w:val="22"/>
              </w:rPr>
            </w:pPr>
            <w:r>
              <w:rPr>
                <w:szCs w:val="22"/>
              </w:rPr>
              <w:t>USTelecom Petition for Declaratory Ruling</w:t>
            </w:r>
            <w:r w:rsidRPr="00B42D7F">
              <w:rPr>
                <w:sz w:val="20"/>
              </w:rPr>
              <w:t xml:space="preserve"> </w:t>
            </w:r>
            <w:r>
              <w:rPr>
                <w:sz w:val="20"/>
              </w:rPr>
              <w:t>T</w:t>
            </w:r>
            <w:r w:rsidRPr="00B42D7F">
              <w:rPr>
                <w:sz w:val="20"/>
              </w:rPr>
              <w:t xml:space="preserve">hat </w:t>
            </w:r>
            <w:r w:rsidRPr="00B42B76">
              <w:t>Incumbent Local Exchange Carriers Are Non-Dominant in the Provision of Switched Access Services</w:t>
            </w:r>
          </w:p>
          <w:p w:rsidR="00614B4C" w:rsidRDefault="00614B4C" w:rsidP="00A603CD">
            <w:pPr>
              <w:widowControl/>
              <w:tabs>
                <w:tab w:val="center" w:pos="4680"/>
              </w:tabs>
              <w:suppressAutoHyphens/>
              <w:rPr>
                <w:szCs w:val="22"/>
              </w:rPr>
            </w:pPr>
          </w:p>
          <w:p w:rsidR="00614B4C" w:rsidRPr="007115F7" w:rsidRDefault="00614B4C" w:rsidP="00A603CD">
            <w:pPr>
              <w:widowControl/>
              <w:tabs>
                <w:tab w:val="center" w:pos="4680"/>
              </w:tabs>
              <w:suppressAutoHyphens/>
              <w:rPr>
                <w:spacing w:val="-2"/>
              </w:rPr>
            </w:pPr>
          </w:p>
        </w:tc>
        <w:tc>
          <w:tcPr>
            <w:tcW w:w="630" w:type="dxa"/>
          </w:tcPr>
          <w:p w:rsidR="00614B4C" w:rsidRDefault="00614B4C" w:rsidP="00A603CD">
            <w:pPr>
              <w:widowControl/>
              <w:tabs>
                <w:tab w:val="center" w:pos="4680"/>
              </w:tabs>
              <w:suppressAutoHyphens/>
              <w:rPr>
                <w:b/>
                <w:spacing w:val="-2"/>
              </w:rPr>
            </w:pPr>
            <w:r>
              <w:rPr>
                <w:b/>
                <w:spacing w:val="-2"/>
              </w:rPr>
              <w:t>)</w:t>
            </w:r>
          </w:p>
          <w:p w:rsidR="00614B4C" w:rsidRDefault="00614B4C" w:rsidP="00A603CD">
            <w:pPr>
              <w:widowControl/>
              <w:tabs>
                <w:tab w:val="center" w:pos="4680"/>
              </w:tabs>
              <w:suppressAutoHyphens/>
              <w:rPr>
                <w:b/>
                <w:spacing w:val="-2"/>
              </w:rPr>
            </w:pPr>
            <w:r>
              <w:rPr>
                <w:b/>
                <w:spacing w:val="-2"/>
              </w:rPr>
              <w:t>)</w:t>
            </w:r>
          </w:p>
          <w:p w:rsidR="00614B4C" w:rsidRDefault="00614B4C" w:rsidP="00A603CD">
            <w:pPr>
              <w:widowControl/>
              <w:tabs>
                <w:tab w:val="center" w:pos="4680"/>
              </w:tabs>
              <w:suppressAutoHyphens/>
              <w:rPr>
                <w:b/>
                <w:spacing w:val="-2"/>
              </w:rPr>
            </w:pPr>
            <w:r>
              <w:rPr>
                <w:b/>
                <w:spacing w:val="-2"/>
              </w:rPr>
              <w:t>)</w:t>
            </w:r>
          </w:p>
          <w:p w:rsidR="00614B4C" w:rsidRDefault="00614B4C" w:rsidP="00A603CD">
            <w:pPr>
              <w:widowControl/>
              <w:tabs>
                <w:tab w:val="center" w:pos="4680"/>
              </w:tabs>
              <w:suppressAutoHyphens/>
              <w:rPr>
                <w:b/>
                <w:spacing w:val="-2"/>
              </w:rPr>
            </w:pPr>
            <w:r>
              <w:rPr>
                <w:b/>
                <w:spacing w:val="-2"/>
              </w:rPr>
              <w:t>)</w:t>
            </w:r>
          </w:p>
          <w:p w:rsidR="00614B4C" w:rsidRDefault="00614B4C" w:rsidP="00A603CD">
            <w:pPr>
              <w:widowControl/>
              <w:tabs>
                <w:tab w:val="center" w:pos="4680"/>
              </w:tabs>
              <w:suppressAutoHyphens/>
              <w:rPr>
                <w:b/>
                <w:spacing w:val="-2"/>
              </w:rPr>
            </w:pPr>
            <w:r>
              <w:rPr>
                <w:b/>
                <w:spacing w:val="-2"/>
              </w:rPr>
              <w:t>)</w:t>
            </w:r>
          </w:p>
          <w:p w:rsidR="00614B4C" w:rsidRDefault="00614B4C" w:rsidP="00A603CD">
            <w:pPr>
              <w:widowControl/>
              <w:tabs>
                <w:tab w:val="center" w:pos="4680"/>
              </w:tabs>
              <w:suppressAutoHyphens/>
              <w:rPr>
                <w:b/>
                <w:spacing w:val="-2"/>
              </w:rPr>
            </w:pPr>
            <w:r>
              <w:rPr>
                <w:b/>
                <w:spacing w:val="-2"/>
              </w:rPr>
              <w:t>)</w:t>
            </w:r>
          </w:p>
          <w:p w:rsidR="00614B4C" w:rsidRDefault="00614B4C" w:rsidP="00A603CD">
            <w:pPr>
              <w:widowControl/>
              <w:tabs>
                <w:tab w:val="center" w:pos="4680"/>
              </w:tabs>
              <w:suppressAutoHyphens/>
              <w:rPr>
                <w:spacing w:val="-2"/>
              </w:rPr>
            </w:pPr>
          </w:p>
        </w:tc>
        <w:tc>
          <w:tcPr>
            <w:tcW w:w="4248" w:type="dxa"/>
          </w:tcPr>
          <w:p w:rsidR="00614B4C" w:rsidRDefault="00614B4C" w:rsidP="00A603CD">
            <w:pPr>
              <w:widowControl/>
              <w:tabs>
                <w:tab w:val="center" w:pos="4680"/>
              </w:tabs>
              <w:suppressAutoHyphens/>
              <w:rPr>
                <w:spacing w:val="-2"/>
              </w:rPr>
            </w:pPr>
          </w:p>
          <w:p w:rsidR="00614B4C" w:rsidRDefault="00614B4C" w:rsidP="00A603CD">
            <w:pPr>
              <w:pStyle w:val="TOAHeading"/>
              <w:widowControl/>
              <w:tabs>
                <w:tab w:val="clear" w:pos="9360"/>
                <w:tab w:val="center" w:pos="4680"/>
              </w:tabs>
              <w:rPr>
                <w:spacing w:val="-2"/>
              </w:rPr>
            </w:pPr>
          </w:p>
          <w:p w:rsidR="00614B4C" w:rsidRDefault="00614B4C" w:rsidP="00A603CD">
            <w:pPr>
              <w:widowControl/>
              <w:tabs>
                <w:tab w:val="center" w:pos="4680"/>
              </w:tabs>
              <w:suppressAutoHyphens/>
              <w:rPr>
                <w:spacing w:val="-2"/>
              </w:rPr>
            </w:pPr>
            <w:r>
              <w:rPr>
                <w:spacing w:val="-2"/>
              </w:rPr>
              <w:t>WC Docket No. 13-3</w:t>
            </w:r>
          </w:p>
          <w:p w:rsidR="00614B4C" w:rsidRDefault="00614B4C" w:rsidP="00A603CD">
            <w:pPr>
              <w:widowControl/>
              <w:tabs>
                <w:tab w:val="center" w:pos="4680"/>
              </w:tabs>
              <w:suppressAutoHyphens/>
              <w:rPr>
                <w:spacing w:val="-2"/>
              </w:rPr>
            </w:pPr>
          </w:p>
          <w:p w:rsidR="00614B4C" w:rsidRDefault="00614B4C" w:rsidP="00A603CD">
            <w:pPr>
              <w:widowControl/>
              <w:tabs>
                <w:tab w:val="center" w:pos="4680"/>
              </w:tabs>
              <w:suppressAutoHyphens/>
              <w:rPr>
                <w:spacing w:val="-2"/>
              </w:rPr>
            </w:pPr>
          </w:p>
          <w:p w:rsidR="00614B4C" w:rsidRDefault="00614B4C" w:rsidP="00A603CD">
            <w:pPr>
              <w:widowControl/>
              <w:tabs>
                <w:tab w:val="center" w:pos="4680"/>
              </w:tabs>
              <w:suppressAutoHyphens/>
              <w:rPr>
                <w:spacing w:val="-2"/>
              </w:rPr>
            </w:pPr>
          </w:p>
          <w:p w:rsidR="00614B4C" w:rsidRDefault="00614B4C" w:rsidP="00A603CD">
            <w:pPr>
              <w:widowControl/>
              <w:tabs>
                <w:tab w:val="center" w:pos="4680"/>
              </w:tabs>
              <w:suppressAutoHyphens/>
              <w:rPr>
                <w:spacing w:val="-2"/>
              </w:rPr>
            </w:pPr>
          </w:p>
          <w:p w:rsidR="00614B4C" w:rsidRDefault="00614B4C" w:rsidP="00A603CD">
            <w:pPr>
              <w:widowControl/>
              <w:tabs>
                <w:tab w:val="center" w:pos="4680"/>
              </w:tabs>
              <w:suppressAutoHyphens/>
              <w:rPr>
                <w:spacing w:val="-2"/>
              </w:rPr>
            </w:pPr>
          </w:p>
        </w:tc>
      </w:tr>
    </w:tbl>
    <w:p w:rsidR="00614B4C" w:rsidRDefault="00614B4C" w:rsidP="00614B4C">
      <w:pPr>
        <w:pStyle w:val="StyleBoldCentered"/>
        <w:widowControl/>
      </w:pPr>
      <w:r>
        <w:t>ORDER</w:t>
      </w:r>
    </w:p>
    <w:p w:rsidR="00614B4C" w:rsidRDefault="00614B4C" w:rsidP="00614B4C">
      <w:pPr>
        <w:widowControl/>
        <w:tabs>
          <w:tab w:val="left" w:pos="-720"/>
        </w:tabs>
        <w:suppressAutoHyphens/>
        <w:spacing w:line="227" w:lineRule="auto"/>
        <w:rPr>
          <w:spacing w:val="-2"/>
        </w:rPr>
      </w:pPr>
    </w:p>
    <w:p w:rsidR="00614B4C" w:rsidRDefault="00753CAE" w:rsidP="00614B4C">
      <w:pPr>
        <w:widowControl/>
        <w:tabs>
          <w:tab w:val="left" w:pos="720"/>
          <w:tab w:val="right" w:pos="9360"/>
        </w:tabs>
        <w:suppressAutoHyphens/>
        <w:spacing w:line="227" w:lineRule="auto"/>
        <w:rPr>
          <w:spacing w:val="-2"/>
        </w:rPr>
      </w:pPr>
      <w:r>
        <w:rPr>
          <w:b/>
          <w:spacing w:val="-2"/>
        </w:rPr>
        <w:t xml:space="preserve">Adopted:  December </w:t>
      </w:r>
      <w:r w:rsidR="00422EE2">
        <w:rPr>
          <w:b/>
          <w:spacing w:val="-2"/>
        </w:rPr>
        <w:t>12</w:t>
      </w:r>
      <w:r>
        <w:rPr>
          <w:b/>
          <w:spacing w:val="-2"/>
        </w:rPr>
        <w:t>, 2016</w:t>
      </w:r>
      <w:r>
        <w:rPr>
          <w:b/>
          <w:spacing w:val="-2"/>
        </w:rPr>
        <w:tab/>
        <w:t>Released:  Dece</w:t>
      </w:r>
      <w:r w:rsidR="00614B4C">
        <w:rPr>
          <w:b/>
          <w:spacing w:val="-2"/>
        </w:rPr>
        <w:t xml:space="preserve">mber </w:t>
      </w:r>
      <w:r w:rsidR="00422EE2">
        <w:rPr>
          <w:b/>
          <w:spacing w:val="-2"/>
        </w:rPr>
        <w:t>12</w:t>
      </w:r>
      <w:r w:rsidR="00614B4C">
        <w:rPr>
          <w:b/>
          <w:spacing w:val="-2"/>
        </w:rPr>
        <w:t>, 2016</w:t>
      </w:r>
    </w:p>
    <w:p w:rsidR="00614B4C" w:rsidRDefault="00614B4C" w:rsidP="00614B4C">
      <w:pPr>
        <w:widowControl/>
      </w:pPr>
    </w:p>
    <w:p w:rsidR="00614B4C" w:rsidRDefault="00614B4C" w:rsidP="00614B4C">
      <w:pPr>
        <w:widowControl/>
        <w:rPr>
          <w:spacing w:val="-2"/>
        </w:rPr>
      </w:pPr>
      <w:r>
        <w:t xml:space="preserve">By the </w:t>
      </w:r>
      <w:r>
        <w:rPr>
          <w:spacing w:val="-2"/>
        </w:rPr>
        <w:t>Chief, Wireline Competition Bureau:</w:t>
      </w:r>
    </w:p>
    <w:p w:rsidR="00614B4C" w:rsidRPr="007815F3" w:rsidRDefault="00614B4C" w:rsidP="00614B4C"/>
    <w:p w:rsidR="00614B4C" w:rsidRPr="00D9502B" w:rsidRDefault="00614B4C" w:rsidP="00614B4C">
      <w:pPr>
        <w:pStyle w:val="ParaNum"/>
        <w:widowControl/>
        <w:rPr>
          <w:snapToGrid/>
        </w:rPr>
      </w:pPr>
      <w:bookmarkStart w:id="1" w:name="_Toc452069181"/>
      <w:bookmarkStart w:id="2" w:name="_Toc453076763"/>
      <w:bookmarkStart w:id="3" w:name="_Toc453083614"/>
      <w:r>
        <w:t>The Wireline Competition Bureau (Bureau) dismisses as untimely the Petition for Reconsideration (Petition) filed by the Ad Hoc Telecommunications Users Committee (Ad Hoc) seeking reconsideration of the Commission’s Declaratory Ruling (Declaratory Ruling) in the above-captioned docket, which determined that incumbent local exchange carriers (LECs) are no longer dominant in the provision of interstate switched access services.</w:t>
      </w:r>
      <w:r>
        <w:rPr>
          <w:rStyle w:val="FootnoteReference"/>
        </w:rPr>
        <w:footnoteReference w:id="2"/>
      </w:r>
      <w:r>
        <w:t xml:space="preserve">  </w:t>
      </w:r>
      <w:r>
        <w:rPr>
          <w:szCs w:val="22"/>
        </w:rPr>
        <w:t xml:space="preserve"> </w:t>
      </w:r>
    </w:p>
    <w:p w:rsidR="00914B5A" w:rsidRDefault="00914B5A" w:rsidP="00914B5A">
      <w:pPr>
        <w:pStyle w:val="ParaNum"/>
        <w:rPr>
          <w:snapToGrid/>
        </w:rPr>
      </w:pPr>
      <w:r w:rsidRPr="00D9502B">
        <w:t xml:space="preserve">Section 405(a) of the </w:t>
      </w:r>
      <w:r>
        <w:t xml:space="preserve">Communications </w:t>
      </w:r>
      <w:r w:rsidRPr="00D9502B">
        <w:t>Act</w:t>
      </w:r>
      <w:r>
        <w:t xml:space="preserve"> of 1934, as amended (the Act)</w:t>
      </w:r>
      <w:r w:rsidRPr="00D9502B">
        <w:t>,</w:t>
      </w:r>
      <w:r>
        <w:rPr>
          <w:rStyle w:val="FootnoteReference"/>
          <w:szCs w:val="22"/>
        </w:rPr>
        <w:footnoteReference w:id="3"/>
      </w:r>
      <w:r w:rsidRPr="00D9502B">
        <w:t xml:space="preserve"> and Section 1.106(f) of the </w:t>
      </w:r>
      <w:r>
        <w:t>Commission’s r</w:t>
      </w:r>
      <w:r w:rsidRPr="00D9502B">
        <w:t>ules</w:t>
      </w:r>
      <w:r>
        <w:t xml:space="preserve"> (Rules),</w:t>
      </w:r>
      <w:r w:rsidRPr="00D9502B">
        <w:t xml:space="preserve"> require the filing of a petition for reconsideration with the Commission’s Secretary in Washington, D.C. within thirty days from the date of public notice of the final action</w:t>
      </w:r>
      <w:r>
        <w:t>.</w:t>
      </w:r>
      <w:r>
        <w:rPr>
          <w:rStyle w:val="FootnoteReference"/>
          <w:szCs w:val="22"/>
        </w:rPr>
        <w:footnoteReference w:id="4"/>
      </w:r>
      <w:r>
        <w:t xml:space="preserve">  </w:t>
      </w:r>
      <w:r w:rsidRPr="00D9502B">
        <w:t xml:space="preserve">In this case, public notice of </w:t>
      </w:r>
      <w:r>
        <w:t xml:space="preserve">the Declaratory Ruling </w:t>
      </w:r>
      <w:r w:rsidRPr="00D9502B">
        <w:t>occurred upon</w:t>
      </w:r>
      <w:r>
        <w:t xml:space="preserve"> its July 15, 2016 release date, which was also its effective date.</w:t>
      </w:r>
      <w:r>
        <w:rPr>
          <w:rStyle w:val="FootnoteReference"/>
          <w:szCs w:val="22"/>
        </w:rPr>
        <w:footnoteReference w:id="5"/>
      </w:r>
      <w:r>
        <w:t xml:space="preserve"> </w:t>
      </w:r>
      <w:r w:rsidRPr="00D9502B">
        <w:t xml:space="preserve"> </w:t>
      </w:r>
      <w:r>
        <w:t>The Petition was filed on August 22, 2016, which is not within thirty days from public notice of the Declaratory Ruling.</w:t>
      </w:r>
      <w:r w:rsidR="00753CAE">
        <w:rPr>
          <w:rStyle w:val="FootnoteReference"/>
        </w:rPr>
        <w:footnoteReference w:id="6"/>
      </w:r>
      <w:r w:rsidRPr="00D9502B">
        <w:t xml:space="preserve"> </w:t>
      </w:r>
      <w:r>
        <w:t xml:space="preserve"> Because Ad Hoc </w:t>
      </w:r>
      <w:r w:rsidRPr="00D9502B">
        <w:t xml:space="preserve">failed to timely file its Petition, </w:t>
      </w:r>
      <w:r>
        <w:t>the Bureau</w:t>
      </w:r>
      <w:r w:rsidRPr="00D9502B">
        <w:t xml:space="preserve"> dismiss</w:t>
      </w:r>
      <w:r>
        <w:t>es</w:t>
      </w:r>
      <w:r w:rsidRPr="00D9502B">
        <w:t xml:space="preserve"> the Petition on procedural grounds.</w:t>
      </w:r>
      <w:r>
        <w:rPr>
          <w:rStyle w:val="FootnoteReference"/>
          <w:szCs w:val="22"/>
        </w:rPr>
        <w:footnoteReference w:id="7"/>
      </w:r>
    </w:p>
    <w:p w:rsidR="00614B4C" w:rsidRPr="00914B5A" w:rsidRDefault="00914B5A" w:rsidP="00914B5A">
      <w:pPr>
        <w:pStyle w:val="ParaNum"/>
        <w:widowControl/>
        <w:rPr>
          <w:snapToGrid/>
        </w:rPr>
      </w:pPr>
      <w:r>
        <w:rPr>
          <w:snapToGrid/>
        </w:rPr>
        <w:t xml:space="preserve">In making this finding, we observe that </w:t>
      </w:r>
      <w:r w:rsidR="00614B4C" w:rsidRPr="00914B5A">
        <w:rPr>
          <w:snapToGrid/>
        </w:rPr>
        <w:t xml:space="preserve">Ad Hoc’s Petition expressly seeks reconsideration only of the </w:t>
      </w:r>
      <w:r w:rsidR="00614B4C">
        <w:t>Declaratory Ruling,</w:t>
      </w:r>
      <w:r w:rsidR="00614B4C" w:rsidRPr="00914B5A">
        <w:rPr>
          <w:snapToGrid/>
        </w:rPr>
        <w:t xml:space="preserve"> arguing that the Commission erred in determining that incumbent LECs are non-dominant in providing interstate switched access and that the Commission should first finalize access rate regulations for toll-free originating access minutes.</w:t>
      </w:r>
      <w:r w:rsidR="00614B4C" w:rsidRPr="005A4F47">
        <w:rPr>
          <w:rStyle w:val="FootnoteReference"/>
        </w:rPr>
        <w:t xml:space="preserve"> </w:t>
      </w:r>
      <w:r w:rsidR="00614B4C">
        <w:rPr>
          <w:rStyle w:val="FootnoteReference"/>
        </w:rPr>
        <w:footnoteReference w:id="8"/>
      </w:r>
      <w:r w:rsidR="00614B4C" w:rsidRPr="00914B5A">
        <w:rPr>
          <w:snapToGrid/>
        </w:rPr>
        <w:t xml:space="preserve">  Ad Hoc did not seek reconsideration of the Commission’s Second Report and Order and Order on Reconsideration, which amended the rules to </w:t>
      </w:r>
      <w:r w:rsidR="00614B4C" w:rsidRPr="00914B5A">
        <w:rPr>
          <w:snapToGrid/>
        </w:rPr>
        <w:lastRenderedPageBreak/>
        <w:t>establish a framework for discontinuance of legacy voice services under Section 214 of the Act, refined the notice requirements for Section 214, and addressed an unrelated petition filed by U.S. TelePacific Corporation.</w:t>
      </w:r>
      <w:r w:rsidR="00614B4C">
        <w:rPr>
          <w:rStyle w:val="FootnoteReference"/>
          <w:snapToGrid/>
        </w:rPr>
        <w:footnoteReference w:id="9"/>
      </w:r>
      <w:r w:rsidR="00614B4C" w:rsidRPr="00914B5A">
        <w:rPr>
          <w:snapToGrid/>
        </w:rPr>
        <w:t xml:space="preserve">  Indeed, Ad Hoc’s petition predated the publication of these rules in the Federal Register.</w:t>
      </w:r>
      <w:r w:rsidR="00614B4C" w:rsidRPr="00914B5A">
        <w:rPr>
          <w:rStyle w:val="FootnoteReference"/>
          <w:snapToGrid/>
        </w:rPr>
        <w:t xml:space="preserve"> </w:t>
      </w:r>
      <w:r w:rsidR="00614B4C">
        <w:rPr>
          <w:rStyle w:val="FootnoteReference"/>
          <w:snapToGrid/>
        </w:rPr>
        <w:footnoteReference w:id="10"/>
      </w:r>
      <w:r w:rsidR="00614B4C" w:rsidRPr="00914B5A">
        <w:rPr>
          <w:snapToGrid/>
        </w:rPr>
        <w:t xml:space="preserve">     </w:t>
      </w:r>
    </w:p>
    <w:p w:rsidR="00614B4C" w:rsidRPr="00735495" w:rsidRDefault="00614B4C" w:rsidP="00614B4C">
      <w:pPr>
        <w:pStyle w:val="ParaNum"/>
        <w:rPr>
          <w:snapToGrid/>
        </w:rPr>
      </w:pPr>
      <w:r w:rsidRPr="00DC0D58">
        <w:rPr>
          <w:snapToGrid/>
        </w:rPr>
        <w:t xml:space="preserve">The </w:t>
      </w:r>
      <w:r>
        <w:rPr>
          <w:snapToGrid/>
        </w:rPr>
        <w:t xml:space="preserve">Commission’s </w:t>
      </w:r>
      <w:r w:rsidRPr="00DC0D58">
        <w:rPr>
          <w:snapToGrid/>
        </w:rPr>
        <w:t>ordering clauses</w:t>
      </w:r>
      <w:r>
        <w:rPr>
          <w:snapToGrid/>
        </w:rPr>
        <w:t xml:space="preserve"> addressed the Commission’s actions</w:t>
      </w:r>
      <w:r w:rsidRPr="00DC0D58">
        <w:rPr>
          <w:snapToGrid/>
        </w:rPr>
        <w:t xml:space="preserve"> separately</w:t>
      </w:r>
      <w:r>
        <w:rPr>
          <w:snapToGrid/>
        </w:rPr>
        <w:t>.  P</w:t>
      </w:r>
      <w:r w:rsidRPr="00DC0D58">
        <w:rPr>
          <w:snapToGrid/>
        </w:rPr>
        <w:t xml:space="preserve">ursuant to </w:t>
      </w:r>
      <w:r w:rsidR="00914B5A">
        <w:rPr>
          <w:snapToGrid/>
        </w:rPr>
        <w:t xml:space="preserve">the </w:t>
      </w:r>
      <w:r w:rsidRPr="00DC0D58">
        <w:rPr>
          <w:snapToGrid/>
        </w:rPr>
        <w:t xml:space="preserve">Rules, </w:t>
      </w:r>
      <w:r>
        <w:rPr>
          <w:snapToGrid/>
        </w:rPr>
        <w:t xml:space="preserve">these clauses </w:t>
      </w:r>
      <w:r w:rsidRPr="00DC0D58">
        <w:rPr>
          <w:snapToGrid/>
        </w:rPr>
        <w:t>reflected the non-rulemaking nature of the Declaratory Ruling by providing different effective dates</w:t>
      </w:r>
      <w:r>
        <w:rPr>
          <w:snapToGrid/>
        </w:rPr>
        <w:t xml:space="preserve"> – one for the Declaratory Ruling </w:t>
      </w:r>
      <w:r w:rsidRPr="00DC0D58">
        <w:rPr>
          <w:snapToGrid/>
        </w:rPr>
        <w:t xml:space="preserve">and the other for </w:t>
      </w:r>
      <w:r>
        <w:rPr>
          <w:snapToGrid/>
        </w:rPr>
        <w:t xml:space="preserve">the </w:t>
      </w:r>
      <w:r w:rsidRPr="00DC0D58">
        <w:rPr>
          <w:snapToGrid/>
        </w:rPr>
        <w:t>rulemaking items.</w:t>
      </w:r>
      <w:r>
        <w:rPr>
          <w:rStyle w:val="FootnoteReference"/>
          <w:snapToGrid/>
        </w:rPr>
        <w:footnoteReference w:id="11"/>
      </w:r>
      <w:r w:rsidRPr="00DC0D58">
        <w:rPr>
          <w:snapToGrid/>
        </w:rPr>
        <w:t xml:space="preserve">  This distinction </w:t>
      </w:r>
      <w:r w:rsidRPr="00735495">
        <w:rPr>
          <w:snapToGrid/>
        </w:rPr>
        <w:t>is also reflected in the different origins of the two relevant aspects of the order.  UST</w:t>
      </w:r>
      <w:r w:rsidR="00914B5A">
        <w:rPr>
          <w:snapToGrid/>
        </w:rPr>
        <w:t>elecom</w:t>
      </w:r>
      <w:r w:rsidRPr="00735495">
        <w:rPr>
          <w:snapToGrid/>
        </w:rPr>
        <w:t xml:space="preserve"> </w:t>
      </w:r>
      <w:r w:rsidR="00914B5A">
        <w:rPr>
          <w:snapToGrid/>
        </w:rPr>
        <w:t xml:space="preserve">filed the </w:t>
      </w:r>
      <w:r>
        <w:rPr>
          <w:snapToGrid/>
        </w:rPr>
        <w:t xml:space="preserve">Petition </w:t>
      </w:r>
      <w:r w:rsidR="00914B5A">
        <w:rPr>
          <w:snapToGrid/>
        </w:rPr>
        <w:t xml:space="preserve">that led to the </w:t>
      </w:r>
      <w:r>
        <w:rPr>
          <w:snapToGrid/>
        </w:rPr>
        <w:t>Declaratory R</w:t>
      </w:r>
      <w:r w:rsidRPr="00735495">
        <w:rPr>
          <w:snapToGrid/>
        </w:rPr>
        <w:t>uling in 2013</w:t>
      </w:r>
      <w:r w:rsidR="00914B5A">
        <w:rPr>
          <w:snapToGrid/>
        </w:rPr>
        <w:t>, which the Commission</w:t>
      </w:r>
      <w:r w:rsidRPr="00735495">
        <w:rPr>
          <w:snapToGrid/>
        </w:rPr>
        <w:t xml:space="preserve"> </w:t>
      </w:r>
      <w:r>
        <w:rPr>
          <w:snapToGrid/>
        </w:rPr>
        <w:t xml:space="preserve">docketed as </w:t>
      </w:r>
      <w:r w:rsidRPr="00735495">
        <w:rPr>
          <w:snapToGrid/>
        </w:rPr>
        <w:t>WC Docket No. 13-3</w:t>
      </w:r>
      <w:r>
        <w:rPr>
          <w:snapToGrid/>
        </w:rPr>
        <w:t>,</w:t>
      </w:r>
      <w:r w:rsidRPr="00735495">
        <w:rPr>
          <w:snapToGrid/>
        </w:rPr>
        <w:t xml:space="preserve"> </w:t>
      </w:r>
      <w:r>
        <w:rPr>
          <w:snapToGrid/>
        </w:rPr>
        <w:t xml:space="preserve">with a </w:t>
      </w:r>
      <w:r w:rsidRPr="00735495">
        <w:rPr>
          <w:snapToGrid/>
        </w:rPr>
        <w:t xml:space="preserve">public notice seeking comments thereon </w:t>
      </w:r>
      <w:r>
        <w:rPr>
          <w:snapToGrid/>
        </w:rPr>
        <w:t>pursuant to</w:t>
      </w:r>
      <w:r w:rsidRPr="00735495">
        <w:rPr>
          <w:snapToGrid/>
        </w:rPr>
        <w:t xml:space="preserve"> Rule 1.2(b).</w:t>
      </w:r>
      <w:r>
        <w:rPr>
          <w:rStyle w:val="FootnoteReference"/>
          <w:snapToGrid/>
        </w:rPr>
        <w:footnoteReference w:id="12"/>
      </w:r>
      <w:r w:rsidRPr="00735495">
        <w:rPr>
          <w:snapToGrid/>
        </w:rPr>
        <w:t xml:space="preserve">  In contrast, the rulemaking aspects of the order were derived from a Notice of Proposed Rulemaking (NPRM) issued November 24, 2014, in WC Docket No. 13-5 and RM-11358 that proposed rule amendments, seeking comments thereon </w:t>
      </w:r>
      <w:r>
        <w:rPr>
          <w:snapToGrid/>
        </w:rPr>
        <w:t>pursuant to</w:t>
      </w:r>
      <w:r w:rsidRPr="00735495">
        <w:rPr>
          <w:snapToGrid/>
        </w:rPr>
        <w:t xml:space="preserve"> Rule 1.415.</w:t>
      </w:r>
      <w:r>
        <w:rPr>
          <w:rStyle w:val="FootnoteReference"/>
          <w:snapToGrid/>
        </w:rPr>
        <w:footnoteReference w:id="13"/>
      </w:r>
      <w:r w:rsidRPr="00735495">
        <w:rPr>
          <w:snapToGrid/>
        </w:rPr>
        <w:t xml:space="preserve">  Ad Hoc filed comments in both proceedings</w:t>
      </w:r>
      <w:r>
        <w:rPr>
          <w:rStyle w:val="FootnoteReference"/>
          <w:snapToGrid/>
        </w:rPr>
        <w:footnoteReference w:id="14"/>
      </w:r>
      <w:r w:rsidRPr="00735495">
        <w:rPr>
          <w:snapToGrid/>
        </w:rPr>
        <w:t xml:space="preserve"> but, as mentioned above, its Petition seeks review </w:t>
      </w:r>
      <w:r w:rsidR="00914B5A">
        <w:rPr>
          <w:snapToGrid/>
        </w:rPr>
        <w:t xml:space="preserve">only </w:t>
      </w:r>
      <w:r w:rsidRPr="00735495">
        <w:rPr>
          <w:snapToGrid/>
        </w:rPr>
        <w:t>of the Declaratory Ruling.</w:t>
      </w:r>
      <w:r>
        <w:rPr>
          <w:rStyle w:val="FootnoteReference"/>
          <w:snapToGrid/>
        </w:rPr>
        <w:footnoteReference w:id="15"/>
      </w:r>
    </w:p>
    <w:p w:rsidR="00614B4C" w:rsidRPr="00813C4D" w:rsidRDefault="00614B4C" w:rsidP="00614B4C">
      <w:pPr>
        <w:pStyle w:val="ParaNum"/>
        <w:widowControl/>
        <w:rPr>
          <w:snapToGrid/>
        </w:rPr>
      </w:pPr>
      <w:r>
        <w:rPr>
          <w:rFonts w:eastAsia="TimesNewRoman"/>
          <w:snapToGrid/>
          <w:color w:val="020100"/>
          <w:kern w:val="0"/>
          <w:szCs w:val="22"/>
        </w:rPr>
        <w:t xml:space="preserve">Accordingly, </w:t>
      </w:r>
      <w:r w:rsidRPr="00EE1598">
        <w:rPr>
          <w:rFonts w:eastAsia="TimesNewRoman"/>
          <w:b/>
          <w:snapToGrid/>
          <w:color w:val="020100"/>
          <w:kern w:val="0"/>
          <w:szCs w:val="22"/>
        </w:rPr>
        <w:t>IT IS ORDERED</w:t>
      </w:r>
      <w:r>
        <w:rPr>
          <w:rFonts w:eastAsia="TimesNewRoman"/>
          <w:snapToGrid/>
          <w:color w:val="020100"/>
          <w:kern w:val="0"/>
          <w:szCs w:val="22"/>
        </w:rPr>
        <w:t xml:space="preserve"> that, pursuant to Section 405 of the Act, 47 U.S.C. </w:t>
      </w:r>
      <w:r w:rsidRPr="001723C3">
        <w:rPr>
          <w:rFonts w:ascii="Calibri" w:eastAsia="TimesNewRoman" w:hAnsi="Calibri" w:cs="Calibri"/>
          <w:snapToGrid/>
          <w:color w:val="020100"/>
          <w:kern w:val="0"/>
          <w:szCs w:val="22"/>
        </w:rPr>
        <w:t>§</w:t>
      </w:r>
      <w:r>
        <w:rPr>
          <w:rFonts w:eastAsia="TimesNewRoman"/>
          <w:snapToGrid/>
          <w:color w:val="020100"/>
          <w:kern w:val="0"/>
          <w:szCs w:val="22"/>
        </w:rPr>
        <w:t xml:space="preserve"> 405, and Sections 0.91, 0.291, and 1.106 of the Rules, 47 CFR </w:t>
      </w:r>
      <w:r w:rsidRPr="001723C3">
        <w:rPr>
          <w:rFonts w:ascii="Calibri" w:eastAsia="TimesNewRoman" w:hAnsi="Calibri" w:cs="Calibri"/>
          <w:snapToGrid/>
          <w:color w:val="020100"/>
          <w:kern w:val="0"/>
          <w:szCs w:val="22"/>
        </w:rPr>
        <w:t>§§</w:t>
      </w:r>
      <w:r>
        <w:rPr>
          <w:rFonts w:eastAsia="TimesNewRoman"/>
          <w:snapToGrid/>
          <w:color w:val="020100"/>
          <w:kern w:val="0"/>
          <w:szCs w:val="22"/>
        </w:rPr>
        <w:t xml:space="preserve"> 0.91, 0.291, 1.106, the Petition for Reconsideration filed by Ad Hoc Telecommunications Users Committee </w:t>
      </w:r>
      <w:r w:rsidRPr="00E479DF">
        <w:rPr>
          <w:rFonts w:eastAsia="TimesNewRoman"/>
          <w:b/>
          <w:snapToGrid/>
          <w:color w:val="020100"/>
          <w:kern w:val="0"/>
          <w:szCs w:val="22"/>
        </w:rPr>
        <w:t>IS</w:t>
      </w:r>
      <w:r>
        <w:rPr>
          <w:rFonts w:eastAsia="TimesNewRoman"/>
          <w:snapToGrid/>
          <w:color w:val="020100"/>
          <w:kern w:val="0"/>
          <w:szCs w:val="22"/>
        </w:rPr>
        <w:t xml:space="preserve"> </w:t>
      </w:r>
      <w:r w:rsidRPr="00EE1598">
        <w:rPr>
          <w:rFonts w:eastAsia="TimesNewRoman"/>
          <w:b/>
          <w:snapToGrid/>
          <w:color w:val="020100"/>
          <w:kern w:val="0"/>
          <w:szCs w:val="22"/>
        </w:rPr>
        <w:t>DISMISSED</w:t>
      </w:r>
      <w:r>
        <w:rPr>
          <w:rFonts w:eastAsia="TimesNewRoman"/>
          <w:snapToGrid/>
          <w:color w:val="020100"/>
          <w:kern w:val="0"/>
          <w:szCs w:val="22"/>
        </w:rPr>
        <w:t>.</w:t>
      </w:r>
    </w:p>
    <w:p w:rsidR="00614B4C" w:rsidRPr="001738CD" w:rsidRDefault="00614B4C" w:rsidP="00614B4C">
      <w:pPr>
        <w:pStyle w:val="ParaNum"/>
        <w:widowControl/>
        <w:rPr>
          <w:snapToGrid/>
        </w:rPr>
      </w:pPr>
      <w:r w:rsidRPr="00E479DF">
        <w:rPr>
          <w:b/>
          <w:snapToGrid/>
        </w:rPr>
        <w:t>IT IS FURTHER ORDERED</w:t>
      </w:r>
      <w:r w:rsidRPr="001738CD">
        <w:rPr>
          <w:snapToGrid/>
        </w:rPr>
        <w:t xml:space="preserve"> that, pursuant to section 1.102(b)(1) of the </w:t>
      </w:r>
      <w:r>
        <w:rPr>
          <w:snapToGrid/>
        </w:rPr>
        <w:t>Rules</w:t>
      </w:r>
      <w:r w:rsidRPr="001738CD">
        <w:rPr>
          <w:snapToGrid/>
        </w:rPr>
        <w:t xml:space="preserve">, 47 CFR § 1.102(b)(1), this Order </w:t>
      </w:r>
      <w:r w:rsidRPr="00E479DF">
        <w:rPr>
          <w:b/>
          <w:snapToGrid/>
        </w:rPr>
        <w:t>SHALL BE EFFECTIVE</w:t>
      </w:r>
      <w:r w:rsidRPr="001738CD">
        <w:rPr>
          <w:snapToGrid/>
        </w:rPr>
        <w:t xml:space="preserve"> upon release.</w:t>
      </w:r>
    </w:p>
    <w:p w:rsidR="00614B4C" w:rsidRPr="000E091A" w:rsidRDefault="00614B4C" w:rsidP="00614B4C">
      <w:pPr>
        <w:pStyle w:val="ParaNum"/>
        <w:widowControl/>
        <w:numPr>
          <w:ilvl w:val="0"/>
          <w:numId w:val="0"/>
        </w:numPr>
        <w:ind w:firstLine="720"/>
        <w:rPr>
          <w:snapToGrid/>
        </w:rPr>
      </w:pPr>
    </w:p>
    <w:bookmarkEnd w:id="1"/>
    <w:bookmarkEnd w:id="2"/>
    <w:bookmarkEnd w:id="3"/>
    <w:p w:rsidR="00614B4C" w:rsidRPr="00322E3C" w:rsidRDefault="00614B4C" w:rsidP="00614B4C">
      <w:pPr>
        <w:tabs>
          <w:tab w:val="left" w:pos="1440"/>
        </w:tabs>
        <w:ind w:left="-90"/>
        <w:rPr>
          <w:snapToGrid/>
          <w:kern w:val="0"/>
        </w:rPr>
      </w:pPr>
      <w:r>
        <w:rPr>
          <w:snapToGrid/>
          <w:kern w:val="0"/>
        </w:rPr>
        <w:tab/>
      </w:r>
      <w:r>
        <w:rPr>
          <w:snapToGrid/>
          <w:kern w:val="0"/>
        </w:rPr>
        <w:tab/>
      </w:r>
      <w:r>
        <w:rPr>
          <w:snapToGrid/>
          <w:kern w:val="0"/>
        </w:rPr>
        <w:tab/>
      </w:r>
      <w:r>
        <w:rPr>
          <w:snapToGrid/>
          <w:kern w:val="0"/>
        </w:rPr>
        <w:tab/>
      </w:r>
      <w:r>
        <w:rPr>
          <w:snapToGrid/>
          <w:kern w:val="0"/>
        </w:rPr>
        <w:tab/>
      </w:r>
      <w:r w:rsidRPr="00322E3C">
        <w:rPr>
          <w:snapToGrid/>
          <w:kern w:val="0"/>
        </w:rPr>
        <w:t>FEDERAL COMMUNICATIONS COMMISSION</w:t>
      </w:r>
    </w:p>
    <w:p w:rsidR="00614B4C" w:rsidRPr="00322E3C" w:rsidRDefault="00614B4C" w:rsidP="00614B4C">
      <w:pPr>
        <w:tabs>
          <w:tab w:val="left" w:pos="1440"/>
        </w:tabs>
        <w:ind w:left="-90"/>
        <w:rPr>
          <w:snapToGrid/>
          <w:kern w:val="0"/>
        </w:rPr>
      </w:pPr>
    </w:p>
    <w:p w:rsidR="00614B4C" w:rsidRPr="00322E3C" w:rsidRDefault="00614B4C" w:rsidP="00614B4C">
      <w:pPr>
        <w:tabs>
          <w:tab w:val="left" w:pos="1440"/>
        </w:tabs>
        <w:ind w:left="-90"/>
        <w:rPr>
          <w:snapToGrid/>
          <w:kern w:val="0"/>
        </w:rPr>
      </w:pPr>
    </w:p>
    <w:p w:rsidR="00614B4C" w:rsidRPr="00322E3C" w:rsidRDefault="00614B4C" w:rsidP="00614B4C">
      <w:pPr>
        <w:tabs>
          <w:tab w:val="left" w:pos="1440"/>
        </w:tabs>
        <w:rPr>
          <w:snapToGrid/>
          <w:kern w:val="0"/>
        </w:rPr>
      </w:pPr>
    </w:p>
    <w:p w:rsidR="00614B4C" w:rsidRPr="00322E3C" w:rsidRDefault="00614B4C" w:rsidP="00614B4C">
      <w:pPr>
        <w:tabs>
          <w:tab w:val="left" w:pos="1440"/>
        </w:tabs>
        <w:rPr>
          <w:snapToGrid/>
          <w:kern w:val="0"/>
        </w:rPr>
      </w:pPr>
      <w:r w:rsidRPr="00322E3C">
        <w:rPr>
          <w:snapToGrid/>
          <w:kern w:val="0"/>
        </w:rPr>
        <w:tab/>
      </w:r>
      <w:r w:rsidRPr="00322E3C">
        <w:rPr>
          <w:snapToGrid/>
          <w:kern w:val="0"/>
        </w:rPr>
        <w:tab/>
      </w:r>
      <w:r w:rsidRPr="00322E3C">
        <w:rPr>
          <w:snapToGrid/>
          <w:kern w:val="0"/>
        </w:rPr>
        <w:tab/>
      </w:r>
      <w:r w:rsidRPr="00322E3C">
        <w:rPr>
          <w:snapToGrid/>
          <w:kern w:val="0"/>
        </w:rPr>
        <w:tab/>
      </w:r>
      <w:r w:rsidRPr="00322E3C">
        <w:rPr>
          <w:snapToGrid/>
          <w:kern w:val="0"/>
        </w:rPr>
        <w:tab/>
        <w:t>Matthew S. DelNero</w:t>
      </w:r>
    </w:p>
    <w:p w:rsidR="002C00E8" w:rsidRPr="00614B4C" w:rsidRDefault="00614B4C" w:rsidP="00931C97">
      <w:pPr>
        <w:tabs>
          <w:tab w:val="left" w:pos="1440"/>
        </w:tabs>
      </w:pPr>
      <w:r w:rsidRPr="00322E3C">
        <w:rPr>
          <w:snapToGrid/>
          <w:kern w:val="0"/>
        </w:rPr>
        <w:tab/>
      </w:r>
      <w:r w:rsidRPr="00322E3C">
        <w:rPr>
          <w:snapToGrid/>
          <w:kern w:val="0"/>
        </w:rPr>
        <w:tab/>
      </w:r>
      <w:r w:rsidRPr="00322E3C">
        <w:rPr>
          <w:snapToGrid/>
          <w:kern w:val="0"/>
        </w:rPr>
        <w:tab/>
      </w:r>
      <w:r w:rsidRPr="00322E3C">
        <w:rPr>
          <w:snapToGrid/>
          <w:kern w:val="0"/>
        </w:rPr>
        <w:tab/>
      </w:r>
      <w:r w:rsidRPr="00322E3C">
        <w:rPr>
          <w:snapToGrid/>
          <w:kern w:val="0"/>
        </w:rPr>
        <w:tab/>
        <w:t>Chief, Wireline Competition Bureau</w:t>
      </w:r>
    </w:p>
    <w:sectPr w:rsidR="002C00E8" w:rsidRPr="00614B4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FF" w:rsidRDefault="001C56FF">
      <w:pPr>
        <w:spacing w:line="20" w:lineRule="exact"/>
      </w:pPr>
    </w:p>
  </w:endnote>
  <w:endnote w:type="continuationSeparator" w:id="0">
    <w:p w:rsidR="001C56FF" w:rsidRDefault="001C56FF">
      <w:r>
        <w:t xml:space="preserve"> </w:t>
      </w:r>
    </w:p>
  </w:endnote>
  <w:endnote w:type="continuationNotice" w:id="1">
    <w:p w:rsidR="001C56FF" w:rsidRDefault="001C56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5446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FF" w:rsidRDefault="001C56FF">
      <w:r>
        <w:separator/>
      </w:r>
    </w:p>
  </w:footnote>
  <w:footnote w:type="continuationSeparator" w:id="0">
    <w:p w:rsidR="001C56FF" w:rsidRDefault="001C56FF" w:rsidP="00C721AC">
      <w:pPr>
        <w:spacing w:before="120"/>
        <w:rPr>
          <w:sz w:val="20"/>
        </w:rPr>
      </w:pPr>
      <w:r>
        <w:rPr>
          <w:sz w:val="20"/>
        </w:rPr>
        <w:t xml:space="preserve">(Continued from previous page)  </w:t>
      </w:r>
      <w:r>
        <w:rPr>
          <w:sz w:val="20"/>
        </w:rPr>
        <w:separator/>
      </w:r>
    </w:p>
  </w:footnote>
  <w:footnote w:type="continuationNotice" w:id="1">
    <w:p w:rsidR="001C56FF" w:rsidRDefault="001C56FF" w:rsidP="00C721AC">
      <w:pPr>
        <w:jc w:val="right"/>
        <w:rPr>
          <w:sz w:val="20"/>
        </w:rPr>
      </w:pPr>
      <w:r>
        <w:rPr>
          <w:sz w:val="20"/>
        </w:rPr>
        <w:t>(continued….)</w:t>
      </w:r>
    </w:p>
  </w:footnote>
  <w:footnote w:id="2">
    <w:p w:rsidR="00614B4C" w:rsidRDefault="00614B4C" w:rsidP="00614B4C">
      <w:pPr>
        <w:pStyle w:val="FootnoteText"/>
      </w:pPr>
      <w:r>
        <w:rPr>
          <w:rStyle w:val="FootnoteReference"/>
        </w:rPr>
        <w:footnoteRef/>
      </w:r>
      <w:r>
        <w:t xml:space="preserve"> </w:t>
      </w:r>
      <w:r w:rsidRPr="00813C4D">
        <w:rPr>
          <w:i/>
        </w:rPr>
        <w:t>See</w:t>
      </w:r>
      <w:r>
        <w:t xml:space="preserve"> Ad Hoc Telecommunications Users Committee Petition for Reconsideration of the Commission’s Declaratory Ruling in WC Docket No. 13-3 (filed Aug. 22, 2016) (Ad Hoc Petition for Reconsideration).</w:t>
      </w:r>
    </w:p>
  </w:footnote>
  <w:footnote w:id="3">
    <w:p w:rsidR="00914B5A" w:rsidRPr="00813C4D" w:rsidRDefault="00914B5A" w:rsidP="00914B5A">
      <w:pPr>
        <w:autoSpaceDE w:val="0"/>
        <w:autoSpaceDN w:val="0"/>
        <w:adjustRightInd w:val="0"/>
        <w:spacing w:after="120"/>
        <w:jc w:val="both"/>
        <w:rPr>
          <w:b/>
          <w:sz w:val="20"/>
        </w:rPr>
      </w:pPr>
      <w:r w:rsidRPr="00311D85">
        <w:rPr>
          <w:rStyle w:val="FootnoteReference"/>
        </w:rPr>
        <w:footnoteRef/>
      </w:r>
      <w:r w:rsidRPr="00813C4D">
        <w:rPr>
          <w:sz w:val="20"/>
        </w:rPr>
        <w:t xml:space="preserve"> 47 U.S.C. § 405(a).</w:t>
      </w:r>
    </w:p>
  </w:footnote>
  <w:footnote w:id="4">
    <w:p w:rsidR="00914B5A" w:rsidRPr="00D9502B" w:rsidRDefault="00914B5A" w:rsidP="00914B5A">
      <w:pPr>
        <w:autoSpaceDE w:val="0"/>
        <w:autoSpaceDN w:val="0"/>
        <w:adjustRightInd w:val="0"/>
        <w:spacing w:after="120"/>
        <w:jc w:val="both"/>
      </w:pPr>
      <w:r w:rsidRPr="00311D85">
        <w:rPr>
          <w:rStyle w:val="FootnoteReference"/>
        </w:rPr>
        <w:footnoteRef/>
      </w:r>
      <w:r w:rsidRPr="00813C4D">
        <w:rPr>
          <w:sz w:val="20"/>
        </w:rPr>
        <w:t xml:space="preserve"> </w:t>
      </w:r>
      <w:hyperlink r:id="rId1" w:anchor="co_pp_ae0d0000c5150" w:history="1">
        <w:r w:rsidRPr="00813C4D">
          <w:rPr>
            <w:sz w:val="20"/>
          </w:rPr>
          <w:t>47 CFR § 1.106(f)</w:t>
        </w:r>
      </w:hyperlink>
      <w:r w:rsidRPr="00813C4D">
        <w:rPr>
          <w:sz w:val="20"/>
        </w:rPr>
        <w:t>.</w:t>
      </w:r>
    </w:p>
  </w:footnote>
  <w:footnote w:id="5">
    <w:p w:rsidR="00914B5A" w:rsidRPr="000E091A" w:rsidRDefault="00914B5A" w:rsidP="00914B5A">
      <w:pPr>
        <w:pStyle w:val="ParaNum"/>
        <w:numPr>
          <w:ilvl w:val="0"/>
          <w:numId w:val="0"/>
        </w:numPr>
        <w:rPr>
          <w:sz w:val="20"/>
        </w:rPr>
      </w:pPr>
      <w:r w:rsidRPr="000E091A">
        <w:rPr>
          <w:rStyle w:val="FootnoteReference"/>
        </w:rPr>
        <w:footnoteRef/>
      </w:r>
      <w:r w:rsidRPr="000E091A">
        <w:rPr>
          <w:sz w:val="20"/>
        </w:rPr>
        <w:t xml:space="preserve"> </w:t>
      </w:r>
      <w:r>
        <w:rPr>
          <w:i/>
          <w:sz w:val="20"/>
        </w:rPr>
        <w:t xml:space="preserve">See </w:t>
      </w:r>
      <w:r>
        <w:rPr>
          <w:sz w:val="20"/>
        </w:rPr>
        <w:t xml:space="preserve">47 CFR § 1.4(b)(2); </w:t>
      </w:r>
      <w:r w:rsidRPr="001123A5">
        <w:rPr>
          <w:rStyle w:val="cosearchterm"/>
          <w:sz w:val="20"/>
        </w:rPr>
        <w:t>FCC 16-90</w:t>
      </w:r>
      <w:r w:rsidRPr="001123A5">
        <w:rPr>
          <w:rStyle w:val="Emphasis"/>
          <w:sz w:val="20"/>
        </w:rPr>
        <w:t xml:space="preserve"> at p</w:t>
      </w:r>
      <w:r w:rsidRPr="00735495">
        <w:rPr>
          <w:rStyle w:val="Emphasis"/>
          <w:sz w:val="20"/>
        </w:rPr>
        <w:t>ara</w:t>
      </w:r>
      <w:r w:rsidRPr="00FB6C5D">
        <w:rPr>
          <w:rStyle w:val="Emphasis"/>
          <w:sz w:val="20"/>
        </w:rPr>
        <w:t>. 21</w:t>
      </w:r>
      <w:r w:rsidRPr="00735495">
        <w:rPr>
          <w:rStyle w:val="Emphasis"/>
          <w:sz w:val="20"/>
        </w:rPr>
        <w:t>1</w:t>
      </w:r>
      <w:r w:rsidRPr="00FB6C5D">
        <w:rPr>
          <w:sz w:val="20"/>
        </w:rPr>
        <w:t>.</w:t>
      </w:r>
    </w:p>
  </w:footnote>
  <w:footnote w:id="6">
    <w:p w:rsidR="00753CAE" w:rsidRDefault="00753CAE">
      <w:pPr>
        <w:pStyle w:val="FootnoteText"/>
      </w:pPr>
      <w:r>
        <w:rPr>
          <w:rStyle w:val="FootnoteReference"/>
        </w:rPr>
        <w:footnoteRef/>
      </w:r>
      <w:r>
        <w:t xml:space="preserve"> See United States Telecom Association, Opposition to Petition for Reconsideration (filed Sept. 7, 2016) at 2.</w:t>
      </w:r>
    </w:p>
  </w:footnote>
  <w:footnote w:id="7">
    <w:p w:rsidR="00914B5A" w:rsidRPr="00311D85" w:rsidRDefault="00914B5A" w:rsidP="000B7150">
      <w:pPr>
        <w:autoSpaceDE w:val="0"/>
        <w:autoSpaceDN w:val="0"/>
        <w:adjustRightInd w:val="0"/>
        <w:spacing w:after="120"/>
        <w:jc w:val="both"/>
      </w:pPr>
      <w:r w:rsidRPr="00311D85">
        <w:rPr>
          <w:rStyle w:val="FootnoteReference"/>
        </w:rPr>
        <w:footnoteRef/>
      </w:r>
      <w:r w:rsidRPr="00813C4D">
        <w:rPr>
          <w:sz w:val="20"/>
        </w:rPr>
        <w:t xml:space="preserve"> </w:t>
      </w:r>
      <w:r w:rsidRPr="00813C4D">
        <w:rPr>
          <w:i/>
          <w:iCs/>
          <w:sz w:val="20"/>
        </w:rPr>
        <w:t>See Wash. Broad. Mgmt. Co., Inc.</w:t>
      </w:r>
      <w:r w:rsidRPr="00813C4D">
        <w:rPr>
          <w:sz w:val="20"/>
        </w:rPr>
        <w:t>, Memorandum Opinion and Order, 15 FCC Rcd 6607 (2000) (dismissing a petition for reconsideration filed eight days late)</w:t>
      </w:r>
      <w:r>
        <w:rPr>
          <w:sz w:val="20"/>
        </w:rPr>
        <w:t>; 47 CFR § 1.106(p)(9) (“</w:t>
      </w:r>
      <w:r w:rsidRPr="001738CD">
        <w:rPr>
          <w:sz w:val="20"/>
        </w:rPr>
        <w:t>Petitions for reconsideration of a Commission action that plainly do not warrant consideration by the Commission may be dismissed or denied by the relevant bureau(s) or office(s). Examples include, but are not limited to, petitions that</w:t>
      </w:r>
      <w:r>
        <w:rPr>
          <w:sz w:val="20"/>
        </w:rPr>
        <w:t xml:space="preserve"> . . . [a]</w:t>
      </w:r>
      <w:r w:rsidRPr="001738CD">
        <w:rPr>
          <w:sz w:val="20"/>
        </w:rPr>
        <w:t>re untimely.</w:t>
      </w:r>
      <w:r>
        <w:rPr>
          <w:sz w:val="20"/>
        </w:rPr>
        <w:t>”)</w:t>
      </w:r>
      <w:r w:rsidRPr="00813C4D">
        <w:rPr>
          <w:sz w:val="20"/>
        </w:rPr>
        <w:t>.</w:t>
      </w:r>
    </w:p>
  </w:footnote>
  <w:footnote w:id="8">
    <w:p w:rsidR="00614B4C" w:rsidRDefault="00614B4C" w:rsidP="00614B4C">
      <w:pPr>
        <w:pStyle w:val="FootnoteText"/>
      </w:pPr>
      <w:r>
        <w:rPr>
          <w:rStyle w:val="FootnoteReference"/>
        </w:rPr>
        <w:footnoteRef/>
      </w:r>
      <w:r>
        <w:t xml:space="preserve"> </w:t>
      </w:r>
      <w:r w:rsidRPr="00FC63F8">
        <w:rPr>
          <w:i/>
        </w:rPr>
        <w:t xml:space="preserve">See </w:t>
      </w:r>
      <w:r>
        <w:rPr>
          <w:i/>
        </w:rPr>
        <w:t>i</w:t>
      </w:r>
      <w:r w:rsidRPr="00FC63F8">
        <w:rPr>
          <w:i/>
        </w:rPr>
        <w:t>d.</w:t>
      </w:r>
      <w:r>
        <w:rPr>
          <w:i/>
        </w:rPr>
        <w:t xml:space="preserve"> </w:t>
      </w:r>
      <w:r>
        <w:t>at 1-2, “</w:t>
      </w:r>
      <w:r w:rsidRPr="00BD4974">
        <w:t>Ad Hoc Telecommunications Users Committee (‘Ad Hoc’) hereby submits this petition for reconsideration of the Commission’s Declaratory Ruling in [FCC 16-90].”</w:t>
      </w:r>
    </w:p>
  </w:footnote>
  <w:footnote w:id="9">
    <w:p w:rsidR="00614B4C" w:rsidRDefault="00614B4C" w:rsidP="00614B4C">
      <w:pPr>
        <w:pStyle w:val="FootnoteText"/>
      </w:pPr>
      <w:r>
        <w:rPr>
          <w:rStyle w:val="FootnoteReference"/>
        </w:rPr>
        <w:footnoteRef/>
      </w:r>
      <w:r>
        <w:t xml:space="preserve"> </w:t>
      </w:r>
      <w:r w:rsidRPr="00735495">
        <w:rPr>
          <w:i/>
        </w:rPr>
        <w:t xml:space="preserve">See </w:t>
      </w:r>
      <w:r w:rsidRPr="000E091A">
        <w:rPr>
          <w:rStyle w:val="Emphasis"/>
        </w:rPr>
        <w:t>Technology Transitions;</w:t>
      </w:r>
      <w:r>
        <w:rPr>
          <w:rStyle w:val="Emphasis"/>
        </w:rPr>
        <w:t xml:space="preserve"> </w:t>
      </w:r>
      <w:r w:rsidRPr="000E091A">
        <w:rPr>
          <w:rStyle w:val="Emphasis"/>
        </w:rPr>
        <w:t>USTelecom Petition for Declaratory Ruling That Incumbent Local Exchange Carriers Are Non-Dominant in the Provision of Switched Access Services; Policies and Rules Governing Retirement Of Copper Loops by Incumbent Local Exchange Carriers</w:t>
      </w:r>
      <w:r w:rsidRPr="000E091A">
        <w:t xml:space="preserve">, GN Docket No. 13-5, Declaratory Ruling, Second Report and Order, and Order on Reconsideration, </w:t>
      </w:r>
      <w:r w:rsidRPr="000E091A">
        <w:rPr>
          <w:rStyle w:val="cosearchterm"/>
        </w:rPr>
        <w:t>FCC 16-90 (rel. July 15, 2016)</w:t>
      </w:r>
      <w:r>
        <w:rPr>
          <w:rStyle w:val="cosearchterm"/>
        </w:rPr>
        <w:t xml:space="preserve"> (FCC 16-90).</w:t>
      </w:r>
    </w:p>
  </w:footnote>
  <w:footnote w:id="10">
    <w:p w:rsidR="00614B4C" w:rsidRDefault="00614B4C" w:rsidP="00614B4C">
      <w:pPr>
        <w:pStyle w:val="FootnoteText"/>
      </w:pPr>
      <w:r>
        <w:rPr>
          <w:rStyle w:val="FootnoteReference"/>
        </w:rPr>
        <w:footnoteRef/>
      </w:r>
      <w:r>
        <w:t xml:space="preserve"> </w:t>
      </w:r>
      <w:r>
        <w:rPr>
          <w:i/>
        </w:rPr>
        <w:t xml:space="preserve">See </w:t>
      </w:r>
      <w:r>
        <w:t xml:space="preserve">Federal Communications Commission, </w:t>
      </w:r>
      <w:r w:rsidRPr="003E10F9">
        <w:t>Technology Transitions, Policies and Rules Governing Retirement of Copper Loops by Incumbent Local Exchange Carriers</w:t>
      </w:r>
      <w:r>
        <w:t xml:space="preserve">, </w:t>
      </w:r>
      <w:r w:rsidRPr="003E10F9">
        <w:t>81 FR 62632</w:t>
      </w:r>
      <w:r>
        <w:t xml:space="preserve"> (Sept. 12, 2016).</w:t>
      </w:r>
    </w:p>
  </w:footnote>
  <w:footnote w:id="11">
    <w:p w:rsidR="00614B4C" w:rsidRDefault="00614B4C" w:rsidP="00614B4C">
      <w:pPr>
        <w:pStyle w:val="FootnoteText"/>
      </w:pPr>
      <w:r>
        <w:rPr>
          <w:rStyle w:val="FootnoteReference"/>
        </w:rPr>
        <w:footnoteRef/>
      </w:r>
      <w:r>
        <w:t xml:space="preserve"> </w:t>
      </w:r>
      <w:r>
        <w:rPr>
          <w:i/>
        </w:rPr>
        <w:t>I</w:t>
      </w:r>
      <w:r w:rsidRPr="00D53BBE">
        <w:rPr>
          <w:i/>
        </w:rPr>
        <w:t>d.</w:t>
      </w:r>
      <w:r>
        <w:t xml:space="preserve"> at paras. 211-13 (The ordering clause for the Declaratory Ruling states that it shall be effective upon release while ordering clauses for the rulemaking portion of the decision explain the effective date shall be thirty days after publication in the Federal Register</w:t>
      </w:r>
      <w:r w:rsidRPr="005A4F47">
        <w:t xml:space="preserve"> or later for approvals required by </w:t>
      </w:r>
      <w:r>
        <w:t xml:space="preserve">the </w:t>
      </w:r>
      <w:r w:rsidRPr="005A4F47">
        <w:t>P</w:t>
      </w:r>
      <w:r>
        <w:t xml:space="preserve">aperwork </w:t>
      </w:r>
      <w:r w:rsidRPr="005A4F47">
        <w:t>R</w:t>
      </w:r>
      <w:r>
        <w:t xml:space="preserve">eduction </w:t>
      </w:r>
      <w:r w:rsidRPr="005A4F47">
        <w:t>A</w:t>
      </w:r>
      <w:r>
        <w:t>ct.</w:t>
      </w:r>
      <w:r w:rsidRPr="005A4F47">
        <w:t>)</w:t>
      </w:r>
      <w:r>
        <w:t xml:space="preserve">; 47 CFR </w:t>
      </w:r>
      <w:r w:rsidRPr="008956D9">
        <w:rPr>
          <w:rFonts w:ascii="Calibri" w:hAnsi="Calibri" w:cs="Calibri"/>
        </w:rPr>
        <w:t>§</w:t>
      </w:r>
      <w:r>
        <w:t xml:space="preserve"> 1.4</w:t>
      </w:r>
      <w:r w:rsidRPr="005A4F47">
        <w:t xml:space="preserve">.  </w:t>
      </w:r>
      <w:r>
        <w:t xml:space="preserve"> </w:t>
      </w:r>
    </w:p>
  </w:footnote>
  <w:footnote w:id="12">
    <w:p w:rsidR="00614B4C" w:rsidRDefault="00614B4C" w:rsidP="00614B4C">
      <w:pPr>
        <w:pStyle w:val="FootnoteText"/>
      </w:pPr>
      <w:r>
        <w:rPr>
          <w:rStyle w:val="FootnoteReference"/>
        </w:rPr>
        <w:footnoteRef/>
      </w:r>
      <w:r>
        <w:t xml:space="preserve"> </w:t>
      </w:r>
      <w:r w:rsidRPr="00735495">
        <w:rPr>
          <w:i/>
        </w:rPr>
        <w:t>See</w:t>
      </w:r>
      <w:r>
        <w:t xml:space="preserve"> </w:t>
      </w:r>
      <w:r>
        <w:rPr>
          <w:i/>
        </w:rPr>
        <w:t>Wireline Competition Bureau Seeks Comment on United States Telecom Association Petition for Declaratory Ruling That Incumbent Local Exchange Carriers are Non-Dominant in the Provision of Switched Access Services</w:t>
      </w:r>
      <w:r w:rsidRPr="007B3116">
        <w:t xml:space="preserve">, WC Docket No. 13-3, </w:t>
      </w:r>
      <w:r>
        <w:t>Public Notice, DA 13-21 (WCB Jan. 9, 2013).</w:t>
      </w:r>
    </w:p>
  </w:footnote>
  <w:footnote w:id="13">
    <w:p w:rsidR="00614B4C" w:rsidRDefault="00614B4C" w:rsidP="00614B4C">
      <w:pPr>
        <w:pStyle w:val="FootnoteText"/>
      </w:pPr>
      <w:r>
        <w:rPr>
          <w:rStyle w:val="FootnoteReference"/>
        </w:rPr>
        <w:footnoteRef/>
      </w:r>
      <w:r>
        <w:t xml:space="preserve"> </w:t>
      </w:r>
      <w:r w:rsidRPr="00735495">
        <w:rPr>
          <w:i/>
        </w:rPr>
        <w:t>See Technology Transitions et al.</w:t>
      </w:r>
      <w:r>
        <w:t xml:space="preserve">, Notice of Proposed Rulemaking and Declaratory Ruling, 29 FCC Rcd 14968 (2014). </w:t>
      </w:r>
    </w:p>
  </w:footnote>
  <w:footnote w:id="14">
    <w:p w:rsidR="00614B4C" w:rsidRDefault="00614B4C" w:rsidP="00614B4C">
      <w:pPr>
        <w:pStyle w:val="FootnoteText"/>
      </w:pPr>
      <w:r>
        <w:rPr>
          <w:rStyle w:val="FootnoteReference"/>
        </w:rPr>
        <w:footnoteRef/>
      </w:r>
      <w:r>
        <w:t xml:space="preserve"> </w:t>
      </w:r>
      <w:r w:rsidRPr="00735495">
        <w:rPr>
          <w:i/>
        </w:rPr>
        <w:t>See</w:t>
      </w:r>
      <w:r>
        <w:t xml:space="preserve"> Ad Hoc Comments, WC Docket No. 13-3 (Feb. 25, 2013) and Ad Hoc Comments, GN Docket No. 13-5, RM-11385 (Feb. 5. 2015).</w:t>
      </w:r>
    </w:p>
  </w:footnote>
  <w:footnote w:id="15">
    <w:p w:rsidR="00614B4C" w:rsidRDefault="00614B4C" w:rsidP="00614B4C">
      <w:pPr>
        <w:pStyle w:val="FootnoteText"/>
      </w:pPr>
      <w:r>
        <w:rPr>
          <w:rStyle w:val="FootnoteReference"/>
        </w:rPr>
        <w:footnoteRef/>
      </w:r>
      <w:r>
        <w:t xml:space="preserve"> </w:t>
      </w:r>
      <w:r w:rsidRPr="00735495">
        <w:rPr>
          <w:i/>
        </w:rPr>
        <w:t xml:space="preserve">See </w:t>
      </w:r>
      <w:r>
        <w:rPr>
          <w:i/>
        </w:rPr>
        <w:t>supra</w:t>
      </w:r>
      <w:r>
        <w:t xml:space="preserve"> 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D0" w:rsidRDefault="00957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14B4C">
      <w:t xml:space="preserve">DA </w:t>
    </w:r>
    <w:r w:rsidR="00F84060" w:rsidRPr="00F84060">
      <w:t>16-1377</w:t>
    </w:r>
  </w:p>
  <w:p w:rsidR="00D25FB5" w:rsidRDefault="00931C9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783F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31C9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E6676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14B4C">
      <w:rPr>
        <w:spacing w:val="-2"/>
      </w:rPr>
      <w:t xml:space="preserve">DA </w:t>
    </w:r>
    <w:r w:rsidR="00F84060" w:rsidRPr="00F84060">
      <w:rPr>
        <w:spacing w:val="-2"/>
      </w:rPr>
      <w:t>16-1377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4C"/>
    <w:rsid w:val="00036039"/>
    <w:rsid w:val="00037F90"/>
    <w:rsid w:val="000875BF"/>
    <w:rsid w:val="00096D8C"/>
    <w:rsid w:val="000B7150"/>
    <w:rsid w:val="000C0B65"/>
    <w:rsid w:val="000E05FE"/>
    <w:rsid w:val="000E3D42"/>
    <w:rsid w:val="00122BD5"/>
    <w:rsid w:val="00133F79"/>
    <w:rsid w:val="00154468"/>
    <w:rsid w:val="00194A66"/>
    <w:rsid w:val="001C56FF"/>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2EE2"/>
    <w:rsid w:val="004242F1"/>
    <w:rsid w:val="00445A00"/>
    <w:rsid w:val="00451B0F"/>
    <w:rsid w:val="004C2EE3"/>
    <w:rsid w:val="004E4A22"/>
    <w:rsid w:val="00511968"/>
    <w:rsid w:val="0055614C"/>
    <w:rsid w:val="005E14C2"/>
    <w:rsid w:val="00607BA5"/>
    <w:rsid w:val="0061180A"/>
    <w:rsid w:val="00614B4C"/>
    <w:rsid w:val="00626EB6"/>
    <w:rsid w:val="00655D03"/>
    <w:rsid w:val="00683388"/>
    <w:rsid w:val="00683F84"/>
    <w:rsid w:val="006A6A81"/>
    <w:rsid w:val="006F1274"/>
    <w:rsid w:val="006F7393"/>
    <w:rsid w:val="0070224F"/>
    <w:rsid w:val="007115F7"/>
    <w:rsid w:val="00753CAE"/>
    <w:rsid w:val="00785689"/>
    <w:rsid w:val="0079754B"/>
    <w:rsid w:val="007A1E6D"/>
    <w:rsid w:val="007B0EB2"/>
    <w:rsid w:val="00810B6F"/>
    <w:rsid w:val="00822CE0"/>
    <w:rsid w:val="00832F15"/>
    <w:rsid w:val="00841AB1"/>
    <w:rsid w:val="008C68F1"/>
    <w:rsid w:val="00914B5A"/>
    <w:rsid w:val="00921803"/>
    <w:rsid w:val="00921BC9"/>
    <w:rsid w:val="00926503"/>
    <w:rsid w:val="00931C97"/>
    <w:rsid w:val="009576D0"/>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09F6"/>
    <w:rsid w:val="00DA2529"/>
    <w:rsid w:val="00DB130A"/>
    <w:rsid w:val="00DB2EBB"/>
    <w:rsid w:val="00DC10A1"/>
    <w:rsid w:val="00DC655F"/>
    <w:rsid w:val="00DD0B59"/>
    <w:rsid w:val="00DD7EBD"/>
    <w:rsid w:val="00DF62B6"/>
    <w:rsid w:val="00E07225"/>
    <w:rsid w:val="00E5409F"/>
    <w:rsid w:val="00EB20B9"/>
    <w:rsid w:val="00EE6488"/>
    <w:rsid w:val="00F021FA"/>
    <w:rsid w:val="00F62E97"/>
    <w:rsid w:val="00F64209"/>
    <w:rsid w:val="00F84060"/>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B4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7"/>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0E3D42"/>
    <w:pPr>
      <w:spacing w:after="120"/>
    </w:p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614B4C"/>
    <w:rPr>
      <w:snapToGrid w:val="0"/>
      <w:kern w:val="28"/>
      <w:sz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614B4C"/>
  </w:style>
  <w:style w:type="character" w:styleId="Emphasis">
    <w:name w:val="Emphasis"/>
    <w:uiPriority w:val="20"/>
    <w:qFormat/>
    <w:rsid w:val="00614B4C"/>
    <w:rPr>
      <w:i/>
      <w:iCs/>
    </w:rPr>
  </w:style>
  <w:style w:type="character" w:customStyle="1" w:styleId="cosearchterm">
    <w:name w:val="co_searchterm"/>
    <w:rsid w:val="00614B4C"/>
  </w:style>
  <w:style w:type="paragraph" w:styleId="BalloonText">
    <w:name w:val="Balloon Text"/>
    <w:basedOn w:val="Normal"/>
    <w:link w:val="BalloonTextChar"/>
    <w:rsid w:val="00614B4C"/>
    <w:rPr>
      <w:rFonts w:ascii="Segoe UI" w:hAnsi="Segoe UI" w:cs="Segoe UI"/>
      <w:sz w:val="18"/>
      <w:szCs w:val="18"/>
    </w:rPr>
  </w:style>
  <w:style w:type="character" w:customStyle="1" w:styleId="BalloonTextChar">
    <w:name w:val="Balloon Text Char"/>
    <w:link w:val="BalloonText"/>
    <w:rsid w:val="00614B4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B4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7"/>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0E3D42"/>
    <w:pPr>
      <w:spacing w:after="120"/>
    </w:p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614B4C"/>
    <w:rPr>
      <w:snapToGrid w:val="0"/>
      <w:kern w:val="28"/>
      <w:sz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614B4C"/>
  </w:style>
  <w:style w:type="character" w:styleId="Emphasis">
    <w:name w:val="Emphasis"/>
    <w:uiPriority w:val="20"/>
    <w:qFormat/>
    <w:rsid w:val="00614B4C"/>
    <w:rPr>
      <w:i/>
      <w:iCs/>
    </w:rPr>
  </w:style>
  <w:style w:type="character" w:customStyle="1" w:styleId="cosearchterm">
    <w:name w:val="co_searchterm"/>
    <w:rsid w:val="00614B4C"/>
  </w:style>
  <w:style w:type="paragraph" w:styleId="BalloonText">
    <w:name w:val="Balloon Text"/>
    <w:basedOn w:val="Normal"/>
    <w:link w:val="BalloonTextChar"/>
    <w:rsid w:val="00614B4C"/>
    <w:rPr>
      <w:rFonts w:ascii="Segoe UI" w:hAnsi="Segoe UI" w:cs="Segoe UI"/>
      <w:sz w:val="18"/>
      <w:szCs w:val="18"/>
    </w:rPr>
  </w:style>
  <w:style w:type="character" w:customStyle="1" w:styleId="BalloonTextChar">
    <w:name w:val="Balloon Text Char"/>
    <w:link w:val="BalloonText"/>
    <w:rsid w:val="00614B4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Link/Document/FullText?findType=L&amp;pubNum=1000547&amp;cite=47CFRS1.106&amp;originatingDoc=Idc0d9bc05d1a11e5b86bd602cb8781fa&amp;refType=RB&amp;originationContext=document&amp;vr=3.0&amp;rs=cblt1.0&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570</Words>
  <Characters>3184</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2016-12-12T21:59:00Z</dcterms:created>
  <dcterms:modified xsi:type="dcterms:W3CDTF">2016-12-12T21:59:00Z</dcterms:modified>
  <cp:category> </cp:category>
  <cp:contentStatus> </cp:contentStatus>
</cp:coreProperties>
</file>