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D3135" w:rsidRDefault="004C2EE3">
      <w:pPr>
        <w:jc w:val="center"/>
        <w:rPr>
          <w:b/>
        </w:rPr>
      </w:pPr>
      <w:bookmarkStart w:id="0" w:name="_GoBack"/>
      <w:bookmarkEnd w:id="0"/>
      <w:r w:rsidRPr="002D3135">
        <w:rPr>
          <w:b/>
          <w:kern w:val="0"/>
          <w:szCs w:val="22"/>
        </w:rPr>
        <w:t>Before</w:t>
      </w:r>
      <w:r w:rsidRPr="002D3135">
        <w:rPr>
          <w:b/>
        </w:rPr>
        <w:t xml:space="preserve"> the</w:t>
      </w:r>
    </w:p>
    <w:p w:rsidR="00921803" w:rsidRPr="002D3135" w:rsidRDefault="00921803" w:rsidP="00921803">
      <w:pPr>
        <w:pStyle w:val="StyleBoldCentered"/>
        <w:rPr>
          <w:rFonts w:ascii="Times New Roman" w:hAnsi="Times New Roman"/>
        </w:rPr>
      </w:pPr>
      <w:r w:rsidRPr="002D3135">
        <w:rPr>
          <w:rFonts w:ascii="Times New Roman" w:hAnsi="Times New Roman"/>
        </w:rPr>
        <w:t>F</w:t>
      </w:r>
      <w:r w:rsidRPr="002D3135">
        <w:rPr>
          <w:rFonts w:ascii="Times New Roman" w:hAnsi="Times New Roman"/>
          <w:caps w:val="0"/>
        </w:rPr>
        <w:t>ederal Communications Commission</w:t>
      </w:r>
    </w:p>
    <w:p w:rsidR="004C2EE3" w:rsidRPr="002D3135" w:rsidRDefault="00810B6F" w:rsidP="00096D8C">
      <w:pPr>
        <w:pStyle w:val="StyleBoldCentered"/>
        <w:rPr>
          <w:rFonts w:ascii="Times New Roman" w:hAnsi="Times New Roman"/>
        </w:rPr>
      </w:pPr>
      <w:r w:rsidRPr="002D3135">
        <w:rPr>
          <w:rFonts w:ascii="Times New Roman" w:hAnsi="Times New Roman"/>
          <w:caps w:val="0"/>
        </w:rPr>
        <w:t>Washington, D.C. 20554</w:t>
      </w:r>
    </w:p>
    <w:p w:rsidR="004C2EE3" w:rsidRPr="002D3135" w:rsidRDefault="004C2EE3" w:rsidP="0070224F"/>
    <w:p w:rsidR="004C2EE3" w:rsidRPr="002D313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2D3135">
        <w:tc>
          <w:tcPr>
            <w:tcW w:w="4698" w:type="dxa"/>
          </w:tcPr>
          <w:p w:rsidR="004C2EE3" w:rsidRPr="002D3135" w:rsidRDefault="004C2EE3">
            <w:pPr>
              <w:tabs>
                <w:tab w:val="center" w:pos="4680"/>
              </w:tabs>
              <w:suppressAutoHyphens/>
              <w:rPr>
                <w:spacing w:val="-2"/>
              </w:rPr>
            </w:pPr>
            <w:r w:rsidRPr="002D3135">
              <w:rPr>
                <w:spacing w:val="-2"/>
              </w:rPr>
              <w:t>In the Matter of</w:t>
            </w:r>
          </w:p>
          <w:p w:rsidR="004C2EE3" w:rsidRPr="002D3135" w:rsidRDefault="004C2EE3">
            <w:pPr>
              <w:tabs>
                <w:tab w:val="center" w:pos="4680"/>
              </w:tabs>
              <w:suppressAutoHyphens/>
              <w:rPr>
                <w:spacing w:val="-2"/>
              </w:rPr>
            </w:pPr>
          </w:p>
          <w:p w:rsidR="004C2EE3" w:rsidRDefault="001867EA" w:rsidP="007115F7">
            <w:pPr>
              <w:tabs>
                <w:tab w:val="center" w:pos="4680"/>
              </w:tabs>
              <w:suppressAutoHyphens/>
              <w:rPr>
                <w:spacing w:val="-2"/>
              </w:rPr>
            </w:pPr>
            <w:r>
              <w:rPr>
                <w:spacing w:val="-2"/>
              </w:rPr>
              <w:t>Connect America Fund</w:t>
            </w:r>
          </w:p>
          <w:p w:rsidR="001867EA" w:rsidRDefault="001867EA" w:rsidP="007115F7">
            <w:pPr>
              <w:tabs>
                <w:tab w:val="center" w:pos="4680"/>
              </w:tabs>
              <w:suppressAutoHyphens/>
              <w:rPr>
                <w:spacing w:val="-2"/>
              </w:rPr>
            </w:pPr>
          </w:p>
          <w:p w:rsidR="001867EA" w:rsidRDefault="001867EA" w:rsidP="007115F7">
            <w:pPr>
              <w:tabs>
                <w:tab w:val="center" w:pos="4680"/>
              </w:tabs>
              <w:suppressAutoHyphens/>
              <w:rPr>
                <w:spacing w:val="-2"/>
              </w:rPr>
            </w:pPr>
            <w:r>
              <w:rPr>
                <w:spacing w:val="-2"/>
              </w:rPr>
              <w:t>ETC Annual Reports and Certifications</w:t>
            </w:r>
          </w:p>
          <w:p w:rsidR="001867EA" w:rsidRDefault="001867EA" w:rsidP="007115F7">
            <w:pPr>
              <w:tabs>
                <w:tab w:val="center" w:pos="4680"/>
              </w:tabs>
              <w:suppressAutoHyphens/>
              <w:rPr>
                <w:spacing w:val="-2"/>
              </w:rPr>
            </w:pPr>
          </w:p>
          <w:p w:rsidR="001867EA" w:rsidRPr="002D3135" w:rsidRDefault="001867EA" w:rsidP="007115F7">
            <w:pPr>
              <w:tabs>
                <w:tab w:val="center" w:pos="4680"/>
              </w:tabs>
              <w:suppressAutoHyphens/>
              <w:rPr>
                <w:spacing w:val="-2"/>
              </w:rPr>
            </w:pPr>
            <w:r>
              <w:rPr>
                <w:spacing w:val="-2"/>
              </w:rPr>
              <w:t>Developing a Unified Intercarrier Compensation Regime</w:t>
            </w:r>
          </w:p>
        </w:tc>
        <w:tc>
          <w:tcPr>
            <w:tcW w:w="630" w:type="dxa"/>
          </w:tcPr>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spacing w:val="-2"/>
              </w:rPr>
            </w:pPr>
            <w:r w:rsidRPr="002D3135">
              <w:rPr>
                <w:b/>
                <w:spacing w:val="-2"/>
              </w:rPr>
              <w:t>)</w:t>
            </w:r>
          </w:p>
        </w:tc>
        <w:tc>
          <w:tcPr>
            <w:tcW w:w="4248" w:type="dxa"/>
          </w:tcPr>
          <w:p w:rsidR="004C2EE3" w:rsidRPr="002D3135" w:rsidRDefault="004C2EE3">
            <w:pPr>
              <w:tabs>
                <w:tab w:val="center" w:pos="4680"/>
              </w:tabs>
              <w:suppressAutoHyphens/>
              <w:rPr>
                <w:spacing w:val="-2"/>
              </w:rPr>
            </w:pPr>
          </w:p>
          <w:p w:rsidR="004C2EE3" w:rsidRPr="002D3135" w:rsidRDefault="004C2EE3">
            <w:pPr>
              <w:pStyle w:val="TOAHeading"/>
              <w:tabs>
                <w:tab w:val="clear" w:pos="9360"/>
                <w:tab w:val="center" w:pos="4680"/>
              </w:tabs>
              <w:rPr>
                <w:spacing w:val="-2"/>
              </w:rPr>
            </w:pPr>
          </w:p>
          <w:p w:rsidR="004C2EE3" w:rsidRDefault="001867EA">
            <w:pPr>
              <w:tabs>
                <w:tab w:val="center" w:pos="4680"/>
              </w:tabs>
              <w:suppressAutoHyphens/>
              <w:rPr>
                <w:spacing w:val="-2"/>
              </w:rPr>
            </w:pPr>
            <w:r>
              <w:rPr>
                <w:spacing w:val="-2"/>
              </w:rPr>
              <w:t>WC Docket No. 10-90</w:t>
            </w:r>
          </w:p>
          <w:p w:rsidR="001867EA" w:rsidRDefault="001867EA">
            <w:pPr>
              <w:tabs>
                <w:tab w:val="center" w:pos="4680"/>
              </w:tabs>
              <w:suppressAutoHyphens/>
              <w:rPr>
                <w:spacing w:val="-2"/>
              </w:rPr>
            </w:pPr>
          </w:p>
          <w:p w:rsidR="001867EA" w:rsidRDefault="001867EA">
            <w:pPr>
              <w:tabs>
                <w:tab w:val="center" w:pos="4680"/>
              </w:tabs>
              <w:suppressAutoHyphens/>
              <w:rPr>
                <w:spacing w:val="-2"/>
              </w:rPr>
            </w:pPr>
            <w:r>
              <w:rPr>
                <w:spacing w:val="-2"/>
              </w:rPr>
              <w:t>WC Docket No. 14-58</w:t>
            </w:r>
          </w:p>
          <w:p w:rsidR="001867EA" w:rsidRDefault="001867EA">
            <w:pPr>
              <w:tabs>
                <w:tab w:val="center" w:pos="4680"/>
              </w:tabs>
              <w:suppressAutoHyphens/>
              <w:rPr>
                <w:spacing w:val="-2"/>
              </w:rPr>
            </w:pPr>
          </w:p>
          <w:p w:rsidR="001867EA" w:rsidRPr="002D3135" w:rsidRDefault="001867EA">
            <w:pPr>
              <w:tabs>
                <w:tab w:val="center" w:pos="4680"/>
              </w:tabs>
              <w:suppressAutoHyphens/>
              <w:rPr>
                <w:spacing w:val="-2"/>
              </w:rPr>
            </w:pPr>
            <w:r>
              <w:rPr>
                <w:spacing w:val="-2"/>
              </w:rPr>
              <w:t>CC Docket No. 01-92</w:t>
            </w:r>
          </w:p>
        </w:tc>
      </w:tr>
    </w:tbl>
    <w:p w:rsidR="004C2EE3" w:rsidRPr="002D3135" w:rsidRDefault="004C2EE3" w:rsidP="0070224F"/>
    <w:p w:rsidR="00841AB1" w:rsidRPr="002D3135" w:rsidRDefault="001867EA" w:rsidP="00F021FA">
      <w:pPr>
        <w:pStyle w:val="StyleBoldCentered"/>
        <w:rPr>
          <w:rFonts w:ascii="Times New Roman" w:hAnsi="Times New Roman"/>
        </w:rPr>
      </w:pPr>
      <w:r>
        <w:rPr>
          <w:rFonts w:ascii="Times New Roman" w:hAnsi="Times New Roman"/>
        </w:rPr>
        <w:t xml:space="preserve">Order </w:t>
      </w:r>
    </w:p>
    <w:p w:rsidR="004C2EE3" w:rsidRPr="002D3135" w:rsidRDefault="004C2EE3">
      <w:pPr>
        <w:tabs>
          <w:tab w:val="left" w:pos="-720"/>
        </w:tabs>
        <w:suppressAutoHyphens/>
        <w:spacing w:line="227" w:lineRule="auto"/>
        <w:rPr>
          <w:spacing w:val="-2"/>
        </w:rPr>
      </w:pPr>
    </w:p>
    <w:p w:rsidR="004C2EE3" w:rsidRPr="002D3135" w:rsidRDefault="004C2EE3" w:rsidP="00133F79">
      <w:pPr>
        <w:tabs>
          <w:tab w:val="left" w:pos="720"/>
          <w:tab w:val="right" w:pos="9360"/>
        </w:tabs>
        <w:suppressAutoHyphens/>
        <w:spacing w:line="227" w:lineRule="auto"/>
        <w:rPr>
          <w:spacing w:val="-2"/>
        </w:rPr>
      </w:pPr>
      <w:r w:rsidRPr="002D3135">
        <w:rPr>
          <w:b/>
          <w:spacing w:val="-2"/>
        </w:rPr>
        <w:t xml:space="preserve">Adopted:  </w:t>
      </w:r>
      <w:r w:rsidR="00EA0361">
        <w:rPr>
          <w:b/>
          <w:spacing w:val="-2"/>
        </w:rPr>
        <w:t>December 14, 2016</w:t>
      </w:r>
      <w:r w:rsidRPr="002D3135">
        <w:rPr>
          <w:b/>
          <w:spacing w:val="-2"/>
        </w:rPr>
        <w:tab/>
      </w:r>
      <w:r w:rsidR="00822CE0" w:rsidRPr="002D3135">
        <w:rPr>
          <w:b/>
          <w:spacing w:val="-2"/>
        </w:rPr>
        <w:t>Released</w:t>
      </w:r>
      <w:r w:rsidRPr="002D3135">
        <w:rPr>
          <w:b/>
          <w:spacing w:val="-2"/>
        </w:rPr>
        <w:t>:</w:t>
      </w:r>
      <w:r w:rsidR="00822CE0" w:rsidRPr="002D3135">
        <w:rPr>
          <w:b/>
          <w:spacing w:val="-2"/>
        </w:rPr>
        <w:t xml:space="preserve"> </w:t>
      </w:r>
      <w:r w:rsidRPr="002D3135">
        <w:rPr>
          <w:b/>
          <w:spacing w:val="-2"/>
        </w:rPr>
        <w:t xml:space="preserve"> </w:t>
      </w:r>
      <w:r w:rsidR="00EA0361">
        <w:rPr>
          <w:b/>
          <w:spacing w:val="-2"/>
        </w:rPr>
        <w:t>December 14, 2016</w:t>
      </w:r>
    </w:p>
    <w:p w:rsidR="00822CE0" w:rsidRPr="002D3135" w:rsidRDefault="00822CE0"/>
    <w:p w:rsidR="004C2EE3" w:rsidRPr="002D3135" w:rsidRDefault="004C2EE3">
      <w:pPr>
        <w:rPr>
          <w:spacing w:val="-2"/>
        </w:rPr>
      </w:pPr>
      <w:r w:rsidRPr="002D3135">
        <w:t xml:space="preserve">By </w:t>
      </w:r>
      <w:r w:rsidR="004E4A22" w:rsidRPr="002D3135">
        <w:t>the</w:t>
      </w:r>
      <w:r w:rsidR="002A2D2E" w:rsidRPr="002D3135">
        <w:t xml:space="preserve"> </w:t>
      </w:r>
      <w:r w:rsidR="003D4209">
        <w:t xml:space="preserve">Chief, Wireline Competition </w:t>
      </w:r>
      <w:r w:rsidR="001867EA">
        <w:rPr>
          <w:spacing w:val="-2"/>
        </w:rPr>
        <w:t>Bureau</w:t>
      </w:r>
      <w:r w:rsidRPr="002D3135">
        <w:rPr>
          <w:spacing w:val="-2"/>
        </w:rPr>
        <w:t>:</w:t>
      </w:r>
    </w:p>
    <w:p w:rsidR="003D4209" w:rsidRPr="003D4209" w:rsidRDefault="003D4209" w:rsidP="003D4209">
      <w:pPr>
        <w:pStyle w:val="Heading1"/>
        <w:widowControl/>
        <w:numPr>
          <w:ilvl w:val="0"/>
          <w:numId w:val="0"/>
        </w:numPr>
        <w:tabs>
          <w:tab w:val="left" w:pos="720"/>
        </w:tabs>
        <w:ind w:left="720"/>
        <w:rPr>
          <w:spacing w:val="-2"/>
        </w:rPr>
      </w:pPr>
    </w:p>
    <w:p w:rsidR="002C00E8" w:rsidRPr="002D3135" w:rsidRDefault="005E72A0" w:rsidP="003D4209">
      <w:pPr>
        <w:pStyle w:val="Heading1"/>
      </w:pPr>
      <w:r>
        <w:t>introduction</w:t>
      </w:r>
    </w:p>
    <w:p w:rsidR="00DE3A0C" w:rsidRDefault="00DE3A0C" w:rsidP="00DE3A0C">
      <w:pPr>
        <w:pStyle w:val="ParaNum"/>
        <w:widowControl/>
        <w:numPr>
          <w:ilvl w:val="0"/>
          <w:numId w:val="13"/>
        </w:numPr>
        <w:tabs>
          <w:tab w:val="clear" w:pos="1080"/>
          <w:tab w:val="num" w:pos="360"/>
          <w:tab w:val="left" w:pos="1440"/>
        </w:tabs>
      </w:pPr>
      <w:r>
        <w:t xml:space="preserve">In the </w:t>
      </w:r>
      <w:r w:rsidRPr="00DE3A0C">
        <w:rPr>
          <w:i/>
        </w:rPr>
        <w:t xml:space="preserve">Rate-of-Return Reform Order, </w:t>
      </w:r>
      <w:r>
        <w:t xml:space="preserve">the Commission adopted significant reforms to the rules governing </w:t>
      </w:r>
      <w:r w:rsidR="000419FB">
        <w:t xml:space="preserve">incumbent local exchange </w:t>
      </w:r>
      <w:r>
        <w:t xml:space="preserve">carriers </w:t>
      </w:r>
      <w:r w:rsidR="0025016A">
        <w:t xml:space="preserve">that currently receive high-cost support through the legacy high-cost support mechanisms </w:t>
      </w:r>
      <w:r w:rsidR="000419FB">
        <w:t>(rate-of-return LECs)</w:t>
      </w:r>
      <w:r>
        <w:t xml:space="preserve">, including the adoption of a new Connect America Fund Broadband Loop Support (CAF BLS) mechanism and a voluntary path to model-based support for </w:t>
      </w:r>
      <w:r w:rsidR="0025016A">
        <w:t xml:space="preserve">those </w:t>
      </w:r>
      <w:r>
        <w:t>rate-of-return carriers (also known as the Alternative Connect America Cost Model, or A</w:t>
      </w:r>
      <w:r w:rsidR="000419FB">
        <w:t>-</w:t>
      </w:r>
      <w:r>
        <w:t>CAM).</w:t>
      </w:r>
      <w:r>
        <w:rPr>
          <w:rStyle w:val="FootnoteReference"/>
        </w:rPr>
        <w:footnoteReference w:id="2"/>
      </w:r>
      <w:r>
        <w:t xml:space="preserve">  </w:t>
      </w:r>
      <w:r w:rsidR="00635437">
        <w:t xml:space="preserve">As explained further below, the </w:t>
      </w:r>
      <w:r w:rsidR="00635437" w:rsidRPr="00A46529">
        <w:rPr>
          <w:i/>
        </w:rPr>
        <w:t xml:space="preserve">Rate-of-Return </w:t>
      </w:r>
      <w:r w:rsidR="003D53A0">
        <w:rPr>
          <w:i/>
        </w:rPr>
        <w:t xml:space="preserve">Reform </w:t>
      </w:r>
      <w:r w:rsidR="00635437" w:rsidRPr="00A46529">
        <w:rPr>
          <w:i/>
        </w:rPr>
        <w:t>Order</w:t>
      </w:r>
      <w:r w:rsidR="00635437">
        <w:t xml:space="preserve"> required </w:t>
      </w:r>
      <w:r w:rsidR="0025016A">
        <w:t xml:space="preserve">these </w:t>
      </w:r>
      <w:r w:rsidR="00635437">
        <w:t xml:space="preserve">rate-of-return LECs to impute a particular charge (known as the </w:t>
      </w:r>
      <w:r w:rsidR="00CC2DFD">
        <w:t>Access Recovery Charge or ARC</w:t>
      </w:r>
      <w:r w:rsidR="00635437">
        <w:t xml:space="preserve">) in certain circumstances.  </w:t>
      </w:r>
      <w:r w:rsidR="001C3E66">
        <w:t>T</w:t>
      </w:r>
      <w:r w:rsidR="000419FB">
        <w:t>he Wirel</w:t>
      </w:r>
      <w:r>
        <w:t>ine Competition Bureau (Bureau)</w:t>
      </w:r>
      <w:r w:rsidR="00E870D2">
        <w:t xml:space="preserve"> </w:t>
      </w:r>
      <w:r w:rsidR="004F0B3D">
        <w:t xml:space="preserve">is aware of existing uncertainty as to </w:t>
      </w:r>
      <w:r w:rsidR="001C3E66">
        <w:t xml:space="preserve">whether </w:t>
      </w:r>
      <w:r w:rsidR="00635437">
        <w:t xml:space="preserve">this imputation </w:t>
      </w:r>
      <w:r w:rsidR="001C3E66">
        <w:t>obligation is limited to</w:t>
      </w:r>
      <w:r w:rsidR="00635437">
        <w:t xml:space="preserve"> rate-of-return LEC</w:t>
      </w:r>
      <w:r w:rsidR="001C3E66">
        <w:t>s</w:t>
      </w:r>
      <w:r w:rsidR="00635437">
        <w:t xml:space="preserve"> </w:t>
      </w:r>
      <w:r w:rsidR="00A46529">
        <w:t>receiv</w:t>
      </w:r>
      <w:r w:rsidR="001C3E66">
        <w:t>ing</w:t>
      </w:r>
      <w:r w:rsidR="0025016A">
        <w:t xml:space="preserve"> </w:t>
      </w:r>
      <w:r w:rsidR="003D53A0">
        <w:t>CAF BLS</w:t>
      </w:r>
      <w:r w:rsidR="001C3E66">
        <w:t xml:space="preserve"> or </w:t>
      </w:r>
      <w:r w:rsidR="004F0B3D">
        <w:t>whether it</w:t>
      </w:r>
      <w:r w:rsidR="001C3E66">
        <w:t xml:space="preserve"> applies</w:t>
      </w:r>
      <w:r w:rsidR="004F0B3D">
        <w:t xml:space="preserve"> equally </w:t>
      </w:r>
      <w:r w:rsidR="001C3E66">
        <w:t>to carriers receiving A-CAM support</w:t>
      </w:r>
      <w:r w:rsidR="003D53A0">
        <w:t xml:space="preserve">.  </w:t>
      </w:r>
      <w:r w:rsidR="0025016A">
        <w:t xml:space="preserve">Pursuant to </w:t>
      </w:r>
      <w:r w:rsidR="003D53A0">
        <w:t xml:space="preserve">the </w:t>
      </w:r>
      <w:r w:rsidR="003D53A0">
        <w:rPr>
          <w:i/>
        </w:rPr>
        <w:t xml:space="preserve">Rate-of-Return Reform </w:t>
      </w:r>
      <w:r w:rsidR="003D53A0" w:rsidRPr="003D53A0">
        <w:rPr>
          <w:i/>
        </w:rPr>
        <w:t>Order</w:t>
      </w:r>
      <w:r w:rsidR="003D53A0">
        <w:t>, w</w:t>
      </w:r>
      <w:r w:rsidR="00635437" w:rsidRPr="003D53A0">
        <w:t>e</w:t>
      </w:r>
      <w:r w:rsidR="00635437">
        <w:t xml:space="preserve"> clarify that this imputation obligation applies not only </w:t>
      </w:r>
      <w:r w:rsidR="00D03083">
        <w:t>to</w:t>
      </w:r>
      <w:r w:rsidR="00635437">
        <w:t xml:space="preserve"> rate-of-return LEC</w:t>
      </w:r>
      <w:r w:rsidR="00D03083">
        <w:t>s</w:t>
      </w:r>
      <w:r w:rsidR="00635437">
        <w:t xml:space="preserve"> </w:t>
      </w:r>
      <w:r w:rsidR="00D03083">
        <w:t xml:space="preserve">that </w:t>
      </w:r>
      <w:r w:rsidR="00A46529">
        <w:t xml:space="preserve">receive </w:t>
      </w:r>
      <w:r w:rsidR="00635437">
        <w:t xml:space="preserve">support from CAF BLS, but also </w:t>
      </w:r>
      <w:r w:rsidR="00D03083">
        <w:t xml:space="preserve">to those that </w:t>
      </w:r>
      <w:r w:rsidR="00635437">
        <w:t>r</w:t>
      </w:r>
      <w:r w:rsidR="00A46529">
        <w:t>eceive</w:t>
      </w:r>
      <w:r w:rsidR="00635437">
        <w:t xml:space="preserve"> support </w:t>
      </w:r>
      <w:r w:rsidR="00A46529">
        <w:t xml:space="preserve">from A-CAM.  </w:t>
      </w:r>
      <w:r w:rsidR="001C3E66">
        <w:t>Accordingly</w:t>
      </w:r>
      <w:r w:rsidR="00A46529">
        <w:t xml:space="preserve">, </w:t>
      </w:r>
      <w:r w:rsidR="000419FB">
        <w:t>rate-of-return LECs</w:t>
      </w:r>
      <w:r>
        <w:t xml:space="preserve"> must </w:t>
      </w:r>
      <w:r w:rsidRPr="000C4AF0">
        <w:t xml:space="preserve">impute </w:t>
      </w:r>
      <w:r>
        <w:t>an amount equal to the</w:t>
      </w:r>
      <w:r w:rsidRPr="000C4AF0">
        <w:t xml:space="preserve"> ARC th</w:t>
      </w:r>
      <w:r>
        <w:t xml:space="preserve">ey assess on voice/broadband lines on </w:t>
      </w:r>
      <w:r w:rsidRPr="000C4AF0">
        <w:t xml:space="preserve">their </w:t>
      </w:r>
      <w:r w:rsidR="004F0B3D">
        <w:t>C</w:t>
      </w:r>
      <w:r>
        <w:t xml:space="preserve">onsumer </w:t>
      </w:r>
      <w:r w:rsidR="004F0B3D">
        <w:t>B</w:t>
      </w:r>
      <w:r w:rsidRPr="000C4AF0">
        <w:t>roadband</w:t>
      </w:r>
      <w:r>
        <w:t>-only</w:t>
      </w:r>
      <w:r w:rsidRPr="000C4AF0">
        <w:t xml:space="preserve"> </w:t>
      </w:r>
      <w:r w:rsidR="004F0B3D">
        <w:t>Loops</w:t>
      </w:r>
      <w:r w:rsidR="00AE2B69">
        <w:t xml:space="preserve"> receiving support </w:t>
      </w:r>
      <w:r w:rsidR="00A46529" w:rsidRPr="00A46529">
        <w:rPr>
          <w:i/>
        </w:rPr>
        <w:t>either</w:t>
      </w:r>
      <w:r w:rsidR="00A46529">
        <w:t xml:space="preserve"> </w:t>
      </w:r>
      <w:r w:rsidR="00AE2B69">
        <w:t xml:space="preserve">from CAF BLS </w:t>
      </w:r>
      <w:r w:rsidR="00AE2B69" w:rsidRPr="006504AA">
        <w:rPr>
          <w:i/>
        </w:rPr>
        <w:t>or</w:t>
      </w:r>
      <w:r w:rsidR="00AE2B69">
        <w:t xml:space="preserve"> A-CAM</w:t>
      </w:r>
      <w:r w:rsidRPr="000C4AF0">
        <w:t>.</w:t>
      </w:r>
      <w:r w:rsidR="0028655E">
        <w:rPr>
          <w:rStyle w:val="FootnoteReference"/>
        </w:rPr>
        <w:footnoteReference w:id="3"/>
      </w:r>
      <w:r>
        <w:t xml:space="preserve"> </w:t>
      </w:r>
    </w:p>
    <w:p w:rsidR="00DE3A0C" w:rsidRPr="00075199" w:rsidRDefault="00DE3A0C" w:rsidP="005E6023">
      <w:pPr>
        <w:pStyle w:val="Heading1"/>
        <w:rPr>
          <w:sz w:val="24"/>
          <w:szCs w:val="24"/>
        </w:rPr>
      </w:pPr>
      <w:r>
        <w:t>Background</w:t>
      </w:r>
    </w:p>
    <w:p w:rsidR="00DE3A0C" w:rsidRPr="00075199" w:rsidRDefault="00DE3A0C" w:rsidP="00DE3A0C">
      <w:pPr>
        <w:pStyle w:val="ParaNum"/>
        <w:widowControl/>
        <w:numPr>
          <w:ilvl w:val="0"/>
          <w:numId w:val="13"/>
        </w:numPr>
        <w:tabs>
          <w:tab w:val="clear" w:pos="1080"/>
          <w:tab w:val="num" w:pos="360"/>
          <w:tab w:val="left" w:pos="1440"/>
        </w:tabs>
        <w:rPr>
          <w:sz w:val="24"/>
          <w:szCs w:val="24"/>
        </w:rPr>
      </w:pPr>
      <w:r>
        <w:t>I</w:t>
      </w:r>
      <w:r w:rsidRPr="00F84ED0">
        <w:t xml:space="preserve">n the </w:t>
      </w:r>
      <w:r w:rsidRPr="00493FF3">
        <w:rPr>
          <w:i/>
        </w:rPr>
        <w:t>USF/ICC</w:t>
      </w:r>
      <w:r>
        <w:t xml:space="preserve"> </w:t>
      </w:r>
      <w:r w:rsidRPr="00C73F31">
        <w:rPr>
          <w:i/>
        </w:rPr>
        <w:t>Transformation</w:t>
      </w:r>
      <w:r w:rsidRPr="00F84ED0">
        <w:rPr>
          <w:i/>
        </w:rPr>
        <w:t xml:space="preserve"> Order</w:t>
      </w:r>
      <w:r w:rsidRPr="00F84ED0">
        <w:t xml:space="preserve">, the Commission adopted comprehensive </w:t>
      </w:r>
      <w:r>
        <w:t>intercarrier compensation (</w:t>
      </w:r>
      <w:r w:rsidRPr="00F84ED0">
        <w:t>ICC</w:t>
      </w:r>
      <w:r>
        <w:t>)</w:t>
      </w:r>
      <w:r w:rsidRPr="00F84ED0">
        <w:t xml:space="preserve"> reform measures.</w:t>
      </w:r>
      <w:r>
        <w:rPr>
          <w:color w:val="000000"/>
          <w:sz w:val="20"/>
          <w:vertAlign w:val="superscript"/>
        </w:rPr>
        <w:footnoteReference w:id="4"/>
      </w:r>
      <w:r>
        <w:rPr>
          <w:sz w:val="24"/>
          <w:szCs w:val="24"/>
        </w:rPr>
        <w:t xml:space="preserve"> </w:t>
      </w:r>
      <w:r>
        <w:t xml:space="preserve"> </w:t>
      </w:r>
      <w:r w:rsidRPr="00F84ED0">
        <w:t xml:space="preserve">These reforms included a transition to reduce certain </w:t>
      </w:r>
      <w:r w:rsidRPr="00F84ED0">
        <w:lastRenderedPageBreak/>
        <w:t>ICC rates on an annual basis and a recove</w:t>
      </w:r>
      <w:r w:rsidR="00531347">
        <w:t xml:space="preserve">ry mechanism designed to </w:t>
      </w:r>
      <w:r w:rsidRPr="00F84ED0">
        <w:t>partially</w:t>
      </w:r>
      <w:r w:rsidR="00531347">
        <w:t xml:space="preserve"> offset</w:t>
      </w:r>
      <w:r w:rsidRPr="00F84ED0">
        <w:t xml:space="preserve"> revenues reduced as a result of th</w:t>
      </w:r>
      <w:r>
        <w:t>e</w:t>
      </w:r>
      <w:r w:rsidRPr="00F84ED0">
        <w:t xml:space="preserve"> rate transition.</w:t>
      </w:r>
      <w:r w:rsidRPr="00F84ED0">
        <w:rPr>
          <w:rStyle w:val="FootnoteReference"/>
        </w:rPr>
        <w:footnoteReference w:id="5"/>
      </w:r>
      <w:r>
        <w:t xml:space="preserve">  For rate-of-return LECs</w:t>
      </w:r>
      <w:r w:rsidRPr="00F84ED0">
        <w:t xml:space="preserve">, the recovery mechanism begins with calculation of </w:t>
      </w:r>
      <w:r>
        <w:t>Base Period Revenue (</w:t>
      </w:r>
      <w:r w:rsidRPr="00F84ED0">
        <w:t>BPR</w:t>
      </w:r>
      <w:r>
        <w:t xml:space="preserve">).  </w:t>
      </w:r>
      <w:r w:rsidRPr="00F84ED0">
        <w:t>BPR is the sum of certain ICC intrastate switched access revenues</w:t>
      </w:r>
      <w:r>
        <w:t xml:space="preserve"> and</w:t>
      </w:r>
      <w:r w:rsidRPr="00F84ED0">
        <w:t xml:space="preserve"> net reciprocal compensation revenues received by March 31, 2012</w:t>
      </w:r>
      <w:r>
        <w:t>, for services provided during fiscal year</w:t>
      </w:r>
      <w:r w:rsidRPr="00F84ED0">
        <w:t xml:space="preserve"> 2011, and the projected revenue requirement for interstate switched access services provided during the 2011-2012 tariff period.</w:t>
      </w:r>
      <w:r w:rsidRPr="00F84ED0">
        <w:rPr>
          <w:rStyle w:val="FootnoteReference"/>
        </w:rPr>
        <w:footnoteReference w:id="6"/>
      </w:r>
      <w:r>
        <w:t xml:space="preserve">  </w:t>
      </w:r>
      <w:r w:rsidR="00A622F3">
        <w:t xml:space="preserve">A rate-of-return carrier’s </w:t>
      </w:r>
      <w:r w:rsidRPr="00F84ED0">
        <w:t xml:space="preserve">BPR is </w:t>
      </w:r>
      <w:r>
        <w:t>then reduced by five percent</w:t>
      </w:r>
      <w:r w:rsidRPr="00F84ED0">
        <w:t xml:space="preserve"> i</w:t>
      </w:r>
      <w:r>
        <w:t>nitially and by an additional five percent</w:t>
      </w:r>
      <w:r w:rsidRPr="00F84ED0">
        <w:t xml:space="preserve"> in each year of the transition.</w:t>
      </w:r>
      <w:r>
        <w:rPr>
          <w:rStyle w:val="FootnoteReference"/>
        </w:rPr>
        <w:footnoteReference w:id="7"/>
      </w:r>
      <w:r>
        <w:t xml:space="preserve">  </w:t>
      </w:r>
      <w:r w:rsidRPr="00F84ED0">
        <w:t>The amount a rate-of-return LEC is entitled to recover in each year of the transition is equal to the adjusted BPR for the year in question less, for each relevant year of the ICC transition</w:t>
      </w:r>
      <w:r>
        <w:t>, the sum of:</w:t>
      </w:r>
      <w:r w:rsidRPr="00F84ED0">
        <w:t xml:space="preserve"> (1) projected intrastate switched access revenue; (2) projected interstate switched access revenue; and (3) projected net reciprocal compensation revenue.</w:t>
      </w:r>
      <w:r w:rsidRPr="00F84ED0">
        <w:rPr>
          <w:rStyle w:val="FootnoteReference"/>
        </w:rPr>
        <w:footnoteReference w:id="8"/>
      </w:r>
      <w:r>
        <w:t xml:space="preserve">  This amount, known as Eligible Recovery, is recoverable through </w:t>
      </w:r>
      <w:r w:rsidRPr="004D6552">
        <w:t>a</w:t>
      </w:r>
      <w:r w:rsidR="0038297D">
        <w:t>n Access Recovery C</w:t>
      </w:r>
      <w:r w:rsidR="00A70551">
        <w:t>harge</w:t>
      </w:r>
      <w:r w:rsidRPr="004D6552">
        <w:t xml:space="preserve"> </w:t>
      </w:r>
      <w:r w:rsidR="00A70551">
        <w:t>(</w:t>
      </w:r>
      <w:r w:rsidRPr="004D6552">
        <w:t>A</w:t>
      </w:r>
      <w:r>
        <w:t>RC</w:t>
      </w:r>
      <w:r w:rsidR="00A70551">
        <w:t>)</w:t>
      </w:r>
      <w:r>
        <w:t xml:space="preserve"> </w:t>
      </w:r>
      <w:r w:rsidRPr="004D6552">
        <w:t>assessed on end-users, and, to the extent not recoverable through ARCs, through CAF</w:t>
      </w:r>
      <w:r>
        <w:t xml:space="preserve">-ICC </w:t>
      </w:r>
      <w:r w:rsidRPr="004D6552">
        <w:t>support</w:t>
      </w:r>
      <w:r>
        <w:t>.</w:t>
      </w:r>
      <w:r>
        <w:rPr>
          <w:rStyle w:val="FootnoteReference"/>
        </w:rPr>
        <w:footnoteReference w:id="9"/>
      </w:r>
      <w:r>
        <w:t xml:space="preserve">  </w:t>
      </w:r>
    </w:p>
    <w:p w:rsidR="00DE3A0C" w:rsidRPr="000419FB" w:rsidRDefault="00DE3A0C" w:rsidP="00DE3A0C">
      <w:pPr>
        <w:pStyle w:val="ParaNum"/>
        <w:widowControl/>
        <w:numPr>
          <w:ilvl w:val="0"/>
          <w:numId w:val="13"/>
        </w:numPr>
        <w:tabs>
          <w:tab w:val="clear" w:pos="1080"/>
          <w:tab w:val="num" w:pos="360"/>
          <w:tab w:val="left" w:pos="1440"/>
        </w:tabs>
        <w:rPr>
          <w:szCs w:val="22"/>
        </w:rPr>
      </w:pPr>
      <w:r w:rsidRPr="001A1877">
        <w:t xml:space="preserve">In the </w:t>
      </w:r>
      <w:r w:rsidRPr="001A1877">
        <w:rPr>
          <w:i/>
        </w:rPr>
        <w:t xml:space="preserve">Rate-of-Return Reform Order, </w:t>
      </w:r>
      <w:r w:rsidRPr="001A1877">
        <w:t xml:space="preserve">the Commission adopted significant reforms to the rules governing </w:t>
      </w:r>
      <w:r>
        <w:t>the provision of universal service support to rate-of-return LECs</w:t>
      </w:r>
      <w:r w:rsidR="0025016A">
        <w:t xml:space="preserve"> that currently receive high-cost loop support and interstate common line support (ICLS)</w:t>
      </w:r>
      <w:r>
        <w:t>.</w:t>
      </w:r>
      <w:r>
        <w:rPr>
          <w:rStyle w:val="FootnoteReference"/>
        </w:rPr>
        <w:footnoteReference w:id="10"/>
      </w:r>
      <w:r w:rsidRPr="001A1877">
        <w:t xml:space="preserve"> </w:t>
      </w:r>
      <w:r>
        <w:t xml:space="preserve"> The Commission adopted a voluntary path under which rate-of-return carriers may elect model-based support for a term of 10 years in exchange for meeting defined build-out obligations.</w:t>
      </w:r>
      <w:r w:rsidRPr="001A1877">
        <w:rPr>
          <w:rStyle w:val="FootnoteReference"/>
        </w:rPr>
        <w:footnoteReference w:id="11"/>
      </w:r>
      <w:r>
        <w:t xml:space="preserve">  For carriers not electing model-based support, the Commission modernized the existing ICLS rules to provide support in situations where the customer no longer subscribes to traditional regulated local exchange voice service, i.e.</w:t>
      </w:r>
      <w:r w:rsidR="00682044">
        <w:t>,</w:t>
      </w:r>
      <w:r>
        <w:t xml:space="preserve"> subscribes to stand-alone broadband.</w:t>
      </w:r>
      <w:r w:rsidRPr="001A1877">
        <w:rPr>
          <w:rStyle w:val="FootnoteReference"/>
        </w:rPr>
        <w:footnoteReference w:id="12"/>
      </w:r>
      <w:r>
        <w:t xml:space="preserve">  To implement these reforms,</w:t>
      </w:r>
      <w:r w:rsidRPr="001A1877">
        <w:t xml:space="preserve"> </w:t>
      </w:r>
      <w:r>
        <w:t xml:space="preserve">the Commission, </w:t>
      </w:r>
      <w:r w:rsidRPr="000419FB">
        <w:rPr>
          <w:szCs w:val="22"/>
        </w:rPr>
        <w:t>among other things, revised certain cost allocation and tariffing rules for carriers to introduce supported Consumer Broadband-only Loop services</w:t>
      </w:r>
      <w:r w:rsidR="0025016A">
        <w:rPr>
          <w:szCs w:val="22"/>
        </w:rPr>
        <w:t>, if they so choose</w:t>
      </w:r>
      <w:r w:rsidRPr="000419FB">
        <w:rPr>
          <w:szCs w:val="22"/>
        </w:rPr>
        <w:t>.</w:t>
      </w:r>
      <w:r w:rsidRPr="000419FB">
        <w:rPr>
          <w:rStyle w:val="FootnoteReference"/>
          <w:sz w:val="22"/>
          <w:szCs w:val="22"/>
        </w:rPr>
        <w:footnoteReference w:id="13"/>
      </w:r>
      <w:r w:rsidRPr="000419FB">
        <w:rPr>
          <w:szCs w:val="22"/>
        </w:rPr>
        <w:t xml:space="preserve">  </w:t>
      </w:r>
    </w:p>
    <w:p w:rsidR="00DE3A0C" w:rsidRPr="009328E1" w:rsidRDefault="007E65A4" w:rsidP="009328E1">
      <w:pPr>
        <w:pStyle w:val="ParaNum"/>
        <w:widowControl/>
        <w:numPr>
          <w:ilvl w:val="0"/>
          <w:numId w:val="13"/>
        </w:numPr>
        <w:tabs>
          <w:tab w:val="clear" w:pos="1080"/>
          <w:tab w:val="num" w:pos="360"/>
          <w:tab w:val="left" w:pos="1440"/>
        </w:tabs>
        <w:rPr>
          <w:color w:val="000000"/>
          <w:szCs w:val="22"/>
        </w:rPr>
      </w:pPr>
      <w:r>
        <w:rPr>
          <w:color w:val="000000"/>
          <w:szCs w:val="22"/>
        </w:rPr>
        <w:t>T</w:t>
      </w:r>
      <w:r w:rsidR="00DE3A0C" w:rsidRPr="000419FB">
        <w:rPr>
          <w:color w:val="000000"/>
          <w:szCs w:val="22"/>
        </w:rPr>
        <w:t xml:space="preserve">he Commission </w:t>
      </w:r>
      <w:r>
        <w:rPr>
          <w:color w:val="000000"/>
          <w:szCs w:val="22"/>
        </w:rPr>
        <w:t>acknowledged</w:t>
      </w:r>
      <w:r w:rsidRPr="000419FB">
        <w:rPr>
          <w:color w:val="000000"/>
          <w:szCs w:val="22"/>
        </w:rPr>
        <w:t xml:space="preserve"> </w:t>
      </w:r>
      <w:r w:rsidR="00DE3A0C" w:rsidRPr="000419FB">
        <w:rPr>
          <w:color w:val="000000"/>
          <w:szCs w:val="22"/>
        </w:rPr>
        <w:t xml:space="preserve">that providing support to consumer broadband-only loops would likely cause some end users to migrate from their current voice/broadband offerings to supported broadband-only </w:t>
      </w:r>
      <w:bookmarkStart w:id="1" w:name="co_pp_sp_4493_3162_1"/>
      <w:bookmarkEnd w:id="1"/>
      <w:r w:rsidR="00DE3A0C" w:rsidRPr="000419FB">
        <w:rPr>
          <w:color w:val="000000"/>
          <w:szCs w:val="22"/>
        </w:rPr>
        <w:t>lines due to increased affordability of these services.</w:t>
      </w:r>
      <w:r w:rsidR="000419FB">
        <w:rPr>
          <w:rStyle w:val="FootnoteReference"/>
          <w:szCs w:val="22"/>
        </w:rPr>
        <w:footnoteReference w:id="14"/>
      </w:r>
      <w:r w:rsidR="00DE3A0C" w:rsidRPr="000419FB">
        <w:rPr>
          <w:color w:val="000000"/>
          <w:szCs w:val="22"/>
        </w:rPr>
        <w:t xml:space="preserve"> </w:t>
      </w:r>
      <w:r w:rsidR="000419FB">
        <w:rPr>
          <w:color w:val="000000"/>
          <w:szCs w:val="22"/>
        </w:rPr>
        <w:t xml:space="preserve"> </w:t>
      </w:r>
      <w:r w:rsidR="00DE3A0C" w:rsidRPr="000419FB">
        <w:rPr>
          <w:color w:val="000000"/>
          <w:szCs w:val="22"/>
        </w:rPr>
        <w:t xml:space="preserve">It </w:t>
      </w:r>
      <w:r>
        <w:rPr>
          <w:color w:val="000000"/>
          <w:szCs w:val="22"/>
        </w:rPr>
        <w:t>recognized</w:t>
      </w:r>
      <w:r w:rsidRPr="000419FB">
        <w:rPr>
          <w:color w:val="000000"/>
          <w:szCs w:val="22"/>
        </w:rPr>
        <w:t xml:space="preserve"> </w:t>
      </w:r>
      <w:r w:rsidR="00DE3A0C" w:rsidRPr="000419FB">
        <w:rPr>
          <w:color w:val="000000"/>
          <w:szCs w:val="22"/>
        </w:rPr>
        <w:t>that such changes will reduce the number of ARC-eligible lines under the current rules and thus the amount of Eligible Recovery that the carrier can recover via ARC</w:t>
      </w:r>
      <w:r w:rsidR="00CC2DFD">
        <w:rPr>
          <w:color w:val="000000"/>
          <w:szCs w:val="22"/>
        </w:rPr>
        <w:t>s</w:t>
      </w:r>
      <w:r w:rsidR="00DE3A0C" w:rsidRPr="000419FB">
        <w:rPr>
          <w:color w:val="000000"/>
          <w:szCs w:val="22"/>
        </w:rPr>
        <w:t xml:space="preserve"> assessed on end users.</w:t>
      </w:r>
      <w:r w:rsidR="000419FB">
        <w:rPr>
          <w:rStyle w:val="FootnoteReference"/>
          <w:szCs w:val="22"/>
        </w:rPr>
        <w:footnoteReference w:id="15"/>
      </w:r>
      <w:r w:rsidR="000419FB">
        <w:rPr>
          <w:color w:val="000000"/>
          <w:szCs w:val="22"/>
        </w:rPr>
        <w:t xml:space="preserve">  </w:t>
      </w:r>
      <w:r>
        <w:rPr>
          <w:color w:val="000000"/>
          <w:szCs w:val="22"/>
        </w:rPr>
        <w:t>Because the</w:t>
      </w:r>
      <w:r w:rsidRPr="000419FB">
        <w:rPr>
          <w:color w:val="000000"/>
          <w:szCs w:val="22"/>
        </w:rPr>
        <w:t xml:space="preserve"> </w:t>
      </w:r>
      <w:r w:rsidR="00DE3A0C" w:rsidRPr="000419FB">
        <w:rPr>
          <w:color w:val="000000"/>
          <w:szCs w:val="22"/>
        </w:rPr>
        <w:t xml:space="preserve">migration of end users to </w:t>
      </w:r>
      <w:r w:rsidR="004F0B3D">
        <w:rPr>
          <w:color w:val="000000"/>
          <w:szCs w:val="22"/>
        </w:rPr>
        <w:t>C</w:t>
      </w:r>
      <w:r w:rsidR="00DE3A0C" w:rsidRPr="000419FB">
        <w:rPr>
          <w:color w:val="000000"/>
          <w:szCs w:val="22"/>
        </w:rPr>
        <w:t xml:space="preserve">onsumer </w:t>
      </w:r>
      <w:r w:rsidR="004F0B3D">
        <w:rPr>
          <w:color w:val="000000"/>
          <w:szCs w:val="22"/>
        </w:rPr>
        <w:t>B</w:t>
      </w:r>
      <w:r w:rsidR="00DE3A0C" w:rsidRPr="000419FB">
        <w:rPr>
          <w:color w:val="000000"/>
          <w:szCs w:val="22"/>
        </w:rPr>
        <w:t xml:space="preserve">roadband-only </w:t>
      </w:r>
      <w:r w:rsidR="004F0B3D">
        <w:rPr>
          <w:color w:val="000000"/>
          <w:szCs w:val="22"/>
        </w:rPr>
        <w:t>L</w:t>
      </w:r>
      <w:r w:rsidR="00DE3A0C" w:rsidRPr="000419FB">
        <w:rPr>
          <w:color w:val="000000"/>
          <w:szCs w:val="22"/>
        </w:rPr>
        <w:t xml:space="preserve">oop service would increase the amount of Eligible Recovery </w:t>
      </w:r>
      <w:r w:rsidR="00DE3A0C" w:rsidRPr="000419FB">
        <w:rPr>
          <w:color w:val="000000"/>
          <w:szCs w:val="22"/>
        </w:rPr>
        <w:lastRenderedPageBreak/>
        <w:t xml:space="preserve">to be recovered through CAF ICC, </w:t>
      </w:r>
      <w:r>
        <w:rPr>
          <w:color w:val="000000"/>
          <w:szCs w:val="22"/>
        </w:rPr>
        <w:t xml:space="preserve">it </w:t>
      </w:r>
      <w:r w:rsidR="00682044">
        <w:rPr>
          <w:color w:val="000000"/>
          <w:szCs w:val="22"/>
        </w:rPr>
        <w:t>“</w:t>
      </w:r>
      <w:r>
        <w:rPr>
          <w:color w:val="000000"/>
          <w:szCs w:val="22"/>
        </w:rPr>
        <w:t>would</w:t>
      </w:r>
      <w:r w:rsidR="00DE3A0C" w:rsidRPr="000419FB">
        <w:rPr>
          <w:color w:val="000000"/>
          <w:szCs w:val="22"/>
        </w:rPr>
        <w:t xml:space="preserve"> upset the careful balancing of burdens as between end-user ARCs and </w:t>
      </w:r>
      <w:r w:rsidR="00682044">
        <w:rPr>
          <w:color w:val="000000"/>
          <w:szCs w:val="22"/>
        </w:rPr>
        <w:t>universal service support, i.e., CAF ICC</w:t>
      </w:r>
      <w:r w:rsidR="00DE3A0C" w:rsidRPr="000419FB">
        <w:rPr>
          <w:color w:val="000000"/>
          <w:szCs w:val="22"/>
        </w:rPr>
        <w:t>.</w:t>
      </w:r>
      <w:r w:rsidR="00682044">
        <w:rPr>
          <w:color w:val="000000"/>
          <w:szCs w:val="22"/>
        </w:rPr>
        <w:t>”</w:t>
      </w:r>
      <w:r w:rsidR="000419FB">
        <w:rPr>
          <w:rStyle w:val="FootnoteReference"/>
          <w:szCs w:val="22"/>
        </w:rPr>
        <w:footnoteReference w:id="16"/>
      </w:r>
      <w:r w:rsidR="00DE3A0C" w:rsidRPr="000419FB">
        <w:rPr>
          <w:color w:val="000000"/>
          <w:szCs w:val="22"/>
        </w:rPr>
        <w:t xml:space="preserve"> </w:t>
      </w:r>
      <w:r w:rsidR="000419FB">
        <w:rPr>
          <w:color w:val="000000"/>
          <w:szCs w:val="22"/>
        </w:rPr>
        <w:t xml:space="preserve"> To </w:t>
      </w:r>
      <w:r w:rsidR="00D03083">
        <w:rPr>
          <w:color w:val="000000"/>
          <w:szCs w:val="22"/>
        </w:rPr>
        <w:t xml:space="preserve">make certain </w:t>
      </w:r>
      <w:r w:rsidR="000419FB">
        <w:rPr>
          <w:color w:val="000000"/>
          <w:szCs w:val="22"/>
        </w:rPr>
        <w:t>that the reforms did</w:t>
      </w:r>
      <w:r w:rsidR="00DE3A0C" w:rsidRPr="000419FB">
        <w:rPr>
          <w:color w:val="000000"/>
          <w:szCs w:val="22"/>
        </w:rPr>
        <w:t xml:space="preserve"> not unintentiona</w:t>
      </w:r>
      <w:r w:rsidR="000419FB">
        <w:rPr>
          <w:color w:val="000000"/>
          <w:szCs w:val="22"/>
        </w:rPr>
        <w:t>lly increase CAF</w:t>
      </w:r>
      <w:r w:rsidR="00051A3D">
        <w:rPr>
          <w:color w:val="000000"/>
          <w:szCs w:val="22"/>
        </w:rPr>
        <w:t>-</w:t>
      </w:r>
      <w:r w:rsidR="000419FB">
        <w:rPr>
          <w:color w:val="000000"/>
          <w:szCs w:val="22"/>
        </w:rPr>
        <w:t>ICC support, the Commission</w:t>
      </w:r>
      <w:r w:rsidR="00DE3A0C" w:rsidRPr="000419FB">
        <w:rPr>
          <w:color w:val="000000"/>
          <w:szCs w:val="22"/>
        </w:rPr>
        <w:t xml:space="preserve"> require</w:t>
      </w:r>
      <w:r w:rsidR="000419FB">
        <w:rPr>
          <w:color w:val="000000"/>
          <w:szCs w:val="22"/>
        </w:rPr>
        <w:t>d</w:t>
      </w:r>
      <w:r w:rsidR="00A32B6F">
        <w:rPr>
          <w:color w:val="000000"/>
          <w:szCs w:val="22"/>
        </w:rPr>
        <w:t xml:space="preserve"> that rate-of-return LECs</w:t>
      </w:r>
      <w:r w:rsidR="00DE3A0C" w:rsidRPr="000419FB">
        <w:rPr>
          <w:color w:val="000000"/>
          <w:szCs w:val="22"/>
        </w:rPr>
        <w:t xml:space="preserve"> impute an amount equal to the ARC they assess on voice/broadband lines to their supported consumer broadband-only lines.</w:t>
      </w:r>
      <w:bookmarkStart w:id="2" w:name="co_tablefootnote_446_1"/>
      <w:bookmarkEnd w:id="2"/>
      <w:r w:rsidR="00DE3A0C" w:rsidRPr="000419FB">
        <w:rPr>
          <w:color w:val="000000"/>
          <w:szCs w:val="22"/>
        </w:rPr>
        <w:t xml:space="preserve">  The codified rule, in pertinent part, provides that “[a] Rate-of-Return Carrier must impute an amount equal to the Access Recovery Charge for each Consumer Broadband-Only Loop line that receives support pursuant to §54.901 of this chapter, with the imputation applied before CAF-ICC recovery is determined.”</w:t>
      </w:r>
      <w:r w:rsidR="00DE3A0C" w:rsidRPr="000419FB">
        <w:rPr>
          <w:rStyle w:val="FootnoteReference"/>
          <w:sz w:val="22"/>
          <w:szCs w:val="22"/>
        </w:rPr>
        <w:footnoteReference w:id="17"/>
      </w:r>
      <w:r w:rsidR="00DE3A0C" w:rsidRPr="000419FB">
        <w:rPr>
          <w:color w:val="000000"/>
          <w:szCs w:val="22"/>
        </w:rPr>
        <w:t xml:space="preserve"> </w:t>
      </w:r>
    </w:p>
    <w:p w:rsidR="00DE3A0C" w:rsidRDefault="00DE3A0C" w:rsidP="005E6023">
      <w:pPr>
        <w:pStyle w:val="Heading1"/>
      </w:pPr>
      <w:r>
        <w:t>DISCUSSION</w:t>
      </w:r>
    </w:p>
    <w:p w:rsidR="00DE3A0C" w:rsidRDefault="00FF419C" w:rsidP="00DE3A0C">
      <w:pPr>
        <w:pStyle w:val="ParaNum"/>
        <w:widowControl/>
        <w:numPr>
          <w:ilvl w:val="0"/>
          <w:numId w:val="13"/>
        </w:numPr>
        <w:tabs>
          <w:tab w:val="clear" w:pos="1080"/>
          <w:tab w:val="num" w:pos="360"/>
          <w:tab w:val="left" w:pos="1440"/>
        </w:tabs>
      </w:pPr>
      <w:r>
        <w:t>With this Order</w:t>
      </w:r>
      <w:r w:rsidR="00DE3A0C">
        <w:t>, we respond to several inf</w:t>
      </w:r>
      <w:r w:rsidR="000419FB">
        <w:t>ormal inquiries concerning whether rate-of-return LECs electing model-based (A-CAM) support</w:t>
      </w:r>
      <w:r w:rsidR="00DE3A0C">
        <w:t xml:space="preserve"> must impute an ARC on Consumer Broadband-only Loops.  This question arises because the order language </w:t>
      </w:r>
      <w:r w:rsidR="0004496B">
        <w:t>states that</w:t>
      </w:r>
      <w:r w:rsidR="00B03D70">
        <w:t xml:space="preserve"> rate-of-return carriers</w:t>
      </w:r>
      <w:r w:rsidR="00DE3A0C">
        <w:t xml:space="preserve"> </w:t>
      </w:r>
      <w:r w:rsidR="0004496B">
        <w:t xml:space="preserve">that receive support for Consumer Broadband-only Loops </w:t>
      </w:r>
      <w:r w:rsidR="00DE3A0C">
        <w:t>hav</w:t>
      </w:r>
      <w:r w:rsidR="0004496B">
        <w:t>e</w:t>
      </w:r>
      <w:r w:rsidR="00DE3A0C">
        <w:t xml:space="preserve"> to impute, while the rule language only refers to those receiving support pursuant to section 54.901.</w:t>
      </w:r>
      <w:r w:rsidR="00B03D70">
        <w:t xml:space="preserve">  Specifically, </w:t>
      </w:r>
      <w:r w:rsidR="00B03D70">
        <w:rPr>
          <w:color w:val="000000"/>
          <w:szCs w:val="22"/>
        </w:rPr>
        <w:t>section 51.917(f)(4) states that the</w:t>
      </w:r>
      <w:r w:rsidR="00B03D70" w:rsidRPr="000419FB">
        <w:rPr>
          <w:color w:val="000000"/>
          <w:szCs w:val="22"/>
        </w:rPr>
        <w:t xml:space="preserve"> imput</w:t>
      </w:r>
      <w:r w:rsidR="00B03D70">
        <w:rPr>
          <w:color w:val="000000"/>
          <w:szCs w:val="22"/>
        </w:rPr>
        <w:t>ation obligation applies</w:t>
      </w:r>
      <w:r w:rsidR="00B03D70" w:rsidRPr="000419FB">
        <w:rPr>
          <w:color w:val="000000"/>
          <w:szCs w:val="22"/>
        </w:rPr>
        <w:t xml:space="preserve"> to a Consumer Broadband-only Loop that “receives support pursuant to §54.901 </w:t>
      </w:r>
      <w:r w:rsidR="00B03D70">
        <w:rPr>
          <w:color w:val="000000"/>
          <w:szCs w:val="22"/>
        </w:rPr>
        <w:t>.</w:t>
      </w:r>
      <w:r w:rsidR="00B03D70" w:rsidRPr="000419FB">
        <w:rPr>
          <w:color w:val="000000"/>
          <w:szCs w:val="22"/>
        </w:rPr>
        <w:t xml:space="preserve"> . . .”</w:t>
      </w:r>
      <w:r w:rsidR="00B03D70" w:rsidRPr="000419FB">
        <w:rPr>
          <w:rStyle w:val="FootnoteReference"/>
          <w:sz w:val="22"/>
          <w:szCs w:val="22"/>
        </w:rPr>
        <w:footnoteReference w:id="18"/>
      </w:r>
      <w:r w:rsidR="00B03D70" w:rsidRPr="000419FB">
        <w:rPr>
          <w:color w:val="000000"/>
          <w:szCs w:val="22"/>
        </w:rPr>
        <w:t xml:space="preserve">  The imputation obligation is thus clearly codified in th</w:t>
      </w:r>
      <w:r w:rsidR="000148BB">
        <w:rPr>
          <w:color w:val="000000"/>
          <w:szCs w:val="22"/>
        </w:rPr>
        <w:t>is</w:t>
      </w:r>
      <w:r w:rsidR="00B03D70" w:rsidRPr="000419FB">
        <w:rPr>
          <w:color w:val="000000"/>
          <w:szCs w:val="22"/>
        </w:rPr>
        <w:t xml:space="preserve"> rule with respect to carriers receiving CAF BLS</w:t>
      </w:r>
      <w:r w:rsidR="00B03D70">
        <w:rPr>
          <w:color w:val="000000"/>
          <w:szCs w:val="22"/>
        </w:rPr>
        <w:t>.</w:t>
      </w:r>
      <w:r w:rsidR="000148BB">
        <w:rPr>
          <w:color w:val="000000"/>
          <w:szCs w:val="22"/>
        </w:rPr>
        <w:t xml:space="preserve">  Notably, however, section 51.917(f)(4) does not state </w:t>
      </w:r>
      <w:r w:rsidR="00D54F15">
        <w:rPr>
          <w:color w:val="000000"/>
          <w:szCs w:val="22"/>
        </w:rPr>
        <w:t>that the</w:t>
      </w:r>
      <w:r w:rsidR="000148BB">
        <w:rPr>
          <w:color w:val="000000"/>
          <w:szCs w:val="22"/>
        </w:rPr>
        <w:t xml:space="preserve"> imputation obligation applies only to carriers receiving CAF BLS</w:t>
      </w:r>
      <w:r w:rsidR="0027392E">
        <w:rPr>
          <w:color w:val="000000"/>
          <w:szCs w:val="22"/>
        </w:rPr>
        <w:t>, and we clarify</w:t>
      </w:r>
      <w:r w:rsidR="004F0B3D">
        <w:rPr>
          <w:color w:val="000000"/>
          <w:szCs w:val="22"/>
        </w:rPr>
        <w:t xml:space="preserve"> here</w:t>
      </w:r>
      <w:r w:rsidR="0027392E">
        <w:rPr>
          <w:color w:val="000000"/>
          <w:szCs w:val="22"/>
        </w:rPr>
        <w:t xml:space="preserve"> that this obligation also applies to carriers receiving A-CAM</w:t>
      </w:r>
      <w:r w:rsidR="004F0B3D">
        <w:rPr>
          <w:color w:val="000000"/>
          <w:szCs w:val="22"/>
        </w:rPr>
        <w:t xml:space="preserve"> support</w:t>
      </w:r>
      <w:r w:rsidR="0027392E">
        <w:rPr>
          <w:color w:val="000000"/>
          <w:szCs w:val="22"/>
        </w:rPr>
        <w:t xml:space="preserve">.  </w:t>
      </w:r>
    </w:p>
    <w:p w:rsidR="00DE3A0C" w:rsidRPr="00B03D70" w:rsidRDefault="000419FB" w:rsidP="00F07BDE">
      <w:pPr>
        <w:pStyle w:val="ParaNum"/>
        <w:widowControl/>
        <w:numPr>
          <w:ilvl w:val="0"/>
          <w:numId w:val="13"/>
        </w:numPr>
        <w:tabs>
          <w:tab w:val="clear" w:pos="1080"/>
          <w:tab w:val="num" w:pos="360"/>
          <w:tab w:val="left" w:pos="1440"/>
        </w:tabs>
        <w:rPr>
          <w:szCs w:val="22"/>
        </w:rPr>
      </w:pPr>
      <w:r>
        <w:rPr>
          <w:szCs w:val="22"/>
        </w:rPr>
        <w:t>The</w:t>
      </w:r>
      <w:r w:rsidR="00DE3A0C" w:rsidRPr="000419FB">
        <w:rPr>
          <w:szCs w:val="22"/>
        </w:rPr>
        <w:t xml:space="preserve"> </w:t>
      </w:r>
      <w:r w:rsidR="00DE3A0C" w:rsidRPr="000419FB">
        <w:rPr>
          <w:i/>
          <w:szCs w:val="22"/>
        </w:rPr>
        <w:t>Rate-of-Return Reform Order</w:t>
      </w:r>
      <w:r>
        <w:rPr>
          <w:szCs w:val="22"/>
        </w:rPr>
        <w:t xml:space="preserve"> </w:t>
      </w:r>
      <w:r w:rsidR="00DE3A0C" w:rsidRPr="000419FB">
        <w:rPr>
          <w:color w:val="000000"/>
          <w:szCs w:val="22"/>
        </w:rPr>
        <w:t>require</w:t>
      </w:r>
      <w:r>
        <w:rPr>
          <w:color w:val="000000"/>
          <w:szCs w:val="22"/>
        </w:rPr>
        <w:t>s</w:t>
      </w:r>
      <w:r w:rsidR="00DE3A0C" w:rsidRPr="000419FB">
        <w:rPr>
          <w:color w:val="000000"/>
          <w:szCs w:val="22"/>
        </w:rPr>
        <w:t xml:space="preserve"> that rate-of-retu</w:t>
      </w:r>
      <w:r w:rsidR="00A32B6F">
        <w:rPr>
          <w:color w:val="000000"/>
          <w:szCs w:val="22"/>
        </w:rPr>
        <w:t>rn LECs</w:t>
      </w:r>
      <w:r>
        <w:rPr>
          <w:color w:val="000000"/>
          <w:szCs w:val="22"/>
        </w:rPr>
        <w:t xml:space="preserve"> impute</w:t>
      </w:r>
      <w:r w:rsidR="00B03D70" w:rsidRPr="00B03D70">
        <w:t xml:space="preserve"> </w:t>
      </w:r>
      <w:r w:rsidR="00B03D70">
        <w:t>an ARC on Consumer Broadband-only Loops</w:t>
      </w:r>
      <w:r w:rsidR="00DE3A0C" w:rsidRPr="000419FB">
        <w:rPr>
          <w:color w:val="000000"/>
          <w:szCs w:val="22"/>
        </w:rPr>
        <w:t>.</w:t>
      </w:r>
      <w:r w:rsidR="00431EBE">
        <w:rPr>
          <w:rStyle w:val="FootnoteReference"/>
        </w:rPr>
        <w:footnoteReference w:id="19"/>
      </w:r>
      <w:r w:rsidR="00DE3A0C" w:rsidRPr="000419FB">
        <w:rPr>
          <w:color w:val="000000"/>
          <w:szCs w:val="22"/>
        </w:rPr>
        <w:t xml:space="preserve">  The Commission did not in any way limit</w:t>
      </w:r>
      <w:r w:rsidR="00B03D70">
        <w:rPr>
          <w:color w:val="000000"/>
          <w:szCs w:val="22"/>
        </w:rPr>
        <w:t xml:space="preserve"> or condition the duty in the text of that</w:t>
      </w:r>
      <w:r w:rsidR="00DE3A0C" w:rsidRPr="000419FB">
        <w:rPr>
          <w:color w:val="000000"/>
          <w:szCs w:val="22"/>
        </w:rPr>
        <w:t xml:space="preserve"> </w:t>
      </w:r>
      <w:r w:rsidR="00FF419C">
        <w:rPr>
          <w:color w:val="000000"/>
          <w:szCs w:val="22"/>
        </w:rPr>
        <w:t>o</w:t>
      </w:r>
      <w:r w:rsidR="00DE3A0C" w:rsidRPr="000419FB">
        <w:rPr>
          <w:color w:val="000000"/>
          <w:szCs w:val="22"/>
        </w:rPr>
        <w:t>rder</w:t>
      </w:r>
      <w:r w:rsidR="00B03D70">
        <w:rPr>
          <w:color w:val="000000"/>
          <w:szCs w:val="22"/>
        </w:rPr>
        <w:t xml:space="preserve"> </w:t>
      </w:r>
      <w:r w:rsidR="0004496B">
        <w:rPr>
          <w:color w:val="000000"/>
          <w:szCs w:val="22"/>
        </w:rPr>
        <w:t xml:space="preserve">to Consumer Broadband-only </w:t>
      </w:r>
      <w:r w:rsidR="001C3E66">
        <w:rPr>
          <w:color w:val="000000"/>
          <w:szCs w:val="22"/>
        </w:rPr>
        <w:t>L</w:t>
      </w:r>
      <w:r w:rsidR="0004496B">
        <w:rPr>
          <w:color w:val="000000"/>
          <w:szCs w:val="22"/>
        </w:rPr>
        <w:t>oops receiving CAF BLS support</w:t>
      </w:r>
      <w:r w:rsidR="00BA685E">
        <w:rPr>
          <w:color w:val="000000"/>
          <w:szCs w:val="22"/>
        </w:rPr>
        <w:t>,</w:t>
      </w:r>
      <w:r w:rsidR="0004496B">
        <w:rPr>
          <w:color w:val="000000"/>
          <w:szCs w:val="22"/>
        </w:rPr>
        <w:t xml:space="preserve"> </w:t>
      </w:r>
      <w:r w:rsidR="00B03D70">
        <w:rPr>
          <w:color w:val="000000"/>
          <w:szCs w:val="22"/>
        </w:rPr>
        <w:t>and t</w:t>
      </w:r>
      <w:r w:rsidR="00DE3A0C" w:rsidRPr="00B03D70">
        <w:rPr>
          <w:color w:val="000000"/>
          <w:szCs w:val="22"/>
        </w:rPr>
        <w:t xml:space="preserve">he scope of the </w:t>
      </w:r>
      <w:r w:rsidR="00046715" w:rsidRPr="00B03D70">
        <w:rPr>
          <w:color w:val="000000"/>
          <w:szCs w:val="22"/>
        </w:rPr>
        <w:t xml:space="preserve">imputation </w:t>
      </w:r>
      <w:r w:rsidR="00B03D70">
        <w:rPr>
          <w:color w:val="000000"/>
          <w:szCs w:val="22"/>
        </w:rPr>
        <w:t xml:space="preserve">requirement must </w:t>
      </w:r>
      <w:r w:rsidR="00DE3A0C" w:rsidRPr="00B03D70">
        <w:rPr>
          <w:color w:val="000000"/>
          <w:szCs w:val="22"/>
        </w:rPr>
        <w:t>be read in the context</w:t>
      </w:r>
      <w:r w:rsidR="00B03D70">
        <w:rPr>
          <w:color w:val="000000"/>
          <w:szCs w:val="22"/>
        </w:rPr>
        <w:t xml:space="preserve"> of the Commission’s </w:t>
      </w:r>
      <w:r w:rsidR="005E6023">
        <w:rPr>
          <w:color w:val="000000"/>
          <w:szCs w:val="22"/>
        </w:rPr>
        <w:t>justification for the requirement</w:t>
      </w:r>
      <w:r w:rsidR="0004496B">
        <w:rPr>
          <w:color w:val="000000"/>
          <w:szCs w:val="22"/>
        </w:rPr>
        <w:t>, which is broader than CAF BLS</w:t>
      </w:r>
      <w:r w:rsidR="00B03D70">
        <w:rPr>
          <w:color w:val="000000"/>
          <w:szCs w:val="22"/>
        </w:rPr>
        <w:t>.  In adopting the ARC imputation obligation, t</w:t>
      </w:r>
      <w:r w:rsidR="00DE3A0C" w:rsidRPr="00B03D70">
        <w:rPr>
          <w:color w:val="000000"/>
          <w:szCs w:val="22"/>
        </w:rPr>
        <w:t>he Comm</w:t>
      </w:r>
      <w:r w:rsidR="00B03D70">
        <w:rPr>
          <w:color w:val="000000"/>
          <w:szCs w:val="22"/>
        </w:rPr>
        <w:t>ission intend</w:t>
      </w:r>
      <w:r w:rsidR="0004496B">
        <w:rPr>
          <w:color w:val="000000"/>
          <w:szCs w:val="22"/>
        </w:rPr>
        <w:t>ed</w:t>
      </w:r>
      <w:r w:rsidR="00B03D70">
        <w:rPr>
          <w:color w:val="000000"/>
          <w:szCs w:val="22"/>
        </w:rPr>
        <w:t xml:space="preserve"> to maintain</w:t>
      </w:r>
      <w:r w:rsidR="00DE3A0C" w:rsidRPr="00B03D70">
        <w:rPr>
          <w:color w:val="000000"/>
          <w:szCs w:val="22"/>
        </w:rPr>
        <w:t xml:space="preserve"> </w:t>
      </w:r>
      <w:r w:rsidR="00682044">
        <w:rPr>
          <w:color w:val="000000"/>
          <w:szCs w:val="22"/>
        </w:rPr>
        <w:t>“</w:t>
      </w:r>
      <w:r w:rsidR="00682044" w:rsidRPr="000419FB">
        <w:rPr>
          <w:color w:val="000000"/>
          <w:szCs w:val="22"/>
        </w:rPr>
        <w:t>the careful balancing of burdens as between end-user ARC</w:t>
      </w:r>
      <w:r w:rsidR="00CC2DFD">
        <w:rPr>
          <w:color w:val="000000"/>
          <w:szCs w:val="22"/>
        </w:rPr>
        <w:t>s</w:t>
      </w:r>
      <w:r w:rsidR="00682044" w:rsidRPr="000419FB">
        <w:rPr>
          <w:color w:val="000000"/>
          <w:szCs w:val="22"/>
        </w:rPr>
        <w:t xml:space="preserve"> and </w:t>
      </w:r>
      <w:r w:rsidR="00682044">
        <w:rPr>
          <w:color w:val="000000"/>
          <w:szCs w:val="22"/>
        </w:rPr>
        <w:t>. . . CAF ICC”</w:t>
      </w:r>
      <w:r w:rsidR="00DE3A0C" w:rsidRPr="00B03D70">
        <w:rPr>
          <w:color w:val="000000"/>
          <w:szCs w:val="22"/>
        </w:rPr>
        <w:t xml:space="preserve"> that had been struck in the </w:t>
      </w:r>
      <w:r w:rsidR="00DE3A0C" w:rsidRPr="00B03D70">
        <w:rPr>
          <w:i/>
          <w:szCs w:val="22"/>
        </w:rPr>
        <w:t>USF/ICC</w:t>
      </w:r>
      <w:r w:rsidR="00DE3A0C" w:rsidRPr="00B03D70">
        <w:rPr>
          <w:szCs w:val="22"/>
        </w:rPr>
        <w:t xml:space="preserve"> </w:t>
      </w:r>
      <w:r w:rsidR="00DE3A0C" w:rsidRPr="00B03D70">
        <w:rPr>
          <w:i/>
          <w:szCs w:val="22"/>
        </w:rPr>
        <w:t>Transformation Order</w:t>
      </w:r>
      <w:r w:rsidR="00DE3A0C" w:rsidRPr="00B03D70">
        <w:rPr>
          <w:szCs w:val="22"/>
        </w:rPr>
        <w:t>.</w:t>
      </w:r>
      <w:r w:rsidR="00682044">
        <w:rPr>
          <w:rStyle w:val="FootnoteReference"/>
          <w:szCs w:val="22"/>
        </w:rPr>
        <w:footnoteReference w:id="20"/>
      </w:r>
      <w:r w:rsidR="00B03D70" w:rsidRPr="00B03D70">
        <w:rPr>
          <w:szCs w:val="22"/>
        </w:rPr>
        <w:t xml:space="preserve"> </w:t>
      </w:r>
      <w:r w:rsidR="004F0B3D">
        <w:rPr>
          <w:szCs w:val="22"/>
        </w:rPr>
        <w:t xml:space="preserve"> As discussed above, the Commission was concerned about the </w:t>
      </w:r>
      <w:r w:rsidR="002E3B94">
        <w:rPr>
          <w:szCs w:val="22"/>
        </w:rPr>
        <w:t xml:space="preserve">impact </w:t>
      </w:r>
      <w:r w:rsidR="004F0B3D" w:rsidRPr="000419FB">
        <w:rPr>
          <w:color w:val="000000"/>
          <w:szCs w:val="22"/>
        </w:rPr>
        <w:t xml:space="preserve">migration of end users to </w:t>
      </w:r>
      <w:r w:rsidR="004F0B3D">
        <w:rPr>
          <w:color w:val="000000"/>
          <w:szCs w:val="22"/>
        </w:rPr>
        <w:t>C</w:t>
      </w:r>
      <w:r w:rsidR="004F0B3D" w:rsidRPr="000419FB">
        <w:rPr>
          <w:color w:val="000000"/>
          <w:szCs w:val="22"/>
        </w:rPr>
        <w:t xml:space="preserve">onsumer </w:t>
      </w:r>
      <w:r w:rsidR="004F0B3D">
        <w:rPr>
          <w:color w:val="000000"/>
          <w:szCs w:val="22"/>
        </w:rPr>
        <w:t>B</w:t>
      </w:r>
      <w:r w:rsidR="004F0B3D" w:rsidRPr="000419FB">
        <w:rPr>
          <w:color w:val="000000"/>
          <w:szCs w:val="22"/>
        </w:rPr>
        <w:t xml:space="preserve">roadband-only </w:t>
      </w:r>
      <w:r w:rsidR="004F0B3D">
        <w:rPr>
          <w:color w:val="000000"/>
          <w:szCs w:val="22"/>
        </w:rPr>
        <w:t xml:space="preserve">Loop service </w:t>
      </w:r>
      <w:r w:rsidR="00F57FE5">
        <w:rPr>
          <w:color w:val="000000"/>
          <w:szCs w:val="22"/>
        </w:rPr>
        <w:t>due to the new support mechanisms</w:t>
      </w:r>
      <w:r w:rsidR="002E3B94">
        <w:rPr>
          <w:color w:val="000000"/>
          <w:szCs w:val="22"/>
        </w:rPr>
        <w:t xml:space="preserve"> would have on CAF</w:t>
      </w:r>
      <w:r w:rsidR="00051A3D">
        <w:rPr>
          <w:color w:val="000000"/>
          <w:szCs w:val="22"/>
        </w:rPr>
        <w:t>-</w:t>
      </w:r>
      <w:r w:rsidR="002E3B94">
        <w:rPr>
          <w:color w:val="000000"/>
          <w:szCs w:val="22"/>
        </w:rPr>
        <w:t xml:space="preserve">ICC support for lines that would now also be receiving support through </w:t>
      </w:r>
      <w:r w:rsidR="00151830">
        <w:rPr>
          <w:color w:val="000000"/>
          <w:szCs w:val="22"/>
        </w:rPr>
        <w:t xml:space="preserve">one of the </w:t>
      </w:r>
      <w:r w:rsidR="002E3B94">
        <w:rPr>
          <w:color w:val="000000"/>
          <w:szCs w:val="22"/>
        </w:rPr>
        <w:t>new mechanisms.</w:t>
      </w:r>
      <w:r w:rsidR="00F57FE5">
        <w:rPr>
          <w:rStyle w:val="FootnoteReference"/>
          <w:szCs w:val="22"/>
        </w:rPr>
        <w:footnoteReference w:id="21"/>
      </w:r>
      <w:r w:rsidR="004F0B3D" w:rsidRPr="000419FB">
        <w:rPr>
          <w:color w:val="000000"/>
          <w:szCs w:val="22"/>
        </w:rPr>
        <w:t xml:space="preserve"> </w:t>
      </w:r>
      <w:r w:rsidR="003F624C">
        <w:rPr>
          <w:color w:val="000000"/>
          <w:szCs w:val="22"/>
        </w:rPr>
        <w:t xml:space="preserve"> </w:t>
      </w:r>
      <w:r w:rsidR="00DE3A0C" w:rsidRPr="00B03D70">
        <w:rPr>
          <w:color w:val="000000"/>
          <w:szCs w:val="22"/>
        </w:rPr>
        <w:t xml:space="preserve">This rationale and the lack of any limiting language in the </w:t>
      </w:r>
      <w:r w:rsidR="00682044">
        <w:rPr>
          <w:i/>
          <w:color w:val="000000"/>
          <w:szCs w:val="22"/>
        </w:rPr>
        <w:t>Rate-of-Return Reform Order</w:t>
      </w:r>
      <w:r w:rsidR="00DE3A0C" w:rsidRPr="00B03D70">
        <w:rPr>
          <w:color w:val="000000"/>
          <w:szCs w:val="22"/>
        </w:rPr>
        <w:t xml:space="preserve"> indicate that the Commission intended </w:t>
      </w:r>
      <w:r w:rsidR="00142AA8">
        <w:rPr>
          <w:color w:val="000000"/>
          <w:szCs w:val="22"/>
        </w:rPr>
        <w:t xml:space="preserve">for </w:t>
      </w:r>
      <w:r w:rsidR="00A32B6F">
        <w:rPr>
          <w:color w:val="000000"/>
          <w:szCs w:val="22"/>
        </w:rPr>
        <w:t>rate-of-return LECs</w:t>
      </w:r>
      <w:r w:rsidR="00DE3A0C" w:rsidRPr="00B03D70">
        <w:rPr>
          <w:color w:val="000000"/>
          <w:szCs w:val="22"/>
        </w:rPr>
        <w:t xml:space="preserve"> </w:t>
      </w:r>
      <w:r w:rsidR="00142AA8">
        <w:rPr>
          <w:color w:val="000000"/>
          <w:szCs w:val="22"/>
        </w:rPr>
        <w:t>receiving support for Consumer Broadband-only Loops to impute an ARC</w:t>
      </w:r>
      <w:r w:rsidR="00DE3A0C" w:rsidRPr="00B03D70">
        <w:rPr>
          <w:color w:val="000000"/>
          <w:szCs w:val="22"/>
        </w:rPr>
        <w:t xml:space="preserve">.  We accordingly clarify that the Commission created </w:t>
      </w:r>
      <w:r w:rsidR="00046715" w:rsidRPr="00B03D70">
        <w:rPr>
          <w:color w:val="000000"/>
          <w:szCs w:val="22"/>
        </w:rPr>
        <w:t xml:space="preserve">a binding </w:t>
      </w:r>
      <w:r w:rsidR="00DE3A0C" w:rsidRPr="00B03D70">
        <w:rPr>
          <w:color w:val="000000"/>
          <w:szCs w:val="22"/>
        </w:rPr>
        <w:t xml:space="preserve">obligation in the </w:t>
      </w:r>
      <w:r w:rsidR="00DE3A0C" w:rsidRPr="00B03D70">
        <w:rPr>
          <w:i/>
          <w:szCs w:val="22"/>
        </w:rPr>
        <w:t xml:space="preserve">Rate-of-Return Reform Order </w:t>
      </w:r>
      <w:r w:rsidR="00DE3A0C" w:rsidRPr="00142AA8">
        <w:rPr>
          <w:szCs w:val="22"/>
        </w:rPr>
        <w:t>r</w:t>
      </w:r>
      <w:r w:rsidR="00A32B6F">
        <w:rPr>
          <w:szCs w:val="22"/>
        </w:rPr>
        <w:t>equiring rate-of-return LECs</w:t>
      </w:r>
      <w:r w:rsidR="00DE3A0C" w:rsidRPr="00142AA8">
        <w:rPr>
          <w:szCs w:val="22"/>
        </w:rPr>
        <w:t xml:space="preserve"> that receive support for Consumer Broadband-only Loops to impute an ARC on those lines</w:t>
      </w:r>
      <w:r w:rsidR="00F57FE5">
        <w:rPr>
          <w:szCs w:val="22"/>
        </w:rPr>
        <w:t xml:space="preserve"> regardless</w:t>
      </w:r>
      <w:r w:rsidR="00F57FE5">
        <w:t xml:space="preserve"> of whether that support comes from CAF BLS </w:t>
      </w:r>
      <w:r w:rsidR="00F57FE5" w:rsidRPr="008C116E">
        <w:t xml:space="preserve">or </w:t>
      </w:r>
      <w:r w:rsidR="00F57FE5">
        <w:t>A-CAM</w:t>
      </w:r>
      <w:r w:rsidR="00DE3A0C" w:rsidRPr="00142AA8">
        <w:rPr>
          <w:szCs w:val="22"/>
        </w:rPr>
        <w:t>.</w:t>
      </w:r>
      <w:r w:rsidR="00F57FE5">
        <w:rPr>
          <w:rStyle w:val="FootnoteReference"/>
          <w:szCs w:val="22"/>
        </w:rPr>
        <w:footnoteReference w:id="22"/>
      </w:r>
      <w:r w:rsidR="00DE3A0C" w:rsidRPr="00142AA8">
        <w:rPr>
          <w:color w:val="000000"/>
          <w:szCs w:val="22"/>
        </w:rPr>
        <w:t xml:space="preserve"> </w:t>
      </w:r>
      <w:r w:rsidR="00046715" w:rsidRPr="00142AA8">
        <w:rPr>
          <w:color w:val="000000"/>
          <w:szCs w:val="22"/>
        </w:rPr>
        <w:t xml:space="preserve"> </w:t>
      </w:r>
    </w:p>
    <w:p w:rsidR="003D4209" w:rsidRPr="003567F1" w:rsidRDefault="003D4209" w:rsidP="005E6023">
      <w:pPr>
        <w:pStyle w:val="Heading1"/>
        <w:rPr>
          <w:rFonts w:ascii="Times New Roman" w:hAnsi="Times New Roman"/>
          <w:szCs w:val="22"/>
        </w:rPr>
      </w:pPr>
      <w:bookmarkStart w:id="3" w:name="_Toc373849373"/>
      <w:bookmarkStart w:id="4" w:name="_Toc373849431"/>
      <w:bookmarkStart w:id="5" w:name="_Toc379291451"/>
      <w:bookmarkStart w:id="6" w:name="_Toc381719692"/>
      <w:r w:rsidRPr="003567F1">
        <w:rPr>
          <w:rFonts w:ascii="Times New Roman" w:hAnsi="Times New Roman"/>
          <w:szCs w:val="22"/>
        </w:rPr>
        <w:t>Ordering clauses</w:t>
      </w:r>
      <w:bookmarkEnd w:id="3"/>
      <w:bookmarkEnd w:id="4"/>
      <w:bookmarkEnd w:id="5"/>
      <w:bookmarkEnd w:id="6"/>
    </w:p>
    <w:p w:rsidR="003D4209" w:rsidRPr="003567F1" w:rsidRDefault="003D4209" w:rsidP="005E6023">
      <w:pPr>
        <w:pStyle w:val="ParaNum"/>
        <w:widowControl/>
        <w:numPr>
          <w:ilvl w:val="0"/>
          <w:numId w:val="13"/>
        </w:numPr>
        <w:tabs>
          <w:tab w:val="clear" w:pos="1080"/>
          <w:tab w:val="num" w:pos="360"/>
          <w:tab w:val="left" w:pos="1440"/>
        </w:tabs>
        <w:rPr>
          <w:szCs w:val="22"/>
        </w:rPr>
      </w:pPr>
      <w:r w:rsidRPr="003567F1">
        <w:rPr>
          <w:szCs w:val="22"/>
        </w:rPr>
        <w:t xml:space="preserve">  Accordingly, IT IS ORDERED, </w:t>
      </w:r>
      <w:r>
        <w:rPr>
          <w:szCs w:val="22"/>
        </w:rPr>
        <w:t xml:space="preserve">that </w:t>
      </w:r>
      <w:r w:rsidRPr="003567F1">
        <w:rPr>
          <w:szCs w:val="22"/>
        </w:rPr>
        <w:t>pursuant to the authority contained in sec</w:t>
      </w:r>
      <w:r w:rsidR="007D38CD">
        <w:rPr>
          <w:szCs w:val="22"/>
        </w:rPr>
        <w:t>tions 1, 2, 4(i), 201-203, 220</w:t>
      </w:r>
      <w:r w:rsidRPr="003567F1">
        <w:rPr>
          <w:szCs w:val="22"/>
        </w:rPr>
        <w:t xml:space="preserve">, 254, and 403 of the Communications Act of 1934, as amended, 47 U.S.C. §§ 151, 152, 154(i), 201-203, 220, 254, and 403, and pursuant to </w:t>
      </w:r>
      <w:r w:rsidR="007D38CD">
        <w:rPr>
          <w:szCs w:val="22"/>
        </w:rPr>
        <w:t xml:space="preserve">sections 0.91, 0.201(d), and 0.291 </w:t>
      </w:r>
      <w:r w:rsidRPr="003567F1">
        <w:rPr>
          <w:szCs w:val="22"/>
        </w:rPr>
        <w:t xml:space="preserve">of the Commission’s rules, 47 C.F.R. §§ 0.91, 0.201(d), </w:t>
      </w:r>
      <w:r w:rsidR="007D38CD">
        <w:rPr>
          <w:szCs w:val="22"/>
        </w:rPr>
        <w:t>and 0.291</w:t>
      </w:r>
      <w:r>
        <w:rPr>
          <w:szCs w:val="22"/>
        </w:rPr>
        <w:t>,</w:t>
      </w:r>
      <w:r w:rsidRPr="003567F1">
        <w:rPr>
          <w:szCs w:val="22"/>
        </w:rPr>
        <w:t xml:space="preserve"> and pursuant to the delegation of authority in </w:t>
      </w:r>
      <w:r w:rsidR="007D38CD">
        <w:rPr>
          <w:szCs w:val="22"/>
        </w:rPr>
        <w:t>footnote 413</w:t>
      </w:r>
      <w:r w:rsidRPr="003567F1">
        <w:rPr>
          <w:szCs w:val="22"/>
        </w:rPr>
        <w:t xml:space="preserve"> of</w:t>
      </w:r>
      <w:r w:rsidR="007D38CD">
        <w:rPr>
          <w:szCs w:val="22"/>
        </w:rPr>
        <w:t xml:space="preserve"> the </w:t>
      </w:r>
      <w:r w:rsidR="007D38CD">
        <w:rPr>
          <w:i/>
          <w:szCs w:val="22"/>
        </w:rPr>
        <w:t>Rate-of-Return Reform Order</w:t>
      </w:r>
      <w:r w:rsidRPr="003567F1">
        <w:rPr>
          <w:szCs w:val="22"/>
        </w:rPr>
        <w:t>, this Order is ADOPTED.</w:t>
      </w:r>
    </w:p>
    <w:p w:rsidR="00EA0361" w:rsidRDefault="00954A0C" w:rsidP="00EA0361">
      <w:pPr>
        <w:pStyle w:val="ParaNum"/>
        <w:widowControl/>
        <w:numPr>
          <w:ilvl w:val="0"/>
          <w:numId w:val="13"/>
        </w:numPr>
        <w:tabs>
          <w:tab w:val="clear" w:pos="1080"/>
          <w:tab w:val="num" w:pos="360"/>
          <w:tab w:val="left" w:pos="1440"/>
        </w:tabs>
        <w:rPr>
          <w:szCs w:val="22"/>
        </w:rPr>
      </w:pPr>
      <w:r w:rsidRPr="003567F1">
        <w:rPr>
          <w:szCs w:val="22"/>
        </w:rPr>
        <w:t>IT IS FURTHER ORDERED</w:t>
      </w:r>
      <w:r w:rsidR="003200DF">
        <w:rPr>
          <w:szCs w:val="22"/>
        </w:rPr>
        <w:t xml:space="preserve">, </w:t>
      </w:r>
      <w:r w:rsidR="003200DF">
        <w:t>pursuant to section 1.102(b)(1) of the Commission’s rules, 47 CFR § 1.102(b)(1), that</w:t>
      </w:r>
      <w:r w:rsidRPr="003567F1">
        <w:rPr>
          <w:szCs w:val="22"/>
        </w:rPr>
        <w:t xml:space="preserve"> </w:t>
      </w:r>
      <w:r>
        <w:rPr>
          <w:szCs w:val="22"/>
        </w:rPr>
        <w:t xml:space="preserve">the Order SHALL BE EFFECTIVE upon </w:t>
      </w:r>
      <w:r w:rsidR="00463CEB">
        <w:rPr>
          <w:szCs w:val="22"/>
        </w:rPr>
        <w:t xml:space="preserve">RELEASE. </w:t>
      </w:r>
    </w:p>
    <w:p w:rsidR="00EA0361" w:rsidRPr="00EA0361" w:rsidRDefault="00EA0361" w:rsidP="00EA0361">
      <w:pPr>
        <w:pStyle w:val="ParaNum"/>
        <w:widowControl/>
        <w:numPr>
          <w:ilvl w:val="0"/>
          <w:numId w:val="0"/>
        </w:numPr>
        <w:tabs>
          <w:tab w:val="left" w:pos="1440"/>
        </w:tabs>
        <w:ind w:left="720"/>
        <w:rPr>
          <w:szCs w:val="22"/>
        </w:rPr>
      </w:pPr>
    </w:p>
    <w:p w:rsidR="003D4209" w:rsidRPr="003567F1" w:rsidRDefault="003D4209" w:rsidP="00EA0361">
      <w:pPr>
        <w:keepNext/>
        <w:keepLines/>
        <w:widowControl/>
        <w:ind w:left="2880" w:firstLine="720"/>
        <w:rPr>
          <w:szCs w:val="22"/>
        </w:rPr>
      </w:pPr>
      <w:r w:rsidRPr="003567F1">
        <w:rPr>
          <w:szCs w:val="22"/>
        </w:rPr>
        <w:t>FEDERAL COMMUNICATIONS COMMISSION</w:t>
      </w:r>
    </w:p>
    <w:p w:rsidR="003D4209" w:rsidRPr="003567F1" w:rsidRDefault="003D4209" w:rsidP="00EA0361">
      <w:pPr>
        <w:keepNext/>
        <w:keepLines/>
        <w:widowControl/>
        <w:tabs>
          <w:tab w:val="left" w:pos="-1440"/>
          <w:tab w:val="left" w:pos="-720"/>
        </w:tabs>
        <w:suppressAutoHyphens/>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p>
    <w:p w:rsidR="003D4209" w:rsidRDefault="003D4209" w:rsidP="00EA0361">
      <w:pPr>
        <w:keepNext/>
        <w:keepLines/>
        <w:widowControl/>
        <w:tabs>
          <w:tab w:val="left" w:pos="-1440"/>
          <w:tab w:val="left" w:pos="-720"/>
        </w:tabs>
        <w:suppressAutoHyphens/>
        <w:rPr>
          <w:szCs w:val="22"/>
        </w:rPr>
      </w:pPr>
    </w:p>
    <w:p w:rsidR="00EA0361" w:rsidRDefault="00EA0361" w:rsidP="00EA0361">
      <w:pPr>
        <w:keepNext/>
        <w:keepLines/>
        <w:widowControl/>
        <w:tabs>
          <w:tab w:val="left" w:pos="-1440"/>
          <w:tab w:val="left" w:pos="-720"/>
        </w:tabs>
        <w:suppressAutoHyphens/>
        <w:rPr>
          <w:szCs w:val="22"/>
        </w:rPr>
      </w:pPr>
    </w:p>
    <w:p w:rsidR="00EA0361" w:rsidRPr="003567F1" w:rsidRDefault="00EA0361" w:rsidP="00EA0361">
      <w:pPr>
        <w:keepNext/>
        <w:keepLines/>
        <w:widowControl/>
        <w:tabs>
          <w:tab w:val="left" w:pos="-1440"/>
          <w:tab w:val="left" w:pos="-720"/>
        </w:tabs>
        <w:suppressAutoHyphens/>
        <w:rPr>
          <w:szCs w:val="22"/>
        </w:rPr>
      </w:pPr>
    </w:p>
    <w:p w:rsidR="003D4209" w:rsidRPr="003567F1" w:rsidRDefault="003D4209" w:rsidP="00EA0361">
      <w:pPr>
        <w:keepNext/>
        <w:keepLines/>
        <w:widowControl/>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r w:rsidR="00EA2FEB">
        <w:rPr>
          <w:szCs w:val="22"/>
        </w:rPr>
        <w:t xml:space="preserve">Matthew </w:t>
      </w:r>
      <w:r w:rsidR="00FD6262">
        <w:rPr>
          <w:szCs w:val="22"/>
        </w:rPr>
        <w:t>S. DelNero</w:t>
      </w:r>
    </w:p>
    <w:p w:rsidR="00CC1522" w:rsidRPr="002D3135" w:rsidRDefault="003D4209" w:rsidP="00EA0361">
      <w:pPr>
        <w:pStyle w:val="ParaNum"/>
        <w:numPr>
          <w:ilvl w:val="0"/>
          <w:numId w:val="0"/>
        </w:numPr>
        <w:spacing w:after="0"/>
        <w:ind w:left="720"/>
      </w:pPr>
      <w:r w:rsidRPr="003567F1">
        <w:rPr>
          <w:szCs w:val="22"/>
        </w:rPr>
        <w:tab/>
      </w:r>
      <w:r w:rsidRPr="003567F1">
        <w:rPr>
          <w:szCs w:val="22"/>
        </w:rPr>
        <w:tab/>
      </w:r>
      <w:r w:rsidRPr="003567F1">
        <w:rPr>
          <w:szCs w:val="22"/>
        </w:rPr>
        <w:tab/>
      </w:r>
      <w:r w:rsidRPr="003567F1">
        <w:rPr>
          <w:szCs w:val="22"/>
        </w:rPr>
        <w:tab/>
        <w:t>Chief, Wireline Competition Bureau</w:t>
      </w:r>
    </w:p>
    <w:sectPr w:rsidR="00CC1522" w:rsidRPr="002D313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71" w:rsidRDefault="005B1971">
      <w:pPr>
        <w:spacing w:line="20" w:lineRule="exact"/>
      </w:pPr>
    </w:p>
  </w:endnote>
  <w:endnote w:type="continuationSeparator" w:id="0">
    <w:p w:rsidR="005B1971" w:rsidRDefault="005B1971">
      <w:r>
        <w:t xml:space="preserve"> </w:t>
      </w:r>
    </w:p>
  </w:endnote>
  <w:endnote w:type="continuationNotice" w:id="1">
    <w:p w:rsidR="005B1971" w:rsidRDefault="005B19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50FC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71" w:rsidRDefault="005B1971">
      <w:r>
        <w:separator/>
      </w:r>
    </w:p>
  </w:footnote>
  <w:footnote w:type="continuationSeparator" w:id="0">
    <w:p w:rsidR="005B1971" w:rsidRDefault="005B1971" w:rsidP="00C721AC">
      <w:pPr>
        <w:spacing w:before="120"/>
        <w:rPr>
          <w:sz w:val="20"/>
        </w:rPr>
      </w:pPr>
      <w:r>
        <w:rPr>
          <w:sz w:val="20"/>
        </w:rPr>
        <w:t xml:space="preserve">(Continued from previous page)  </w:t>
      </w:r>
      <w:r>
        <w:rPr>
          <w:sz w:val="20"/>
        </w:rPr>
        <w:separator/>
      </w:r>
    </w:p>
  </w:footnote>
  <w:footnote w:type="continuationNotice" w:id="1">
    <w:p w:rsidR="005B1971" w:rsidRDefault="005B1971" w:rsidP="00C721AC">
      <w:pPr>
        <w:jc w:val="right"/>
        <w:rPr>
          <w:sz w:val="20"/>
        </w:rPr>
      </w:pPr>
      <w:r>
        <w:rPr>
          <w:sz w:val="20"/>
        </w:rPr>
        <w:t>(continued….)</w:t>
      </w:r>
    </w:p>
  </w:footnote>
  <w:footnote w:id="2">
    <w:p w:rsidR="00DE3A0C" w:rsidRDefault="00DE3A0C" w:rsidP="00DE3A0C">
      <w:pPr>
        <w:pStyle w:val="FootnoteText"/>
      </w:pPr>
      <w:r>
        <w:rPr>
          <w:rStyle w:val="FootnoteReference"/>
        </w:rPr>
        <w:footnoteRef/>
      </w:r>
      <w:r>
        <w:t xml:space="preserve"> </w:t>
      </w:r>
      <w:r>
        <w:rPr>
          <w:i/>
        </w:rPr>
        <w:t>Connect America Fund et al.</w:t>
      </w:r>
      <w:r>
        <w:t xml:space="preserve">, WC Docket No. 10-90 et al., Report and Order, Order and Order on Reconsideration and Further Notice of Proposed Rulemaking, </w:t>
      </w:r>
      <w:r w:rsidR="00272480">
        <w:t xml:space="preserve">31 </w:t>
      </w:r>
      <w:r>
        <w:t xml:space="preserve">FCC </w:t>
      </w:r>
      <w:r w:rsidR="00272480">
        <w:t>Rcd</w:t>
      </w:r>
      <w:r w:rsidR="0028655E">
        <w:t xml:space="preserve"> </w:t>
      </w:r>
      <w:r w:rsidR="00272480">
        <w:t>30</w:t>
      </w:r>
      <w:r w:rsidR="0028655E">
        <w:t xml:space="preserve">87 </w:t>
      </w:r>
      <w:r>
        <w:t>(2016) (</w:t>
      </w:r>
      <w:r w:rsidR="005E6023">
        <w:rPr>
          <w:i/>
        </w:rPr>
        <w:t>Rate-of-Return Reform Order).</w:t>
      </w:r>
    </w:p>
  </w:footnote>
  <w:footnote w:id="3">
    <w:p w:rsidR="0028655E" w:rsidRDefault="0028655E">
      <w:pPr>
        <w:pStyle w:val="FootnoteText"/>
      </w:pPr>
      <w:r>
        <w:rPr>
          <w:rStyle w:val="FootnoteReference"/>
        </w:rPr>
        <w:footnoteRef/>
      </w:r>
      <w:r>
        <w:t xml:space="preserve"> </w:t>
      </w:r>
      <w:r w:rsidRPr="006504AA">
        <w:rPr>
          <w:i/>
        </w:rPr>
        <w:t>Id</w:t>
      </w:r>
      <w:r w:rsidR="006504AA">
        <w:t>. at 3159</w:t>
      </w:r>
      <w:r>
        <w:t>, para. 194 (noting that a “portion of the support a rate-of-return carrier electing model-based support receives will be to cover a portion of the costs of the consumer broadband-only loop”)</w:t>
      </w:r>
      <w:r w:rsidR="006504AA">
        <w:t xml:space="preserve">; </w:t>
      </w:r>
      <w:r w:rsidR="006504AA" w:rsidRPr="006504AA">
        <w:rPr>
          <w:i/>
        </w:rPr>
        <w:t>id</w:t>
      </w:r>
      <w:r w:rsidR="006504AA">
        <w:t>. at 3160</w:t>
      </w:r>
      <w:r w:rsidR="003C103B">
        <w:t>, para. 195 (</w:t>
      </w:r>
      <w:r w:rsidR="008B6DEC">
        <w:t>“</w:t>
      </w:r>
      <w:r w:rsidR="003C103B">
        <w:t>Model-based support replaces the high-cost support amounts (i.e. HCLS, ICLS) amounts a carrier would receive, as well as any CAF BLS associated with consumer broadband-only loops it would have been eligible to receive if it had not elected model-based support.”).</w:t>
      </w:r>
    </w:p>
  </w:footnote>
  <w:footnote w:id="4">
    <w:p w:rsidR="00DE3A0C" w:rsidRDefault="00DE3A0C" w:rsidP="00DE3A0C">
      <w:pPr>
        <w:pStyle w:val="FootnoteText"/>
      </w:pPr>
      <w:r>
        <w:rPr>
          <w:rStyle w:val="FootnoteReference"/>
        </w:rPr>
        <w:footnoteRef/>
      </w:r>
      <w:r>
        <w:rPr>
          <w:i/>
        </w:rPr>
        <w:t xml:space="preserve"> See </w:t>
      </w:r>
      <w:r>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Pr>
          <w:color w:val="000000"/>
        </w:rPr>
        <w:t xml:space="preserve">; Report and Order and Further Notice of Proposed Rulemaking, WC Docket Nos. 10-90, 07-135, 05-337, 03-109, CC Docket Nos. 01-92, 96-45, GN Docket No. 09-51, WT Docket No. 10-208, 26 FCC Rcd 17663, 17872-73, para. 648 (2011) </w:t>
      </w:r>
      <w:r>
        <w:t>(</w:t>
      </w:r>
      <w:r>
        <w:rPr>
          <w:i/>
        </w:rPr>
        <w:t>USF/ICC Transformation Order</w:t>
      </w:r>
      <w:r>
        <w:t xml:space="preserve">); </w:t>
      </w:r>
      <w:r>
        <w:rPr>
          <w:i/>
          <w:iCs/>
        </w:rPr>
        <w:t>aff’d sub nom., In re: FCC 11-161</w:t>
      </w:r>
      <w:r>
        <w:t>, 753 F.3d 1015 (10th Cir. 2014)</w:t>
      </w:r>
      <w:r>
        <w:rPr>
          <w:iCs/>
        </w:rPr>
        <w:t xml:space="preserve">.  </w:t>
      </w:r>
    </w:p>
  </w:footnote>
  <w:footnote w:id="5">
    <w:p w:rsidR="00DE3A0C" w:rsidRPr="007C3303" w:rsidRDefault="00DE3A0C" w:rsidP="00DE3A0C">
      <w:pPr>
        <w:pStyle w:val="FootnoteText"/>
      </w:pPr>
      <w:r w:rsidRPr="007C3303">
        <w:rPr>
          <w:rStyle w:val="FootnoteReference"/>
        </w:rPr>
        <w:footnoteRef/>
      </w:r>
      <w:r w:rsidRPr="007C3303">
        <w:t xml:space="preserve"> </w:t>
      </w:r>
      <w:r w:rsidRPr="007C3303">
        <w:rPr>
          <w:i/>
        </w:rPr>
        <w:t>See</w:t>
      </w:r>
      <w:r>
        <w:rPr>
          <w:i/>
        </w:rPr>
        <w:t>,</w:t>
      </w:r>
      <w:r w:rsidRPr="007C3303">
        <w:rPr>
          <w:i/>
        </w:rPr>
        <w:t xml:space="preserve"> e.g.</w:t>
      </w:r>
      <w:r>
        <w:t>,</w:t>
      </w:r>
      <w:r w:rsidRPr="007C3303">
        <w:rPr>
          <w:i/>
        </w:rPr>
        <w:t xml:space="preserve"> </w:t>
      </w:r>
      <w:r>
        <w:rPr>
          <w:i/>
        </w:rPr>
        <w:t>i</w:t>
      </w:r>
      <w:r w:rsidRPr="007C3303">
        <w:rPr>
          <w:i/>
        </w:rPr>
        <w:t>d.</w:t>
      </w:r>
      <w:r w:rsidRPr="007C3303">
        <w:t xml:space="preserve"> </w:t>
      </w:r>
      <w:r>
        <w:t>at 17934</w:t>
      </w:r>
      <w:r w:rsidR="006504AA">
        <w:t>-35</w:t>
      </w:r>
      <w:r>
        <w:t xml:space="preserve">, para. 801 </w:t>
      </w:r>
      <w:r w:rsidRPr="007C3303">
        <w:t>Fig.</w:t>
      </w:r>
      <w:r>
        <w:t xml:space="preserve"> </w:t>
      </w:r>
      <w:r w:rsidRPr="007C3303">
        <w:t>9 (</w:t>
      </w:r>
      <w:r>
        <w:t>outlining the rate transition</w:t>
      </w:r>
      <w:r w:rsidRPr="007C3303">
        <w:t xml:space="preserve">); </w:t>
      </w:r>
      <w:r w:rsidRPr="007C3303">
        <w:rPr>
          <w:i/>
        </w:rPr>
        <w:t xml:space="preserve">see also id. </w:t>
      </w:r>
      <w:r w:rsidRPr="007C3303">
        <w:t xml:space="preserve">at </w:t>
      </w:r>
      <w:r>
        <w:t>17957-61, paras. 850-53 (summarizing</w:t>
      </w:r>
      <w:r w:rsidRPr="007C3303">
        <w:t xml:space="preserve"> the recovery mechanism</w:t>
      </w:r>
      <w:r>
        <w:t>).</w:t>
      </w:r>
    </w:p>
  </w:footnote>
  <w:footnote w:id="6">
    <w:p w:rsidR="00DE3A0C" w:rsidRPr="007C3303" w:rsidRDefault="00DE3A0C" w:rsidP="00DE3A0C">
      <w:pPr>
        <w:pStyle w:val="FootnoteText"/>
      </w:pPr>
      <w:r w:rsidRPr="007C3303">
        <w:rPr>
          <w:rStyle w:val="FootnoteReference"/>
        </w:rPr>
        <w:footnoteRef/>
      </w:r>
      <w:r w:rsidRPr="007C3303">
        <w:t xml:space="preserve"> </w:t>
      </w:r>
      <w:r w:rsidRPr="009C7F38">
        <w:rPr>
          <w:i/>
        </w:rPr>
        <w:t>See</w:t>
      </w:r>
      <w:r>
        <w:t xml:space="preserve"> </w:t>
      </w:r>
      <w:r w:rsidRPr="007C3303">
        <w:t xml:space="preserve">47 </w:t>
      </w:r>
      <w:r>
        <w:t>CFR</w:t>
      </w:r>
      <w:r w:rsidRPr="007C3303">
        <w:t xml:space="preserve"> § 51.917(b)(7)</w:t>
      </w:r>
      <w:r>
        <w:t>; t</w:t>
      </w:r>
      <w:r w:rsidR="006504AA">
        <w:t>he 2011-</w:t>
      </w:r>
      <w:r w:rsidR="00682044">
        <w:t>20</w:t>
      </w:r>
      <w:r w:rsidRPr="0071601C">
        <w:t xml:space="preserve">12 tariff period </w:t>
      </w:r>
      <w:r>
        <w:t>wa</w:t>
      </w:r>
      <w:r w:rsidRPr="0071601C">
        <w:t>s July 1, 2011</w:t>
      </w:r>
      <w:r>
        <w:t>,</w:t>
      </w:r>
      <w:r w:rsidRPr="0071601C">
        <w:t xml:space="preserve"> through June 30, 2012</w:t>
      </w:r>
      <w:r>
        <w:t>.</w:t>
      </w:r>
    </w:p>
  </w:footnote>
  <w:footnote w:id="7">
    <w:p w:rsidR="00DE3A0C" w:rsidRPr="002518C3" w:rsidRDefault="00DE3A0C" w:rsidP="00DE3A0C">
      <w:pPr>
        <w:pStyle w:val="FootnoteText"/>
      </w:pPr>
      <w:r>
        <w:rPr>
          <w:rStyle w:val="FootnoteReference"/>
        </w:rPr>
        <w:footnoteRef/>
      </w:r>
      <w:r>
        <w:t xml:space="preserve"> </w:t>
      </w:r>
      <w:r>
        <w:rPr>
          <w:i/>
        </w:rPr>
        <w:t xml:space="preserve">See </w:t>
      </w:r>
      <w:r w:rsidRPr="00343BD1">
        <w:rPr>
          <w:i/>
        </w:rPr>
        <w:t>id</w:t>
      </w:r>
      <w:r>
        <w:t>. § 51.917(b)(3).</w:t>
      </w:r>
    </w:p>
  </w:footnote>
  <w:footnote w:id="8">
    <w:p w:rsidR="00DE3A0C" w:rsidRPr="007C3303" w:rsidRDefault="00DE3A0C" w:rsidP="00DE3A0C">
      <w:pPr>
        <w:pStyle w:val="FootnoteText"/>
      </w:pPr>
      <w:r w:rsidRPr="007C3303">
        <w:rPr>
          <w:rStyle w:val="FootnoteReference"/>
        </w:rPr>
        <w:footnoteRef/>
      </w:r>
      <w:r w:rsidRPr="007C3303">
        <w:t xml:space="preserve"> </w:t>
      </w:r>
      <w:r w:rsidRPr="00343BD1">
        <w:rPr>
          <w:i/>
        </w:rPr>
        <w:t>Id</w:t>
      </w:r>
      <w:r>
        <w:t>.</w:t>
      </w:r>
      <w:r w:rsidRPr="00D209E2">
        <w:t xml:space="preserve"> § 51.917(d).  The demand projections that are part of these </w:t>
      </w:r>
      <w:r>
        <w:t xml:space="preserve">projected revenue </w:t>
      </w:r>
      <w:r w:rsidRPr="00D209E2">
        <w:t xml:space="preserve">calculations are “trued-up” after two years.  </w:t>
      </w:r>
      <w:r w:rsidRPr="00D209E2">
        <w:rPr>
          <w:i/>
        </w:rPr>
        <w:t>See</w:t>
      </w:r>
      <w:r w:rsidRPr="00D209E2">
        <w:t xml:space="preserve"> 47 </w:t>
      </w:r>
      <w:r>
        <w:t>CFR</w:t>
      </w:r>
      <w:r w:rsidRPr="00D209E2">
        <w:t xml:space="preserve"> § 51.917(d)(iii)(D). </w:t>
      </w:r>
    </w:p>
  </w:footnote>
  <w:footnote w:id="9">
    <w:p w:rsidR="00DE3A0C" w:rsidRDefault="00DE3A0C" w:rsidP="00DE3A0C">
      <w:pPr>
        <w:pStyle w:val="FootnoteText"/>
      </w:pPr>
      <w:r>
        <w:rPr>
          <w:rStyle w:val="FootnoteReference"/>
        </w:rPr>
        <w:footnoteRef/>
      </w:r>
      <w:r>
        <w:t xml:space="preserve"> </w:t>
      </w:r>
      <w:r w:rsidRPr="007C3303">
        <w:rPr>
          <w:i/>
        </w:rPr>
        <w:t xml:space="preserve">See </w:t>
      </w:r>
      <w:r>
        <w:rPr>
          <w:i/>
        </w:rPr>
        <w:t xml:space="preserve">USF/ICC </w:t>
      </w:r>
      <w:r w:rsidRPr="007C3303">
        <w:rPr>
          <w:i/>
        </w:rPr>
        <w:t>Transformation Order</w:t>
      </w:r>
      <w:r>
        <w:t>, 26 FCC Rcd</w:t>
      </w:r>
      <w:r w:rsidRPr="007C3303">
        <w:t xml:space="preserve"> at </w:t>
      </w:r>
      <w:r>
        <w:t>17981, para. 896.</w:t>
      </w:r>
    </w:p>
  </w:footnote>
  <w:footnote w:id="10">
    <w:p w:rsidR="00DE3A0C" w:rsidRDefault="00DE3A0C" w:rsidP="00DE3A0C">
      <w:pPr>
        <w:pStyle w:val="FootnoteText"/>
      </w:pPr>
      <w:r>
        <w:rPr>
          <w:rStyle w:val="FootnoteReference"/>
        </w:rPr>
        <w:footnoteRef/>
      </w:r>
      <w:r>
        <w:t xml:space="preserve"> </w:t>
      </w:r>
      <w:r w:rsidRPr="00652F46">
        <w:rPr>
          <w:i/>
        </w:rPr>
        <w:t>Rate-of-Return Reform Order</w:t>
      </w:r>
      <w:r w:rsidRPr="001A1877">
        <w:t xml:space="preserve">, 31 FCC Rcd </w:t>
      </w:r>
      <w:r>
        <w:t>at 3089, para.1.</w:t>
      </w:r>
    </w:p>
  </w:footnote>
  <w:footnote w:id="11">
    <w:p w:rsidR="00DE3A0C" w:rsidRPr="001A1877" w:rsidRDefault="00DE3A0C" w:rsidP="00DE3A0C">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2">
    <w:p w:rsidR="00DE3A0C" w:rsidRPr="001A1877" w:rsidRDefault="00DE3A0C" w:rsidP="00DE3A0C">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3">
    <w:p w:rsidR="00DE3A0C" w:rsidRPr="001A1877" w:rsidRDefault="00DE3A0C" w:rsidP="00DE3A0C">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4">
    <w:p w:rsidR="000419FB" w:rsidRDefault="000419FB">
      <w:pPr>
        <w:pStyle w:val="FootnoteText"/>
      </w:pPr>
      <w:r>
        <w:rPr>
          <w:rStyle w:val="FootnoteReference"/>
        </w:rPr>
        <w:footnoteRef/>
      </w:r>
      <w:r>
        <w:t xml:space="preserve"> </w:t>
      </w:r>
      <w:r w:rsidR="00431EBE">
        <w:rPr>
          <w:i/>
        </w:rPr>
        <w:t xml:space="preserve">Id. </w:t>
      </w:r>
      <w:r w:rsidR="005E6023" w:rsidRPr="005E6023">
        <w:t>a</w:t>
      </w:r>
      <w:r w:rsidR="006504AA">
        <w:t>t 3161-62</w:t>
      </w:r>
      <w:r w:rsidR="00431EBE" w:rsidRPr="005E6023">
        <w:t>, para. 203.</w:t>
      </w:r>
      <w:r w:rsidR="00431EBE">
        <w:rPr>
          <w:i/>
        </w:rPr>
        <w:t xml:space="preserve"> </w:t>
      </w:r>
      <w:r>
        <w:t xml:space="preserve"> </w:t>
      </w:r>
    </w:p>
  </w:footnote>
  <w:footnote w:id="15">
    <w:p w:rsidR="000419FB" w:rsidRDefault="000419FB">
      <w:pPr>
        <w:pStyle w:val="FootnoteText"/>
      </w:pPr>
      <w:r>
        <w:rPr>
          <w:rStyle w:val="FootnoteReference"/>
        </w:rPr>
        <w:footnoteRef/>
      </w:r>
      <w:r>
        <w:t xml:space="preserve"> </w:t>
      </w:r>
      <w:r w:rsidR="00431EBE">
        <w:rPr>
          <w:i/>
        </w:rPr>
        <w:t>Id</w:t>
      </w:r>
      <w:r w:rsidR="00431EBE">
        <w:t xml:space="preserve">. </w:t>
      </w:r>
    </w:p>
  </w:footnote>
  <w:footnote w:id="16">
    <w:p w:rsidR="000419FB" w:rsidRDefault="000419FB">
      <w:pPr>
        <w:pStyle w:val="FootnoteText"/>
      </w:pPr>
      <w:r>
        <w:rPr>
          <w:rStyle w:val="FootnoteReference"/>
        </w:rPr>
        <w:footnoteRef/>
      </w:r>
      <w:r>
        <w:t xml:space="preserve"> </w:t>
      </w:r>
      <w:r w:rsidR="00682044">
        <w:rPr>
          <w:i/>
        </w:rPr>
        <w:t xml:space="preserve">Id. </w:t>
      </w:r>
      <w:r w:rsidR="00682044" w:rsidRPr="005E6023">
        <w:t>a</w:t>
      </w:r>
      <w:r w:rsidR="00682044">
        <w:t>t 3162</w:t>
      </w:r>
      <w:r w:rsidR="00682044" w:rsidRPr="005E6023">
        <w:t>, para. 203.</w:t>
      </w:r>
      <w:r w:rsidR="00682044">
        <w:rPr>
          <w:i/>
        </w:rPr>
        <w:t xml:space="preserve"> </w:t>
      </w:r>
      <w:r w:rsidR="00682044">
        <w:t xml:space="preserve"> </w:t>
      </w:r>
    </w:p>
  </w:footnote>
  <w:footnote w:id="17">
    <w:p w:rsidR="00DE3A0C" w:rsidRDefault="00DE3A0C" w:rsidP="00DE3A0C">
      <w:pPr>
        <w:pStyle w:val="FootnoteText"/>
      </w:pPr>
      <w:r>
        <w:rPr>
          <w:rStyle w:val="FootnoteReference"/>
        </w:rPr>
        <w:footnoteRef/>
      </w:r>
      <w:r>
        <w:t xml:space="preserve"> 47 CFR 51.917(f)(4).</w:t>
      </w:r>
    </w:p>
  </w:footnote>
  <w:footnote w:id="18">
    <w:p w:rsidR="00B03D70" w:rsidRPr="00383183" w:rsidRDefault="00B03D70" w:rsidP="00B03D70">
      <w:pPr>
        <w:pStyle w:val="FootnoteText"/>
      </w:pPr>
      <w:r>
        <w:rPr>
          <w:rStyle w:val="FootnoteReference"/>
        </w:rPr>
        <w:footnoteRef/>
      </w:r>
      <w:r>
        <w:rPr>
          <w:i/>
        </w:rPr>
        <w:t>Id</w:t>
      </w:r>
      <w:r>
        <w:t>.</w:t>
      </w:r>
    </w:p>
  </w:footnote>
  <w:footnote w:id="19">
    <w:p w:rsidR="00431EBE" w:rsidRDefault="00431EBE" w:rsidP="00431EBE">
      <w:pPr>
        <w:pStyle w:val="FootnoteText"/>
      </w:pPr>
      <w:r>
        <w:rPr>
          <w:rStyle w:val="FootnoteReference"/>
        </w:rPr>
        <w:footnoteRef/>
      </w:r>
      <w:r>
        <w:t xml:space="preserve"> </w:t>
      </w:r>
      <w:r>
        <w:rPr>
          <w:i/>
        </w:rPr>
        <w:t>Rate-of-Return Reform Order</w:t>
      </w:r>
      <w:r>
        <w:t>, 31 FCC Rcd at 3</w:t>
      </w:r>
      <w:r w:rsidR="00734107">
        <w:t>162</w:t>
      </w:r>
      <w:r>
        <w:t>, para.</w:t>
      </w:r>
      <w:r w:rsidR="0028655E">
        <w:t xml:space="preserve"> </w:t>
      </w:r>
      <w:r w:rsidR="00734107">
        <w:t>203</w:t>
      </w:r>
      <w:r>
        <w:t>.</w:t>
      </w:r>
    </w:p>
  </w:footnote>
  <w:footnote w:id="20">
    <w:p w:rsidR="00682044" w:rsidRPr="00682044" w:rsidRDefault="00682044">
      <w:pPr>
        <w:pStyle w:val="FootnoteText"/>
      </w:pPr>
      <w:r>
        <w:rPr>
          <w:rStyle w:val="FootnoteReference"/>
        </w:rPr>
        <w:footnoteRef/>
      </w:r>
      <w:r>
        <w:t xml:space="preserve"> </w:t>
      </w:r>
      <w:r>
        <w:rPr>
          <w:i/>
        </w:rPr>
        <w:t>Id.</w:t>
      </w:r>
    </w:p>
  </w:footnote>
  <w:footnote w:id="21">
    <w:p w:rsidR="00F57FE5" w:rsidRDefault="00F57FE5">
      <w:pPr>
        <w:pStyle w:val="FootnoteText"/>
      </w:pPr>
      <w:r>
        <w:rPr>
          <w:rStyle w:val="FootnoteReference"/>
        </w:rPr>
        <w:footnoteRef/>
      </w:r>
      <w:r>
        <w:t xml:space="preserve"> </w:t>
      </w:r>
      <w:r>
        <w:rPr>
          <w:i/>
        </w:rPr>
        <w:t xml:space="preserve">Id. </w:t>
      </w:r>
    </w:p>
  </w:footnote>
  <w:footnote w:id="22">
    <w:p w:rsidR="00F57FE5" w:rsidRDefault="00F57FE5">
      <w:pPr>
        <w:pStyle w:val="FootnoteText"/>
      </w:pPr>
      <w:r>
        <w:rPr>
          <w:rStyle w:val="FootnoteReference"/>
        </w:rPr>
        <w:footnoteRef/>
      </w:r>
      <w:r>
        <w:t xml:space="preserve"> </w:t>
      </w:r>
      <w:r w:rsidR="00051A3D">
        <w:t>As noted above, i</w:t>
      </w:r>
      <w:r>
        <w:t xml:space="preserve">n the </w:t>
      </w:r>
      <w:r w:rsidRPr="006504AA">
        <w:rPr>
          <w:i/>
        </w:rPr>
        <w:t>Rate-of-Return Order</w:t>
      </w:r>
      <w:r>
        <w:t xml:space="preserve">, the Commission </w:t>
      </w:r>
      <w:r w:rsidR="00E356E7">
        <w:t xml:space="preserve">adopted new support mechanisms for rate-of-return LECs </w:t>
      </w:r>
      <w:r w:rsidR="00051A3D">
        <w:t xml:space="preserve">that today </w:t>
      </w:r>
      <w:r w:rsidR="00E356E7">
        <w:t xml:space="preserve">recover </w:t>
      </w:r>
      <w:r w:rsidR="00247552">
        <w:t xml:space="preserve">their common line costs through </w:t>
      </w:r>
      <w:r w:rsidR="00051A3D">
        <w:t xml:space="preserve">the legacy </w:t>
      </w:r>
      <w:r w:rsidR="00247552">
        <w:t>high</w:t>
      </w:r>
      <w:r w:rsidR="00051A3D">
        <w:t>-</w:t>
      </w:r>
      <w:r w:rsidR="00247552">
        <w:t xml:space="preserve">cost </w:t>
      </w:r>
      <w:r w:rsidR="00051A3D">
        <w:t>mechanisms</w:t>
      </w:r>
      <w:r w:rsidR="00247552">
        <w:t xml:space="preserve">, such as </w:t>
      </w:r>
      <w:r w:rsidR="00051A3D">
        <w:t>ICLS.</w:t>
      </w:r>
      <w:r w:rsidR="00247552">
        <w:t xml:space="preserve">  </w:t>
      </w:r>
      <w:r w:rsidR="00247552" w:rsidRPr="006504AA">
        <w:rPr>
          <w:i/>
        </w:rPr>
        <w:t>See</w:t>
      </w:r>
      <w:r w:rsidR="006504AA">
        <w:rPr>
          <w:i/>
        </w:rPr>
        <w:t xml:space="preserve"> supra </w:t>
      </w:r>
      <w:r w:rsidR="006504AA" w:rsidRPr="006504AA">
        <w:t>n. 2</w:t>
      </w:r>
      <w:r w:rsidR="00247552" w:rsidRPr="006504AA">
        <w:t>.</w:t>
      </w:r>
      <w:r w:rsidR="00247552">
        <w:t xml:space="preserve">  </w:t>
      </w:r>
      <w:r w:rsidR="00E356E7">
        <w:t>Because the rate-of-return affiliates of price cap carriers no longer receive support through the</w:t>
      </w:r>
      <w:r w:rsidR="00051A3D">
        <w:t xml:space="preserve"> legacy high-cost mechanisms</w:t>
      </w:r>
      <w:r w:rsidR="00E356E7">
        <w:t xml:space="preserve">, </w:t>
      </w:r>
      <w:r w:rsidR="00247552">
        <w:t>these carriers</w:t>
      </w:r>
      <w:r w:rsidR="00E356E7">
        <w:t xml:space="preserve"> are not affected by any </w:t>
      </w:r>
      <w:r>
        <w:t>obligations</w:t>
      </w:r>
      <w:r w:rsidR="00E356E7">
        <w:t xml:space="preserve"> tied to the new support mechanisms</w:t>
      </w:r>
      <w:r w:rsidR="00051A3D">
        <w:t xml:space="preserve"> adopted for current recipients of ICLS</w:t>
      </w:r>
      <w:r w:rsidR="00E356E7">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CE" w:rsidRDefault="00D37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86CFC">
      <w:t xml:space="preserve">DA </w:t>
    </w:r>
    <w:r w:rsidR="00F16939">
      <w:t>16</w:t>
    </w:r>
    <w:r w:rsidR="00186CFC">
      <w:t xml:space="preserve"> -</w:t>
    </w:r>
    <w:r w:rsidR="00EC79CF">
      <w:t>1384</w:t>
    </w:r>
  </w:p>
  <w:p w:rsidR="00D25FB5" w:rsidRDefault="00EB4B5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FF1CA1B" wp14:editId="79E3671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FD65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B4B5B" w:rsidP="00810B6F">
    <w:pPr>
      <w:pStyle w:val="Header"/>
      <w:rPr>
        <w:b w:val="0"/>
      </w:rPr>
    </w:pPr>
    <w:r>
      <w:rPr>
        <w:noProof/>
      </w:rPr>
      <mc:AlternateContent>
        <mc:Choice Requires="wps">
          <w:drawing>
            <wp:anchor distT="0" distB="0" distL="114300" distR="114300" simplePos="0" relativeHeight="251658240" behindDoc="1" locked="0" layoutInCell="0" allowOverlap="1" wp14:anchorId="23F7C6BD" wp14:editId="738FF63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7E63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86CFC">
      <w:rPr>
        <w:spacing w:val="-2"/>
      </w:rPr>
      <w:t xml:space="preserve">DA </w:t>
    </w:r>
    <w:r w:rsidR="00F16939">
      <w:rPr>
        <w:spacing w:val="-2"/>
      </w:rPr>
      <w:t>16</w:t>
    </w:r>
    <w:r w:rsidR="00186CFC">
      <w:rPr>
        <w:spacing w:val="-2"/>
      </w:rPr>
      <w:t>-</w:t>
    </w:r>
    <w:r w:rsidR="00EC79CF">
      <w:rPr>
        <w:spacing w:val="-2"/>
      </w:rPr>
      <w:t>1384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9"/>
  </w:num>
  <w:num w:numId="8">
    <w:abstractNumId w:val="9"/>
  </w:num>
  <w:num w:numId="9">
    <w:abstractNumId w:val="9"/>
  </w:num>
  <w:num w:numId="10">
    <w:abstractNumId w:val="0"/>
  </w:num>
  <w:num w:numId="11">
    <w:abstractNumId w:val="7"/>
  </w:num>
  <w:num w:numId="12">
    <w:abstractNumId w:val="4"/>
  </w:num>
  <w:num w:numId="13">
    <w:abstractNumId w:val="5"/>
  </w:num>
  <w:num w:numId="14">
    <w:abstractNumId w:val="8"/>
  </w:num>
  <w:num w:numId="15">
    <w:abstractNumId w:val="9"/>
    <w:lvlOverride w:ilvl="0">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9C"/>
    <w:rsid w:val="000148BB"/>
    <w:rsid w:val="000244EA"/>
    <w:rsid w:val="00036039"/>
    <w:rsid w:val="00037F90"/>
    <w:rsid w:val="00040A41"/>
    <w:rsid w:val="00040E83"/>
    <w:rsid w:val="000419FB"/>
    <w:rsid w:val="0004496B"/>
    <w:rsid w:val="00046715"/>
    <w:rsid w:val="00051A3D"/>
    <w:rsid w:val="00062347"/>
    <w:rsid w:val="000875BF"/>
    <w:rsid w:val="00096D8C"/>
    <w:rsid w:val="000C0B65"/>
    <w:rsid w:val="000C7EEE"/>
    <w:rsid w:val="000E05FE"/>
    <w:rsid w:val="000E3D42"/>
    <w:rsid w:val="000E452E"/>
    <w:rsid w:val="000F621D"/>
    <w:rsid w:val="00115AF1"/>
    <w:rsid w:val="00117281"/>
    <w:rsid w:val="001229E8"/>
    <w:rsid w:val="00122BD5"/>
    <w:rsid w:val="0012342D"/>
    <w:rsid w:val="00126522"/>
    <w:rsid w:val="00133F79"/>
    <w:rsid w:val="001347A0"/>
    <w:rsid w:val="00142AA8"/>
    <w:rsid w:val="00143045"/>
    <w:rsid w:val="00151830"/>
    <w:rsid w:val="00153CA1"/>
    <w:rsid w:val="00156081"/>
    <w:rsid w:val="00183EBE"/>
    <w:rsid w:val="001867EA"/>
    <w:rsid w:val="00186CFC"/>
    <w:rsid w:val="0018790A"/>
    <w:rsid w:val="00194A66"/>
    <w:rsid w:val="001A36DC"/>
    <w:rsid w:val="001C3E66"/>
    <w:rsid w:val="001D6BCF"/>
    <w:rsid w:val="001E01CA"/>
    <w:rsid w:val="00216F73"/>
    <w:rsid w:val="00230702"/>
    <w:rsid w:val="00231A4B"/>
    <w:rsid w:val="00236F6E"/>
    <w:rsid w:val="00247552"/>
    <w:rsid w:val="0025016A"/>
    <w:rsid w:val="0025792E"/>
    <w:rsid w:val="002609DA"/>
    <w:rsid w:val="0026661A"/>
    <w:rsid w:val="00272480"/>
    <w:rsid w:val="0027392E"/>
    <w:rsid w:val="002754D3"/>
    <w:rsid w:val="002755E9"/>
    <w:rsid w:val="00275CF5"/>
    <w:rsid w:val="0028301F"/>
    <w:rsid w:val="00283EC2"/>
    <w:rsid w:val="00285017"/>
    <w:rsid w:val="002856C5"/>
    <w:rsid w:val="0028655E"/>
    <w:rsid w:val="002A2D2E"/>
    <w:rsid w:val="002A7594"/>
    <w:rsid w:val="002B75CD"/>
    <w:rsid w:val="002C00E8"/>
    <w:rsid w:val="002D3135"/>
    <w:rsid w:val="002D50D5"/>
    <w:rsid w:val="002E3B94"/>
    <w:rsid w:val="002F3B19"/>
    <w:rsid w:val="003200DF"/>
    <w:rsid w:val="00343749"/>
    <w:rsid w:val="00350FCB"/>
    <w:rsid w:val="003660ED"/>
    <w:rsid w:val="0038297D"/>
    <w:rsid w:val="00384FA8"/>
    <w:rsid w:val="003926F0"/>
    <w:rsid w:val="003B0550"/>
    <w:rsid w:val="003B694F"/>
    <w:rsid w:val="003C103B"/>
    <w:rsid w:val="003D4209"/>
    <w:rsid w:val="003D51AC"/>
    <w:rsid w:val="003D53A0"/>
    <w:rsid w:val="003E3D32"/>
    <w:rsid w:val="003F171C"/>
    <w:rsid w:val="003F624C"/>
    <w:rsid w:val="0041002F"/>
    <w:rsid w:val="00412FC5"/>
    <w:rsid w:val="00422276"/>
    <w:rsid w:val="004242F1"/>
    <w:rsid w:val="0042470E"/>
    <w:rsid w:val="00431EBE"/>
    <w:rsid w:val="00437F58"/>
    <w:rsid w:val="00445A00"/>
    <w:rsid w:val="00451B0F"/>
    <w:rsid w:val="00463CEB"/>
    <w:rsid w:val="004917A8"/>
    <w:rsid w:val="004C040C"/>
    <w:rsid w:val="004C2EE3"/>
    <w:rsid w:val="004D640F"/>
    <w:rsid w:val="004E0264"/>
    <w:rsid w:val="004E4A22"/>
    <w:rsid w:val="004F0B3D"/>
    <w:rsid w:val="004F5B51"/>
    <w:rsid w:val="00506D9D"/>
    <w:rsid w:val="0051056E"/>
    <w:rsid w:val="00511968"/>
    <w:rsid w:val="00511FD4"/>
    <w:rsid w:val="00514424"/>
    <w:rsid w:val="00530A35"/>
    <w:rsid w:val="00531347"/>
    <w:rsid w:val="0055614C"/>
    <w:rsid w:val="005630C7"/>
    <w:rsid w:val="00570DBE"/>
    <w:rsid w:val="005A3265"/>
    <w:rsid w:val="005B0BB9"/>
    <w:rsid w:val="005B1971"/>
    <w:rsid w:val="005E14C2"/>
    <w:rsid w:val="005E6023"/>
    <w:rsid w:val="005E72A0"/>
    <w:rsid w:val="00607BA5"/>
    <w:rsid w:val="0061180A"/>
    <w:rsid w:val="00626EB6"/>
    <w:rsid w:val="00630D4B"/>
    <w:rsid w:val="00635437"/>
    <w:rsid w:val="006504AA"/>
    <w:rsid w:val="00655D03"/>
    <w:rsid w:val="0066450D"/>
    <w:rsid w:val="006669E8"/>
    <w:rsid w:val="00682044"/>
    <w:rsid w:val="00683388"/>
    <w:rsid w:val="00683F84"/>
    <w:rsid w:val="006A6A81"/>
    <w:rsid w:val="006C4A0A"/>
    <w:rsid w:val="006D1698"/>
    <w:rsid w:val="006E099A"/>
    <w:rsid w:val="006F1DA9"/>
    <w:rsid w:val="006F7393"/>
    <w:rsid w:val="0070120F"/>
    <w:rsid w:val="0070224F"/>
    <w:rsid w:val="007115F7"/>
    <w:rsid w:val="00712339"/>
    <w:rsid w:val="007138EA"/>
    <w:rsid w:val="00734107"/>
    <w:rsid w:val="007476A5"/>
    <w:rsid w:val="007721D6"/>
    <w:rsid w:val="00784D92"/>
    <w:rsid w:val="00785689"/>
    <w:rsid w:val="0079754B"/>
    <w:rsid w:val="007A1E6D"/>
    <w:rsid w:val="007B0EB2"/>
    <w:rsid w:val="007B1F19"/>
    <w:rsid w:val="007C1217"/>
    <w:rsid w:val="007D38CD"/>
    <w:rsid w:val="007E65A4"/>
    <w:rsid w:val="007F7659"/>
    <w:rsid w:val="00802F10"/>
    <w:rsid w:val="00806CDF"/>
    <w:rsid w:val="00810B6F"/>
    <w:rsid w:val="00822CE0"/>
    <w:rsid w:val="00841AB1"/>
    <w:rsid w:val="0084326A"/>
    <w:rsid w:val="00885D39"/>
    <w:rsid w:val="008969D7"/>
    <w:rsid w:val="008B6DEC"/>
    <w:rsid w:val="008C1022"/>
    <w:rsid w:val="008C116E"/>
    <w:rsid w:val="008C68F1"/>
    <w:rsid w:val="0091031F"/>
    <w:rsid w:val="00921803"/>
    <w:rsid w:val="00926503"/>
    <w:rsid w:val="009328E1"/>
    <w:rsid w:val="00941027"/>
    <w:rsid w:val="00954A0C"/>
    <w:rsid w:val="009634A9"/>
    <w:rsid w:val="009726D8"/>
    <w:rsid w:val="00974489"/>
    <w:rsid w:val="009A229D"/>
    <w:rsid w:val="009B0443"/>
    <w:rsid w:val="009F76DB"/>
    <w:rsid w:val="00A13C0A"/>
    <w:rsid w:val="00A165C3"/>
    <w:rsid w:val="00A32B6F"/>
    <w:rsid w:val="00A32C3B"/>
    <w:rsid w:val="00A339F3"/>
    <w:rsid w:val="00A45F4F"/>
    <w:rsid w:val="00A46529"/>
    <w:rsid w:val="00A54A82"/>
    <w:rsid w:val="00A600A9"/>
    <w:rsid w:val="00A622F3"/>
    <w:rsid w:val="00A6656D"/>
    <w:rsid w:val="00A70551"/>
    <w:rsid w:val="00A97D02"/>
    <w:rsid w:val="00AA2184"/>
    <w:rsid w:val="00AA55B7"/>
    <w:rsid w:val="00AA5B9E"/>
    <w:rsid w:val="00AA664E"/>
    <w:rsid w:val="00AB2407"/>
    <w:rsid w:val="00AB53DF"/>
    <w:rsid w:val="00AB704F"/>
    <w:rsid w:val="00AC2582"/>
    <w:rsid w:val="00AD26E1"/>
    <w:rsid w:val="00AE2B69"/>
    <w:rsid w:val="00B019A9"/>
    <w:rsid w:val="00B03D70"/>
    <w:rsid w:val="00B07E5C"/>
    <w:rsid w:val="00B11B0B"/>
    <w:rsid w:val="00B249F9"/>
    <w:rsid w:val="00B24D38"/>
    <w:rsid w:val="00B63B91"/>
    <w:rsid w:val="00B63D6F"/>
    <w:rsid w:val="00B65B2C"/>
    <w:rsid w:val="00B80650"/>
    <w:rsid w:val="00B811F7"/>
    <w:rsid w:val="00BA5DC6"/>
    <w:rsid w:val="00BA6196"/>
    <w:rsid w:val="00BA685E"/>
    <w:rsid w:val="00BB4A95"/>
    <w:rsid w:val="00BC0DC0"/>
    <w:rsid w:val="00BC4005"/>
    <w:rsid w:val="00BC6D8C"/>
    <w:rsid w:val="00BF401C"/>
    <w:rsid w:val="00BF7B83"/>
    <w:rsid w:val="00C02284"/>
    <w:rsid w:val="00C34006"/>
    <w:rsid w:val="00C426B1"/>
    <w:rsid w:val="00C42D2B"/>
    <w:rsid w:val="00C63796"/>
    <w:rsid w:val="00C66160"/>
    <w:rsid w:val="00C700B1"/>
    <w:rsid w:val="00C721AC"/>
    <w:rsid w:val="00C80D7B"/>
    <w:rsid w:val="00C90D6A"/>
    <w:rsid w:val="00CA247E"/>
    <w:rsid w:val="00CA5747"/>
    <w:rsid w:val="00CB412E"/>
    <w:rsid w:val="00CB709C"/>
    <w:rsid w:val="00CC1522"/>
    <w:rsid w:val="00CC2DFD"/>
    <w:rsid w:val="00CC2E43"/>
    <w:rsid w:val="00CC72B6"/>
    <w:rsid w:val="00CD5167"/>
    <w:rsid w:val="00D0218D"/>
    <w:rsid w:val="00D03083"/>
    <w:rsid w:val="00D14F4D"/>
    <w:rsid w:val="00D25FB5"/>
    <w:rsid w:val="00D37DCE"/>
    <w:rsid w:val="00D44223"/>
    <w:rsid w:val="00D5173E"/>
    <w:rsid w:val="00D54F15"/>
    <w:rsid w:val="00D705E9"/>
    <w:rsid w:val="00D711AE"/>
    <w:rsid w:val="00D861B1"/>
    <w:rsid w:val="00DA2529"/>
    <w:rsid w:val="00DB130A"/>
    <w:rsid w:val="00DB2B8E"/>
    <w:rsid w:val="00DB2EBB"/>
    <w:rsid w:val="00DC10A1"/>
    <w:rsid w:val="00DC655F"/>
    <w:rsid w:val="00DD0B59"/>
    <w:rsid w:val="00DD1851"/>
    <w:rsid w:val="00DD7EBD"/>
    <w:rsid w:val="00DE3A0C"/>
    <w:rsid w:val="00DF62B6"/>
    <w:rsid w:val="00E07225"/>
    <w:rsid w:val="00E356E7"/>
    <w:rsid w:val="00E440B1"/>
    <w:rsid w:val="00E5409F"/>
    <w:rsid w:val="00E61452"/>
    <w:rsid w:val="00E65DC5"/>
    <w:rsid w:val="00E809A0"/>
    <w:rsid w:val="00E870D2"/>
    <w:rsid w:val="00E95893"/>
    <w:rsid w:val="00EA0361"/>
    <w:rsid w:val="00EA2FEB"/>
    <w:rsid w:val="00EB4B5B"/>
    <w:rsid w:val="00EC16D4"/>
    <w:rsid w:val="00EC79CF"/>
    <w:rsid w:val="00EE6488"/>
    <w:rsid w:val="00F021FA"/>
    <w:rsid w:val="00F07BDE"/>
    <w:rsid w:val="00F16939"/>
    <w:rsid w:val="00F319CA"/>
    <w:rsid w:val="00F410FF"/>
    <w:rsid w:val="00F45443"/>
    <w:rsid w:val="00F57FE5"/>
    <w:rsid w:val="00F62E97"/>
    <w:rsid w:val="00F64209"/>
    <w:rsid w:val="00F835D3"/>
    <w:rsid w:val="00F93BF5"/>
    <w:rsid w:val="00F96831"/>
    <w:rsid w:val="00FA6302"/>
    <w:rsid w:val="00FD6262"/>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FC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50F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350FCB"/>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350FC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350FCB"/>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350FC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50FC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350F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0FCB"/>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350F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0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FCB"/>
  </w:style>
  <w:style w:type="paragraph" w:customStyle="1" w:styleId="ParaNum">
    <w:name w:val="ParaNum"/>
    <w:basedOn w:val="Normal"/>
    <w:link w:val="ParaNumCharChar1"/>
    <w:rsid w:val="00350FCB"/>
    <w:pPr>
      <w:numPr>
        <w:numId w:val="2"/>
      </w:numPr>
      <w:tabs>
        <w:tab w:val="clear" w:pos="1080"/>
        <w:tab w:val="num" w:pos="1440"/>
      </w:tabs>
      <w:spacing w:after="120"/>
    </w:pPr>
  </w:style>
  <w:style w:type="paragraph" w:styleId="EndnoteText">
    <w:name w:val="endnote text"/>
    <w:basedOn w:val="Normal"/>
    <w:semiHidden/>
    <w:rsid w:val="00350FCB"/>
    <w:rPr>
      <w:sz w:val="20"/>
    </w:rPr>
  </w:style>
  <w:style w:type="character" w:styleId="EndnoteReference">
    <w:name w:val="endnote reference"/>
    <w:semiHidden/>
    <w:rsid w:val="00350FCB"/>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50FCB"/>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350FCB"/>
    <w:rPr>
      <w:rFonts w:ascii="Times New Roman" w:hAnsi="Times New Roman"/>
      <w:dstrike w:val="0"/>
      <w:color w:val="auto"/>
      <w:sz w:val="20"/>
      <w:vertAlign w:val="superscript"/>
    </w:rPr>
  </w:style>
  <w:style w:type="paragraph" w:styleId="TOC1">
    <w:name w:val="toc 1"/>
    <w:basedOn w:val="Normal"/>
    <w:next w:val="Normal"/>
    <w:semiHidden/>
    <w:rsid w:val="00350F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0FCB"/>
    <w:pPr>
      <w:tabs>
        <w:tab w:val="left" w:pos="720"/>
        <w:tab w:val="right" w:leader="dot" w:pos="9360"/>
      </w:tabs>
      <w:suppressAutoHyphens/>
      <w:ind w:left="720" w:right="720" w:hanging="360"/>
    </w:pPr>
    <w:rPr>
      <w:noProof/>
    </w:rPr>
  </w:style>
  <w:style w:type="paragraph" w:styleId="TOC3">
    <w:name w:val="toc 3"/>
    <w:basedOn w:val="Normal"/>
    <w:next w:val="Normal"/>
    <w:semiHidden/>
    <w:rsid w:val="00350F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0F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0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0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0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0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0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0FCB"/>
    <w:pPr>
      <w:tabs>
        <w:tab w:val="right" w:pos="9360"/>
      </w:tabs>
      <w:suppressAutoHyphens/>
    </w:pPr>
  </w:style>
  <w:style w:type="character" w:customStyle="1" w:styleId="EquationCaption">
    <w:name w:val="_Equation Caption"/>
    <w:rsid w:val="00350FCB"/>
  </w:style>
  <w:style w:type="paragraph" w:styleId="Header">
    <w:name w:val="header"/>
    <w:basedOn w:val="Normal"/>
    <w:autoRedefine/>
    <w:rsid w:val="00350FCB"/>
    <w:pPr>
      <w:tabs>
        <w:tab w:val="center" w:pos="4680"/>
        <w:tab w:val="right" w:pos="9360"/>
      </w:tabs>
    </w:pPr>
    <w:rPr>
      <w:b/>
    </w:rPr>
  </w:style>
  <w:style w:type="paragraph" w:styleId="Footer">
    <w:name w:val="footer"/>
    <w:basedOn w:val="Normal"/>
    <w:rsid w:val="00350FCB"/>
    <w:pPr>
      <w:tabs>
        <w:tab w:val="center" w:pos="4320"/>
        <w:tab w:val="right" w:pos="8640"/>
      </w:tabs>
    </w:pPr>
  </w:style>
  <w:style w:type="character" w:styleId="PageNumber">
    <w:name w:val="page number"/>
    <w:basedOn w:val="DefaultParagraphFont"/>
    <w:rsid w:val="00350FCB"/>
  </w:style>
  <w:style w:type="paragraph" w:styleId="BlockText">
    <w:name w:val="Block Text"/>
    <w:basedOn w:val="Normal"/>
    <w:rsid w:val="00350FCB"/>
    <w:pPr>
      <w:spacing w:after="240"/>
      <w:ind w:left="1440" w:right="1440"/>
    </w:pPr>
  </w:style>
  <w:style w:type="paragraph" w:customStyle="1" w:styleId="Paratitle">
    <w:name w:val="Para title"/>
    <w:basedOn w:val="Normal"/>
    <w:rsid w:val="00350FCB"/>
    <w:pPr>
      <w:tabs>
        <w:tab w:val="center" w:pos="9270"/>
      </w:tabs>
      <w:spacing w:after="240"/>
    </w:pPr>
    <w:rPr>
      <w:spacing w:val="-2"/>
    </w:rPr>
  </w:style>
  <w:style w:type="paragraph" w:customStyle="1" w:styleId="Bullet">
    <w:name w:val="Bullet"/>
    <w:basedOn w:val="Normal"/>
    <w:rsid w:val="00350FCB"/>
    <w:pPr>
      <w:tabs>
        <w:tab w:val="left" w:pos="2160"/>
      </w:tabs>
      <w:spacing w:after="220"/>
      <w:ind w:left="2160" w:hanging="720"/>
    </w:pPr>
  </w:style>
  <w:style w:type="paragraph" w:customStyle="1" w:styleId="TableFormat">
    <w:name w:val="TableFormat"/>
    <w:basedOn w:val="Bullet"/>
    <w:rsid w:val="00350FCB"/>
    <w:pPr>
      <w:tabs>
        <w:tab w:val="clear" w:pos="2160"/>
        <w:tab w:val="left" w:pos="5040"/>
      </w:tabs>
      <w:ind w:left="5040" w:hanging="3600"/>
    </w:pPr>
  </w:style>
  <w:style w:type="paragraph" w:customStyle="1" w:styleId="TOCTitle">
    <w:name w:val="TOC Title"/>
    <w:basedOn w:val="Normal"/>
    <w:rsid w:val="00350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0FCB"/>
    <w:pPr>
      <w:jc w:val="center"/>
    </w:pPr>
    <w:rPr>
      <w:rFonts w:ascii="Times New Roman Bold" w:hAnsi="Times New Roman Bold"/>
      <w:b/>
      <w:bCs/>
      <w:caps/>
      <w:szCs w:val="22"/>
    </w:rPr>
  </w:style>
  <w:style w:type="character" w:styleId="Hyperlink">
    <w:name w:val="Hyperlink"/>
    <w:rsid w:val="00350FCB"/>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25016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FC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50F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350FCB"/>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350FC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350FCB"/>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350FC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50FC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350F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0FCB"/>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350F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0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FCB"/>
  </w:style>
  <w:style w:type="paragraph" w:customStyle="1" w:styleId="ParaNum">
    <w:name w:val="ParaNum"/>
    <w:basedOn w:val="Normal"/>
    <w:link w:val="ParaNumCharChar1"/>
    <w:rsid w:val="00350FCB"/>
    <w:pPr>
      <w:numPr>
        <w:numId w:val="2"/>
      </w:numPr>
      <w:tabs>
        <w:tab w:val="clear" w:pos="1080"/>
        <w:tab w:val="num" w:pos="1440"/>
      </w:tabs>
      <w:spacing w:after="120"/>
    </w:pPr>
  </w:style>
  <w:style w:type="paragraph" w:styleId="EndnoteText">
    <w:name w:val="endnote text"/>
    <w:basedOn w:val="Normal"/>
    <w:semiHidden/>
    <w:rsid w:val="00350FCB"/>
    <w:rPr>
      <w:sz w:val="20"/>
    </w:rPr>
  </w:style>
  <w:style w:type="character" w:styleId="EndnoteReference">
    <w:name w:val="endnote reference"/>
    <w:semiHidden/>
    <w:rsid w:val="00350FCB"/>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50FCB"/>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350FCB"/>
    <w:rPr>
      <w:rFonts w:ascii="Times New Roman" w:hAnsi="Times New Roman"/>
      <w:dstrike w:val="0"/>
      <w:color w:val="auto"/>
      <w:sz w:val="20"/>
      <w:vertAlign w:val="superscript"/>
    </w:rPr>
  </w:style>
  <w:style w:type="paragraph" w:styleId="TOC1">
    <w:name w:val="toc 1"/>
    <w:basedOn w:val="Normal"/>
    <w:next w:val="Normal"/>
    <w:semiHidden/>
    <w:rsid w:val="00350F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0FCB"/>
    <w:pPr>
      <w:tabs>
        <w:tab w:val="left" w:pos="720"/>
        <w:tab w:val="right" w:leader="dot" w:pos="9360"/>
      </w:tabs>
      <w:suppressAutoHyphens/>
      <w:ind w:left="720" w:right="720" w:hanging="360"/>
    </w:pPr>
    <w:rPr>
      <w:noProof/>
    </w:rPr>
  </w:style>
  <w:style w:type="paragraph" w:styleId="TOC3">
    <w:name w:val="toc 3"/>
    <w:basedOn w:val="Normal"/>
    <w:next w:val="Normal"/>
    <w:semiHidden/>
    <w:rsid w:val="00350F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0F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0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0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0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0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0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0FCB"/>
    <w:pPr>
      <w:tabs>
        <w:tab w:val="right" w:pos="9360"/>
      </w:tabs>
      <w:suppressAutoHyphens/>
    </w:pPr>
  </w:style>
  <w:style w:type="character" w:customStyle="1" w:styleId="EquationCaption">
    <w:name w:val="_Equation Caption"/>
    <w:rsid w:val="00350FCB"/>
  </w:style>
  <w:style w:type="paragraph" w:styleId="Header">
    <w:name w:val="header"/>
    <w:basedOn w:val="Normal"/>
    <w:autoRedefine/>
    <w:rsid w:val="00350FCB"/>
    <w:pPr>
      <w:tabs>
        <w:tab w:val="center" w:pos="4680"/>
        <w:tab w:val="right" w:pos="9360"/>
      </w:tabs>
    </w:pPr>
    <w:rPr>
      <w:b/>
    </w:rPr>
  </w:style>
  <w:style w:type="paragraph" w:styleId="Footer">
    <w:name w:val="footer"/>
    <w:basedOn w:val="Normal"/>
    <w:rsid w:val="00350FCB"/>
    <w:pPr>
      <w:tabs>
        <w:tab w:val="center" w:pos="4320"/>
        <w:tab w:val="right" w:pos="8640"/>
      </w:tabs>
    </w:pPr>
  </w:style>
  <w:style w:type="character" w:styleId="PageNumber">
    <w:name w:val="page number"/>
    <w:basedOn w:val="DefaultParagraphFont"/>
    <w:rsid w:val="00350FCB"/>
  </w:style>
  <w:style w:type="paragraph" w:styleId="BlockText">
    <w:name w:val="Block Text"/>
    <w:basedOn w:val="Normal"/>
    <w:rsid w:val="00350FCB"/>
    <w:pPr>
      <w:spacing w:after="240"/>
      <w:ind w:left="1440" w:right="1440"/>
    </w:pPr>
  </w:style>
  <w:style w:type="paragraph" w:customStyle="1" w:styleId="Paratitle">
    <w:name w:val="Para title"/>
    <w:basedOn w:val="Normal"/>
    <w:rsid w:val="00350FCB"/>
    <w:pPr>
      <w:tabs>
        <w:tab w:val="center" w:pos="9270"/>
      </w:tabs>
      <w:spacing w:after="240"/>
    </w:pPr>
    <w:rPr>
      <w:spacing w:val="-2"/>
    </w:rPr>
  </w:style>
  <w:style w:type="paragraph" w:customStyle="1" w:styleId="Bullet">
    <w:name w:val="Bullet"/>
    <w:basedOn w:val="Normal"/>
    <w:rsid w:val="00350FCB"/>
    <w:pPr>
      <w:tabs>
        <w:tab w:val="left" w:pos="2160"/>
      </w:tabs>
      <w:spacing w:after="220"/>
      <w:ind w:left="2160" w:hanging="720"/>
    </w:pPr>
  </w:style>
  <w:style w:type="paragraph" w:customStyle="1" w:styleId="TableFormat">
    <w:name w:val="TableFormat"/>
    <w:basedOn w:val="Bullet"/>
    <w:rsid w:val="00350FCB"/>
    <w:pPr>
      <w:tabs>
        <w:tab w:val="clear" w:pos="2160"/>
        <w:tab w:val="left" w:pos="5040"/>
      </w:tabs>
      <w:ind w:left="5040" w:hanging="3600"/>
    </w:pPr>
  </w:style>
  <w:style w:type="paragraph" w:customStyle="1" w:styleId="TOCTitle">
    <w:name w:val="TOC Title"/>
    <w:basedOn w:val="Normal"/>
    <w:rsid w:val="00350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0FCB"/>
    <w:pPr>
      <w:jc w:val="center"/>
    </w:pPr>
    <w:rPr>
      <w:rFonts w:ascii="Times New Roman Bold" w:hAnsi="Times New Roman Bold"/>
      <w:b/>
      <w:bCs/>
      <w:caps/>
      <w:szCs w:val="22"/>
    </w:rPr>
  </w:style>
  <w:style w:type="character" w:styleId="Hyperlink">
    <w:name w:val="Hyperlink"/>
    <w:rsid w:val="00350FCB"/>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25016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5038">
      <w:bodyDiv w:val="1"/>
      <w:marLeft w:val="0"/>
      <w:marRight w:val="0"/>
      <w:marTop w:val="0"/>
      <w:marBottom w:val="0"/>
      <w:divBdr>
        <w:top w:val="none" w:sz="0" w:space="0" w:color="auto"/>
        <w:left w:val="none" w:sz="0" w:space="0" w:color="auto"/>
        <w:bottom w:val="none" w:sz="0" w:space="0" w:color="auto"/>
        <w:right w:val="none" w:sz="0" w:space="0" w:color="auto"/>
      </w:divBdr>
    </w:div>
    <w:div w:id="957830868">
      <w:bodyDiv w:val="1"/>
      <w:marLeft w:val="0"/>
      <w:marRight w:val="0"/>
      <w:marTop w:val="0"/>
      <w:marBottom w:val="0"/>
      <w:divBdr>
        <w:top w:val="none" w:sz="0" w:space="0" w:color="auto"/>
        <w:left w:val="none" w:sz="0" w:space="0" w:color="auto"/>
        <w:bottom w:val="none" w:sz="0" w:space="0" w:color="auto"/>
        <w:right w:val="none" w:sz="0" w:space="0" w:color="auto"/>
      </w:divBdr>
    </w:div>
    <w:div w:id="1342314560">
      <w:bodyDiv w:val="1"/>
      <w:marLeft w:val="0"/>
      <w:marRight w:val="0"/>
      <w:marTop w:val="0"/>
      <w:marBottom w:val="0"/>
      <w:divBdr>
        <w:top w:val="none" w:sz="0" w:space="0" w:color="auto"/>
        <w:left w:val="none" w:sz="0" w:space="0" w:color="auto"/>
        <w:bottom w:val="none" w:sz="0" w:space="0" w:color="auto"/>
        <w:right w:val="none" w:sz="0" w:space="0" w:color="auto"/>
      </w:divBdr>
    </w:div>
    <w:div w:id="1451630238">
      <w:bodyDiv w:val="1"/>
      <w:marLeft w:val="0"/>
      <w:marRight w:val="0"/>
      <w:marTop w:val="0"/>
      <w:marBottom w:val="0"/>
      <w:divBdr>
        <w:top w:val="none" w:sz="0" w:space="0" w:color="auto"/>
        <w:left w:val="none" w:sz="0" w:space="0" w:color="auto"/>
        <w:bottom w:val="none" w:sz="0" w:space="0" w:color="auto"/>
        <w:right w:val="none" w:sz="0" w:space="0" w:color="auto"/>
      </w:divBdr>
    </w:div>
    <w:div w:id="20201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1267</Words>
  <Characters>7239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2016-12-13T21:44:00Z</cp:lastPrinted>
  <dcterms:created xsi:type="dcterms:W3CDTF">2016-12-14T19:34:00Z</dcterms:created>
  <dcterms:modified xsi:type="dcterms:W3CDTF">2016-12-14T19:34:00Z</dcterms:modified>
  <cp:category> </cp:category>
  <cp:contentStatus> </cp:contentStatus>
</cp:coreProperties>
</file>