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Game Show Network, LLC,</w:t>
            </w:r>
          </w:p>
          <w:p w:rsidR="00C3215F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     Complainant</w:t>
            </w:r>
          </w:p>
          <w:p w:rsidR="00C3215F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3215F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               v.</w:t>
            </w:r>
          </w:p>
          <w:p w:rsidR="00C3215F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3215F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Cablevision Systems Corp.,</w:t>
            </w:r>
          </w:p>
          <w:p w:rsidR="00C3215F" w:rsidRPr="007115F7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     Defendant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3215F" w:rsidRDefault="00C3215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3215F" w:rsidRDefault="00C3215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C3215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No. 12-122</w:t>
            </w:r>
          </w:p>
          <w:p w:rsidR="00C3215F" w:rsidRDefault="00C3215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3215F" w:rsidRDefault="00C3215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CSR-8529-P</w:t>
            </w:r>
          </w:p>
        </w:tc>
      </w:tr>
    </w:tbl>
    <w:p w:rsidR="004C2EE3" w:rsidRDefault="004C2EE3" w:rsidP="0070224F"/>
    <w:p w:rsidR="00841AB1" w:rsidRDefault="00C3215F" w:rsidP="00F021FA">
      <w:pPr>
        <w:pStyle w:val="StyleBoldCentered"/>
      </w:pPr>
      <w:r>
        <w:t>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65579D">
        <w:rPr>
          <w:b/>
          <w:spacing w:val="-2"/>
        </w:rPr>
        <w:t>December 15</w:t>
      </w:r>
      <w:r w:rsidR="00C3215F">
        <w:rPr>
          <w:b/>
          <w:spacing w:val="-2"/>
        </w:rPr>
        <w:t>, 2016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65579D">
        <w:rPr>
          <w:b/>
          <w:spacing w:val="-2"/>
        </w:rPr>
        <w:t>December 15</w:t>
      </w:r>
      <w:r w:rsidR="00C3215F">
        <w:rPr>
          <w:b/>
          <w:spacing w:val="-2"/>
        </w:rPr>
        <w:t>, 2016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C3215F">
        <w:rPr>
          <w:spacing w:val="-2"/>
        </w:rPr>
        <w:t>Associate General Counsel, Administrative Law Division</w:t>
      </w:r>
      <w:r>
        <w:rPr>
          <w:spacing w:val="-2"/>
        </w:rPr>
        <w:t>:</w:t>
      </w:r>
    </w:p>
    <w:p w:rsidR="002C00E8" w:rsidRDefault="002C00E8" w:rsidP="00834547">
      <w:pPr>
        <w:pStyle w:val="Heading1"/>
        <w:numPr>
          <w:ilvl w:val="0"/>
          <w:numId w:val="0"/>
        </w:numPr>
        <w:ind w:left="720"/>
      </w:pPr>
    </w:p>
    <w:p w:rsidR="00834547" w:rsidRDefault="00834547" w:rsidP="00834547">
      <w:pPr>
        <w:pStyle w:val="ParaNum"/>
      </w:pPr>
      <w:r>
        <w:t xml:space="preserve">Pending before the Commission is a Request for a Page Limit Extension filed by Cablevision Systems Corporation </w:t>
      </w:r>
      <w:r w:rsidR="00890CD6">
        <w:t xml:space="preserve">(Cablevision) </w:t>
      </w:r>
      <w:r>
        <w:t>on December 5, 2016.  Cablevision requests permission pursuant to Rule 1.48(b), 47 C.F.R. §</w:t>
      </w:r>
      <w:r w:rsidR="00BC0CCE">
        <w:t xml:space="preserve"> 1.48(b),</w:t>
      </w:r>
      <w:r>
        <w:t xml:space="preserve"> to file a 40-page brief in support of its exceptions to Chief Administrative Law Judge Sippel’s initial decision in this proceeding.</w:t>
      </w:r>
      <w:r w:rsidR="00BC0CCE">
        <w:rPr>
          <w:rStyle w:val="FootnoteReference"/>
        </w:rPr>
        <w:footnoteReference w:id="2"/>
      </w:r>
      <w:r w:rsidR="00890CD6">
        <w:t xml:space="preserve">  Cablevision asserts that it has conferred with Game Show Network, LLC (GSN), which does not oppose the request provided that it is afforded the same page limit for its opposition.</w:t>
      </w:r>
      <w:r w:rsidR="00BD4FDD">
        <w:rPr>
          <w:rStyle w:val="FootnoteReference"/>
        </w:rPr>
        <w:footnoteReference w:id="3"/>
      </w:r>
    </w:p>
    <w:p w:rsidR="00890CD6" w:rsidRDefault="001D181D" w:rsidP="00834547">
      <w:pPr>
        <w:pStyle w:val="ParaNum"/>
      </w:pPr>
      <w:r>
        <w:t>Except by special permission, the consolidated supporting brief and exceptions to an initial decision will not be accepted if the exceptions and argument exceed 25 pages in length.</w:t>
      </w:r>
      <w:r>
        <w:rPr>
          <w:rStyle w:val="FootnoteReference"/>
        </w:rPr>
        <w:footnoteReference w:id="4"/>
      </w:r>
      <w:r w:rsidR="007E36CC">
        <w:t xml:space="preserve">  Cablevision states that the parties in this proceeding have generated an extensive evidentiary record during more than five years of litigation, culminating in a hearing from July 7, 2015 through July 20, 2015 where the partie</w:t>
      </w:r>
      <w:r w:rsidR="002623D6">
        <w:t>s presented live testimony from 12 witnesses and submitted more than a thousand exhibits.</w:t>
      </w:r>
      <w:r w:rsidR="002623D6">
        <w:rPr>
          <w:rStyle w:val="FootnoteReference"/>
        </w:rPr>
        <w:footnoteReference w:id="5"/>
      </w:r>
      <w:r w:rsidR="002623D6">
        <w:t xml:space="preserve">  The parties then submitted hundreds of pages of proposed findings of fact and conclusions of law.</w:t>
      </w:r>
      <w:r w:rsidR="002623D6">
        <w:rPr>
          <w:rStyle w:val="FootnoteReference"/>
        </w:rPr>
        <w:footnoteReference w:id="6"/>
      </w:r>
      <w:r w:rsidR="002623D6">
        <w:t xml:space="preserve">  Cablevision notes that it will be difficult to comprehensively address the numerous complex factual and legal questions that the Initial Decision presents, and that </w:t>
      </w:r>
      <w:r w:rsidR="00486DD2">
        <w:t>“</w:t>
      </w:r>
      <w:r w:rsidR="002623D6">
        <w:t>an additional 15 pages of briefing for Cablevision’s exceptions and any opposition thereto will facilitate the Commission’s reasoned consideration of these questions in an efficient manner.</w:t>
      </w:r>
      <w:r w:rsidR="00486DD2">
        <w:t>”</w:t>
      </w:r>
      <w:r w:rsidR="00486DD2">
        <w:rPr>
          <w:rStyle w:val="FootnoteReference"/>
        </w:rPr>
        <w:footnoteReference w:id="7"/>
      </w:r>
    </w:p>
    <w:p w:rsidR="001D181D" w:rsidRDefault="00F401BD" w:rsidP="00834547">
      <w:pPr>
        <w:pStyle w:val="ParaNum"/>
      </w:pPr>
      <w:r>
        <w:lastRenderedPageBreak/>
        <w:t>Cablevision’s reque</w:t>
      </w:r>
      <w:r w:rsidR="005672A2">
        <w:t>st for an additional 15 pages will be</w:t>
      </w:r>
      <w:r>
        <w:t xml:space="preserve"> granted.  While the Commission does not routinely grant requests to file pleadings in excess of the page limits specified in the Commission’s rules,</w:t>
      </w:r>
      <w:r>
        <w:rPr>
          <w:rStyle w:val="FootnoteReference"/>
        </w:rPr>
        <w:footnoteReference w:id="8"/>
      </w:r>
      <w:r>
        <w:t xml:space="preserve"> Cablevision’s timely filed request for an additional 15 pages for its exceptions</w:t>
      </w:r>
      <w:r w:rsidR="00DE1D24">
        <w:t xml:space="preserve"> (as well as for reply briefs)</w:t>
      </w:r>
      <w:r>
        <w:t xml:space="preserve"> is supported by good cause.  </w:t>
      </w:r>
      <w:r w:rsidR="005672A2">
        <w:t xml:space="preserve">The Initial Decision is based on a large record and addresses a number of complex factual and legal questions related to carriage of video programming.  In these circumstances, an additional 15 pages for Cablevision’s exceptions and for </w:t>
      </w:r>
      <w:r w:rsidR="00BD4FDD">
        <w:t xml:space="preserve">reply briefs in response </w:t>
      </w:r>
      <w:r w:rsidR="005672A2">
        <w:t>thereto is appropriate to facilitate the Commission’s reasoned consideration of the issues in an efficient manner, and thus serves the public interest.</w:t>
      </w:r>
    </w:p>
    <w:p w:rsidR="00036851" w:rsidRDefault="005672A2" w:rsidP="00834547">
      <w:pPr>
        <w:pStyle w:val="ParaNum"/>
      </w:pPr>
      <w:r>
        <w:t xml:space="preserve">ACCORDINGLY, IT IS ORDERED </w:t>
      </w:r>
      <w:r w:rsidR="00BD4FDD">
        <w:t>t</w:t>
      </w:r>
      <w:r>
        <w:t>hat pursuant to the authority set forth in 47 C.F.R. §</w:t>
      </w:r>
      <w:r w:rsidR="007E4F61">
        <w:t xml:space="preserve"> 0.251(c), Cablevision’s Request for a Page Limit Extension IS GRANTED, and Cablevision IS AUTHORIZED to file a consolidated brief and exceptions not t</w:t>
      </w:r>
      <w:r w:rsidR="00D841D6">
        <w:t>o exceed 40 pages in length.  P</w:t>
      </w:r>
      <w:r w:rsidR="007E4F61">
        <w:t>arties</w:t>
      </w:r>
      <w:r w:rsidR="00036851">
        <w:t xml:space="preserve"> filing </w:t>
      </w:r>
      <w:r w:rsidR="00793403">
        <w:t>in response</w:t>
      </w:r>
      <w:r w:rsidR="00036851">
        <w:t xml:space="preserve"> to Cablevision</w:t>
      </w:r>
      <w:r w:rsidR="007E4F61">
        <w:t xml:space="preserve">’s exceptions ARE AUTHORIZED to file </w:t>
      </w:r>
      <w:r w:rsidR="00D841D6">
        <w:t>reply briefs</w:t>
      </w:r>
      <w:r w:rsidR="00036851">
        <w:t xml:space="preserve"> not to exceed 40 pages.</w:t>
      </w:r>
    </w:p>
    <w:p w:rsidR="00036851" w:rsidRDefault="00036851" w:rsidP="00036851">
      <w:pPr>
        <w:pStyle w:val="ParaNum"/>
        <w:numPr>
          <w:ilvl w:val="0"/>
          <w:numId w:val="0"/>
        </w:numPr>
        <w:ind w:left="720"/>
      </w:pPr>
      <w:r>
        <w:tab/>
      </w:r>
      <w:r>
        <w:tab/>
      </w:r>
      <w:r>
        <w:tab/>
      </w:r>
      <w:r>
        <w:tab/>
      </w:r>
    </w:p>
    <w:p w:rsidR="00036851" w:rsidRDefault="00036851" w:rsidP="00036851">
      <w:pPr>
        <w:pStyle w:val="ParaNum"/>
        <w:numPr>
          <w:ilvl w:val="0"/>
          <w:numId w:val="0"/>
        </w:numPr>
        <w:ind w:left="720"/>
      </w:pPr>
    </w:p>
    <w:p w:rsidR="00036851" w:rsidRDefault="00036851" w:rsidP="00036851">
      <w:pPr>
        <w:pStyle w:val="ParaNum"/>
        <w:numPr>
          <w:ilvl w:val="0"/>
          <w:numId w:val="0"/>
        </w:numPr>
        <w:ind w:left="720"/>
      </w:pPr>
      <w:r>
        <w:tab/>
      </w:r>
      <w:r>
        <w:tab/>
      </w:r>
      <w:r>
        <w:tab/>
      </w:r>
      <w:r>
        <w:tab/>
        <w:t>FEDERAL COMMUNICATIONS COMMISSION</w:t>
      </w:r>
    </w:p>
    <w:p w:rsidR="00036851" w:rsidRDefault="00036851" w:rsidP="00036851">
      <w:pPr>
        <w:pStyle w:val="ParaNum"/>
        <w:numPr>
          <w:ilvl w:val="0"/>
          <w:numId w:val="0"/>
        </w:numPr>
        <w:ind w:left="720"/>
      </w:pPr>
    </w:p>
    <w:p w:rsidR="00036851" w:rsidRDefault="00036851" w:rsidP="00036851">
      <w:pPr>
        <w:pStyle w:val="ParaNum"/>
        <w:numPr>
          <w:ilvl w:val="0"/>
          <w:numId w:val="0"/>
        </w:numPr>
        <w:ind w:left="720"/>
      </w:pPr>
    </w:p>
    <w:p w:rsidR="00036851" w:rsidRDefault="00036851" w:rsidP="00036851">
      <w:pPr>
        <w:pStyle w:val="ParaNum"/>
        <w:numPr>
          <w:ilvl w:val="0"/>
          <w:numId w:val="0"/>
        </w:numPr>
        <w:ind w:left="720"/>
      </w:pPr>
    </w:p>
    <w:p w:rsidR="00036851" w:rsidRDefault="00036851" w:rsidP="00570EFD">
      <w:pPr>
        <w:pStyle w:val="ParaNum"/>
        <w:numPr>
          <w:ilvl w:val="0"/>
          <w:numId w:val="0"/>
        </w:numPr>
        <w:spacing w:after="0"/>
        <w:ind w:left="720"/>
      </w:pPr>
      <w:r>
        <w:tab/>
      </w:r>
      <w:r>
        <w:tab/>
      </w:r>
      <w:r>
        <w:tab/>
      </w:r>
      <w:r>
        <w:tab/>
        <w:t xml:space="preserve">Linda </w:t>
      </w:r>
      <w:r w:rsidR="00E01D82">
        <w:t xml:space="preserve">L. </w:t>
      </w:r>
      <w:r>
        <w:t>Oliver</w:t>
      </w:r>
    </w:p>
    <w:p w:rsidR="005672A2" w:rsidRDefault="00036851" w:rsidP="00570EFD">
      <w:pPr>
        <w:pStyle w:val="ParaNum"/>
        <w:numPr>
          <w:ilvl w:val="0"/>
          <w:numId w:val="0"/>
        </w:numPr>
        <w:spacing w:after="0"/>
        <w:ind w:left="720"/>
      </w:pPr>
      <w:r>
        <w:tab/>
      </w:r>
      <w:r>
        <w:tab/>
      </w:r>
      <w:r>
        <w:tab/>
      </w:r>
      <w:r>
        <w:tab/>
        <w:t xml:space="preserve">Associate General Counsel </w:t>
      </w:r>
      <w:r w:rsidR="007E4F61">
        <w:t xml:space="preserve"> </w:t>
      </w:r>
    </w:p>
    <w:p w:rsidR="003768A7" w:rsidRDefault="003768A7" w:rsidP="00570EFD">
      <w:pPr>
        <w:pStyle w:val="ParaNum"/>
        <w:numPr>
          <w:ilvl w:val="0"/>
          <w:numId w:val="0"/>
        </w:numPr>
        <w:spacing w:after="0"/>
        <w:ind w:left="2880" w:firstLine="720"/>
      </w:pPr>
      <w:r>
        <w:t>Administrative Law Division</w:t>
      </w:r>
    </w:p>
    <w:p w:rsidR="00570EFD" w:rsidRDefault="00570EFD" w:rsidP="00570EFD">
      <w:pPr>
        <w:pStyle w:val="ParaNum"/>
        <w:numPr>
          <w:ilvl w:val="0"/>
          <w:numId w:val="0"/>
        </w:numPr>
        <w:spacing w:after="0"/>
        <w:ind w:left="2880" w:firstLine="720"/>
      </w:pPr>
      <w:r>
        <w:t>Office of General Counsel</w:t>
      </w:r>
    </w:p>
    <w:p w:rsidR="00890CD6" w:rsidRPr="00834547" w:rsidRDefault="00890CD6" w:rsidP="001D181D">
      <w:pPr>
        <w:pStyle w:val="ParaNum"/>
        <w:numPr>
          <w:ilvl w:val="0"/>
          <w:numId w:val="0"/>
        </w:numPr>
        <w:ind w:firstLine="720"/>
      </w:pPr>
    </w:p>
    <w:sectPr w:rsidR="00890CD6" w:rsidRPr="00834547" w:rsidSect="00AE4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42" w:rsidRDefault="005C5C42">
      <w:pPr>
        <w:spacing w:line="20" w:lineRule="exact"/>
      </w:pPr>
    </w:p>
  </w:endnote>
  <w:endnote w:type="continuationSeparator" w:id="0">
    <w:p w:rsidR="005C5C42" w:rsidRDefault="005C5C42">
      <w:r>
        <w:t xml:space="preserve"> </w:t>
      </w:r>
    </w:p>
  </w:endnote>
  <w:endnote w:type="continuationNotice" w:id="1">
    <w:p w:rsidR="005C5C42" w:rsidRDefault="005C5C4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04D8A">
      <w:rPr>
        <w:noProof/>
      </w:rPr>
      <w:t>1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42" w:rsidRDefault="005C5C42">
      <w:r>
        <w:separator/>
      </w:r>
    </w:p>
  </w:footnote>
  <w:footnote w:type="continuationSeparator" w:id="0">
    <w:p w:rsidR="005C5C42" w:rsidRDefault="005C5C42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5C5C42" w:rsidRDefault="005C5C42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BC0CCE" w:rsidRPr="00BC0CCE" w:rsidRDefault="00BC0C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Game Show Network, LLC</w:t>
      </w:r>
      <w:r>
        <w:t xml:space="preserve"> v. </w:t>
      </w:r>
      <w:r>
        <w:rPr>
          <w:i/>
        </w:rPr>
        <w:t>Cablevision Sys. Corp.</w:t>
      </w:r>
      <w:r>
        <w:t xml:space="preserve">, MB Docket No. 12-122; File No. CSR-8529-P, </w:t>
      </w:r>
      <w:r w:rsidR="007E36CC">
        <w:t xml:space="preserve">Initial Decision, </w:t>
      </w:r>
      <w:r>
        <w:t>16D-1 (Nov. 23, 2016)</w:t>
      </w:r>
      <w:r w:rsidR="002623D6">
        <w:t xml:space="preserve"> (Initial Decision)</w:t>
      </w:r>
      <w:r>
        <w:t>.</w:t>
      </w:r>
    </w:p>
  </w:footnote>
  <w:footnote w:id="3">
    <w:p w:rsidR="00BD4FDD" w:rsidRDefault="00BD4FDD">
      <w:pPr>
        <w:pStyle w:val="FootnoteText"/>
      </w:pPr>
      <w:r>
        <w:rPr>
          <w:rStyle w:val="FootnoteReference"/>
        </w:rPr>
        <w:footnoteRef/>
      </w:r>
      <w:r>
        <w:t xml:space="preserve"> The Enforcement </w:t>
      </w:r>
      <w:r w:rsidR="00AE42FF">
        <w:t xml:space="preserve">Bureau also has indicated </w:t>
      </w:r>
      <w:r>
        <w:t xml:space="preserve">that </w:t>
      </w:r>
      <w:r w:rsidR="00AE42FF">
        <w:t>it does not oppose Cablevision’s request for a page limit extension</w:t>
      </w:r>
      <w:r>
        <w:t>.</w:t>
      </w:r>
    </w:p>
  </w:footnote>
  <w:footnote w:id="4">
    <w:p w:rsidR="001D181D" w:rsidRPr="001D181D" w:rsidRDefault="001D18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C.F.R.</w:t>
      </w:r>
      <w:r w:rsidRPr="001D181D">
        <w:t xml:space="preserve"> </w:t>
      </w:r>
      <w:r>
        <w:t>§ 1.277(c).</w:t>
      </w:r>
      <w:r w:rsidR="00F9413D">
        <w:t xml:space="preserve">  Any other party’s reply brief is subject to the same page limit.  </w:t>
      </w:r>
      <w:r w:rsidR="00F9413D">
        <w:rPr>
          <w:i/>
        </w:rPr>
        <w:t>See id.</w:t>
      </w:r>
      <w:r>
        <w:t xml:space="preserve"> </w:t>
      </w:r>
    </w:p>
  </w:footnote>
  <w:footnote w:id="5">
    <w:p w:rsidR="002623D6" w:rsidRDefault="002623D6">
      <w:pPr>
        <w:pStyle w:val="FootnoteText"/>
      </w:pPr>
      <w:r>
        <w:rPr>
          <w:rStyle w:val="FootnoteReference"/>
        </w:rPr>
        <w:footnoteRef/>
      </w:r>
      <w:r w:rsidR="00486DD2">
        <w:t xml:space="preserve"> Request at 1</w:t>
      </w:r>
      <w:r>
        <w:t>.</w:t>
      </w:r>
    </w:p>
  </w:footnote>
  <w:footnote w:id="6">
    <w:p w:rsidR="002623D6" w:rsidRPr="002623D6" w:rsidRDefault="002623D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7">
    <w:p w:rsidR="00486DD2" w:rsidRPr="00486DD2" w:rsidRDefault="00486D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1-2.</w:t>
      </w:r>
    </w:p>
  </w:footnote>
  <w:footnote w:id="8">
    <w:p w:rsidR="00F401BD" w:rsidRPr="00F401BD" w:rsidRDefault="00F401B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47 C.F.R.</w:t>
      </w:r>
      <w:r w:rsidRPr="00F401BD">
        <w:t xml:space="preserve"> </w:t>
      </w:r>
      <w:r>
        <w:t xml:space="preserve">§ 1.48(b).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BF" w:rsidRDefault="00064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741EF4">
      <w:t xml:space="preserve"> DA 16-1393</w:t>
    </w:r>
  </w:p>
  <w:p w:rsidR="00D25FB5" w:rsidRDefault="002174C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E84D87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2174C2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2EA240C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C3215F">
      <w:t>DA 16-XXX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2"/>
    <w:rsid w:val="00036039"/>
    <w:rsid w:val="00036851"/>
    <w:rsid w:val="00037F90"/>
    <w:rsid w:val="00064EBF"/>
    <w:rsid w:val="000875BF"/>
    <w:rsid w:val="00096D8C"/>
    <w:rsid w:val="000C0B65"/>
    <w:rsid w:val="000E05FE"/>
    <w:rsid w:val="000E3D42"/>
    <w:rsid w:val="00122BD5"/>
    <w:rsid w:val="00126105"/>
    <w:rsid w:val="00133F79"/>
    <w:rsid w:val="001534EA"/>
    <w:rsid w:val="00194A66"/>
    <w:rsid w:val="001D181D"/>
    <w:rsid w:val="001D6BCF"/>
    <w:rsid w:val="001E01CA"/>
    <w:rsid w:val="002174C2"/>
    <w:rsid w:val="002623D6"/>
    <w:rsid w:val="00275CF5"/>
    <w:rsid w:val="0028301F"/>
    <w:rsid w:val="00285017"/>
    <w:rsid w:val="002A2D2E"/>
    <w:rsid w:val="002C00E8"/>
    <w:rsid w:val="003125B3"/>
    <w:rsid w:val="00343749"/>
    <w:rsid w:val="003660ED"/>
    <w:rsid w:val="003768A7"/>
    <w:rsid w:val="003B0550"/>
    <w:rsid w:val="003B694F"/>
    <w:rsid w:val="003F171C"/>
    <w:rsid w:val="00412FC5"/>
    <w:rsid w:val="00422276"/>
    <w:rsid w:val="004242F1"/>
    <w:rsid w:val="00445A00"/>
    <w:rsid w:val="00451B0F"/>
    <w:rsid w:val="00486DD2"/>
    <w:rsid w:val="004C2EE3"/>
    <w:rsid w:val="004E4A22"/>
    <w:rsid w:val="00511968"/>
    <w:rsid w:val="0055614C"/>
    <w:rsid w:val="005672A2"/>
    <w:rsid w:val="00570EFD"/>
    <w:rsid w:val="005C5C42"/>
    <w:rsid w:val="005E14C2"/>
    <w:rsid w:val="00604178"/>
    <w:rsid w:val="00607BA5"/>
    <w:rsid w:val="0061180A"/>
    <w:rsid w:val="006155ED"/>
    <w:rsid w:val="00626EB6"/>
    <w:rsid w:val="0065579D"/>
    <w:rsid w:val="00655D03"/>
    <w:rsid w:val="00683388"/>
    <w:rsid w:val="00683F84"/>
    <w:rsid w:val="006A6A81"/>
    <w:rsid w:val="006F7393"/>
    <w:rsid w:val="0070224F"/>
    <w:rsid w:val="007115F7"/>
    <w:rsid w:val="00741EF4"/>
    <w:rsid w:val="00785689"/>
    <w:rsid w:val="00793403"/>
    <w:rsid w:val="0079754B"/>
    <w:rsid w:val="007A1E6D"/>
    <w:rsid w:val="007B0EB2"/>
    <w:rsid w:val="007E36CC"/>
    <w:rsid w:val="007E4F61"/>
    <w:rsid w:val="00804D8A"/>
    <w:rsid w:val="00810B6F"/>
    <w:rsid w:val="00812318"/>
    <w:rsid w:val="00822CE0"/>
    <w:rsid w:val="00834547"/>
    <w:rsid w:val="00841AB1"/>
    <w:rsid w:val="00865F15"/>
    <w:rsid w:val="00890CD6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E42FF"/>
    <w:rsid w:val="00B07E5C"/>
    <w:rsid w:val="00B811F7"/>
    <w:rsid w:val="00BA5DC6"/>
    <w:rsid w:val="00BA6196"/>
    <w:rsid w:val="00BC0CCE"/>
    <w:rsid w:val="00BC6D8C"/>
    <w:rsid w:val="00BD4FDD"/>
    <w:rsid w:val="00C3215F"/>
    <w:rsid w:val="00C34006"/>
    <w:rsid w:val="00C426B1"/>
    <w:rsid w:val="00C66160"/>
    <w:rsid w:val="00C721AC"/>
    <w:rsid w:val="00C90D6A"/>
    <w:rsid w:val="00CA247E"/>
    <w:rsid w:val="00CC72B6"/>
    <w:rsid w:val="00D0218D"/>
    <w:rsid w:val="00D14A98"/>
    <w:rsid w:val="00D25FB5"/>
    <w:rsid w:val="00D44223"/>
    <w:rsid w:val="00D841D6"/>
    <w:rsid w:val="00DA2529"/>
    <w:rsid w:val="00DB130A"/>
    <w:rsid w:val="00DB2EBB"/>
    <w:rsid w:val="00DC10A1"/>
    <w:rsid w:val="00DC655F"/>
    <w:rsid w:val="00DD0B59"/>
    <w:rsid w:val="00DD7EBD"/>
    <w:rsid w:val="00DE1D24"/>
    <w:rsid w:val="00DF62B6"/>
    <w:rsid w:val="00E01D82"/>
    <w:rsid w:val="00E07225"/>
    <w:rsid w:val="00E5409F"/>
    <w:rsid w:val="00EE6488"/>
    <w:rsid w:val="00F021FA"/>
    <w:rsid w:val="00F401BD"/>
    <w:rsid w:val="00F62E97"/>
    <w:rsid w:val="00F64209"/>
    <w:rsid w:val="00F93BF5"/>
    <w:rsid w:val="00F9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318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318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482</Words>
  <Characters>2637</Characters>
  <Application>Microsoft Office Word</Application>
  <DocSecurity>0</DocSecurity>
  <Lines>75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3140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2016-12-15T15:28:00Z</cp:lastPrinted>
  <dcterms:created xsi:type="dcterms:W3CDTF">2016-12-15T21:07:00Z</dcterms:created>
  <dcterms:modified xsi:type="dcterms:W3CDTF">2016-12-15T21:07:00Z</dcterms:modified>
  <cp:category> </cp:category>
  <cp:contentStatus> </cp:contentStatus>
</cp:coreProperties>
</file>