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D2595" w14:textId="77777777" w:rsidR="00353DED" w:rsidRDefault="00353DED">
      <w:pPr>
        <w:keepNext/>
        <w:widowControl/>
        <w:jc w:val="center"/>
        <w:rPr>
          <w:b/>
        </w:rPr>
      </w:pPr>
      <w:bookmarkStart w:id="0" w:name="_GoBack"/>
      <w:bookmarkEnd w:id="0"/>
      <w:r>
        <w:rPr>
          <w:b/>
        </w:rPr>
        <w:t>Before the</w:t>
      </w:r>
    </w:p>
    <w:p w14:paraId="2E7794DB" w14:textId="77777777" w:rsidR="00353DED" w:rsidRDefault="00353DED">
      <w:pPr>
        <w:keepNext/>
        <w:widowControl/>
        <w:jc w:val="center"/>
        <w:rPr>
          <w:b/>
        </w:rPr>
      </w:pPr>
      <w:r>
        <w:rPr>
          <w:b/>
        </w:rPr>
        <w:t>Federal Communications Commission</w:t>
      </w:r>
    </w:p>
    <w:p w14:paraId="3C96533A" w14:textId="77777777" w:rsidR="00353DED" w:rsidRDefault="00353DED">
      <w:pPr>
        <w:keepNext/>
        <w:widowControl/>
        <w:jc w:val="center"/>
        <w:rPr>
          <w:b/>
        </w:rPr>
      </w:pPr>
      <w:r>
        <w:rPr>
          <w:b/>
        </w:rPr>
        <w:t>Washington, D.C. 20554</w:t>
      </w:r>
    </w:p>
    <w:p w14:paraId="6E039E5A" w14:textId="77777777" w:rsidR="00353DED" w:rsidRDefault="00353DED">
      <w:pPr>
        <w:keepNext/>
        <w:widowControl/>
        <w:tabs>
          <w:tab w:val="left" w:pos="-720"/>
        </w:tabs>
        <w:suppressAutoHyphens/>
        <w:spacing w:line="227" w:lineRule="auto"/>
        <w:jc w:val="left"/>
      </w:pPr>
    </w:p>
    <w:p w14:paraId="1BDECB13" w14:textId="77777777" w:rsidR="004F2C3E" w:rsidRDefault="004F2C3E">
      <w:pPr>
        <w:keepNext/>
        <w:widowControl/>
        <w:tabs>
          <w:tab w:val="left" w:pos="-720"/>
        </w:tabs>
        <w:suppressAutoHyphens/>
        <w:spacing w:line="227" w:lineRule="auto"/>
        <w:jc w:val="left"/>
      </w:pPr>
    </w:p>
    <w:tbl>
      <w:tblPr>
        <w:tblW w:w="0" w:type="auto"/>
        <w:tblLayout w:type="fixed"/>
        <w:tblLook w:val="0000" w:firstRow="0" w:lastRow="0" w:firstColumn="0" w:lastColumn="0" w:noHBand="0" w:noVBand="0"/>
      </w:tblPr>
      <w:tblGrid>
        <w:gridCol w:w="4698"/>
        <w:gridCol w:w="630"/>
        <w:gridCol w:w="4248"/>
      </w:tblGrid>
      <w:tr w:rsidR="00353DED" w14:paraId="6F7507C3" w14:textId="77777777">
        <w:trPr>
          <w:trHeight w:val="1017"/>
        </w:trPr>
        <w:tc>
          <w:tcPr>
            <w:tcW w:w="4698" w:type="dxa"/>
          </w:tcPr>
          <w:p w14:paraId="4D214C6D" w14:textId="77777777" w:rsidR="00353DED" w:rsidRDefault="00353DED">
            <w:pPr>
              <w:keepNext/>
              <w:widowControl/>
              <w:tabs>
                <w:tab w:val="center" w:pos="4680"/>
              </w:tabs>
              <w:suppressAutoHyphens/>
              <w:jc w:val="left"/>
            </w:pPr>
            <w:r>
              <w:t>In the Matter of</w:t>
            </w:r>
          </w:p>
          <w:p w14:paraId="117DD81A" w14:textId="77777777" w:rsidR="00353DED" w:rsidRDefault="00353DED">
            <w:pPr>
              <w:keepNext/>
              <w:widowControl/>
              <w:tabs>
                <w:tab w:val="center" w:pos="4680"/>
              </w:tabs>
              <w:suppressAutoHyphens/>
              <w:jc w:val="left"/>
            </w:pPr>
          </w:p>
          <w:p w14:paraId="23D82381" w14:textId="77777777" w:rsidR="00353DED" w:rsidRDefault="00353DED">
            <w:pPr>
              <w:keepNext/>
              <w:widowControl/>
              <w:tabs>
                <w:tab w:val="center" w:pos="4680"/>
              </w:tabs>
              <w:suppressAutoHyphens/>
              <w:jc w:val="left"/>
            </w:pPr>
            <w:r>
              <w:t>National Exchange Carrier Association, Inc.</w:t>
            </w:r>
          </w:p>
          <w:p w14:paraId="35D6DF56" w14:textId="77777777" w:rsidR="00353DED" w:rsidRDefault="00353DED" w:rsidP="00DA3A4F">
            <w:pPr>
              <w:keepNext/>
              <w:widowControl/>
              <w:tabs>
                <w:tab w:val="center" w:pos="4680"/>
              </w:tabs>
              <w:suppressAutoHyphens/>
              <w:jc w:val="left"/>
            </w:pPr>
            <w:r>
              <w:t>201</w:t>
            </w:r>
            <w:r w:rsidR="00DA3A4F">
              <w:t>6</w:t>
            </w:r>
            <w:r>
              <w:t xml:space="preserve"> Modification of Average Schedules</w:t>
            </w:r>
          </w:p>
        </w:tc>
        <w:tc>
          <w:tcPr>
            <w:tcW w:w="630" w:type="dxa"/>
          </w:tcPr>
          <w:p w14:paraId="0F42A70F" w14:textId="77777777" w:rsidR="00353DED" w:rsidRDefault="00353DED">
            <w:pPr>
              <w:keepNext/>
              <w:widowControl/>
              <w:tabs>
                <w:tab w:val="center" w:pos="4680"/>
              </w:tabs>
              <w:suppressAutoHyphens/>
              <w:jc w:val="left"/>
              <w:rPr>
                <w:b/>
              </w:rPr>
            </w:pPr>
            <w:r>
              <w:rPr>
                <w:b/>
              </w:rPr>
              <w:t>)</w:t>
            </w:r>
          </w:p>
          <w:p w14:paraId="0B0FA280" w14:textId="77777777" w:rsidR="00353DED" w:rsidRDefault="00353DED">
            <w:pPr>
              <w:keepNext/>
              <w:widowControl/>
              <w:tabs>
                <w:tab w:val="center" w:pos="4680"/>
              </w:tabs>
              <w:suppressAutoHyphens/>
              <w:jc w:val="left"/>
              <w:rPr>
                <w:b/>
              </w:rPr>
            </w:pPr>
            <w:r>
              <w:rPr>
                <w:b/>
              </w:rPr>
              <w:t>)</w:t>
            </w:r>
          </w:p>
          <w:p w14:paraId="71D9B6E1" w14:textId="77777777" w:rsidR="00353DED" w:rsidRDefault="00353DED">
            <w:pPr>
              <w:keepNext/>
              <w:widowControl/>
              <w:tabs>
                <w:tab w:val="center" w:pos="4680"/>
              </w:tabs>
              <w:suppressAutoHyphens/>
              <w:jc w:val="left"/>
              <w:rPr>
                <w:b/>
              </w:rPr>
            </w:pPr>
            <w:r>
              <w:rPr>
                <w:b/>
              </w:rPr>
              <w:t>)</w:t>
            </w:r>
          </w:p>
          <w:p w14:paraId="4849C049" w14:textId="77777777" w:rsidR="00353DED" w:rsidRDefault="00353DED">
            <w:pPr>
              <w:keepNext/>
              <w:widowControl/>
              <w:tabs>
                <w:tab w:val="center" w:pos="4680"/>
              </w:tabs>
              <w:suppressAutoHyphens/>
              <w:jc w:val="left"/>
              <w:rPr>
                <w:b/>
              </w:rPr>
            </w:pPr>
            <w:r>
              <w:rPr>
                <w:b/>
              </w:rPr>
              <w:t>)</w:t>
            </w:r>
          </w:p>
          <w:p w14:paraId="506295BF" w14:textId="77777777" w:rsidR="00353DED" w:rsidRDefault="00353DED">
            <w:pPr>
              <w:keepNext/>
              <w:widowControl/>
              <w:tabs>
                <w:tab w:val="center" w:pos="4680"/>
              </w:tabs>
              <w:suppressAutoHyphens/>
              <w:jc w:val="left"/>
              <w:rPr>
                <w:b/>
              </w:rPr>
            </w:pPr>
            <w:r>
              <w:rPr>
                <w:b/>
              </w:rPr>
              <w:t>)</w:t>
            </w:r>
          </w:p>
        </w:tc>
        <w:tc>
          <w:tcPr>
            <w:tcW w:w="4248" w:type="dxa"/>
          </w:tcPr>
          <w:p w14:paraId="7117A96F" w14:textId="77777777" w:rsidR="00353DED" w:rsidRDefault="00353DED">
            <w:pPr>
              <w:keepNext/>
              <w:widowControl/>
              <w:tabs>
                <w:tab w:val="center" w:pos="4680"/>
              </w:tabs>
              <w:suppressAutoHyphens/>
              <w:jc w:val="left"/>
            </w:pPr>
          </w:p>
          <w:p w14:paraId="33CBFA7D" w14:textId="77777777" w:rsidR="00353DED" w:rsidRDefault="00353DED">
            <w:pPr>
              <w:keepNext/>
              <w:widowControl/>
              <w:tabs>
                <w:tab w:val="center" w:pos="4680"/>
              </w:tabs>
              <w:suppressAutoHyphens/>
              <w:jc w:val="left"/>
            </w:pPr>
          </w:p>
          <w:p w14:paraId="33556E4B" w14:textId="77777777" w:rsidR="00353DED" w:rsidRDefault="00353DED" w:rsidP="00DA3A4F">
            <w:pPr>
              <w:keepNext/>
              <w:widowControl/>
              <w:tabs>
                <w:tab w:val="center" w:pos="4680"/>
              </w:tabs>
              <w:suppressAutoHyphens/>
              <w:jc w:val="left"/>
            </w:pPr>
            <w:r>
              <w:t>WC Docket No. 1</w:t>
            </w:r>
            <w:r w:rsidR="00DA3A4F">
              <w:t>5-298</w:t>
            </w:r>
          </w:p>
        </w:tc>
      </w:tr>
    </w:tbl>
    <w:p w14:paraId="77B7BFD8" w14:textId="77777777" w:rsidR="00353DED" w:rsidRDefault="00353DED">
      <w:pPr>
        <w:keepNext/>
        <w:widowControl/>
        <w:jc w:val="left"/>
      </w:pPr>
    </w:p>
    <w:p w14:paraId="5F47B2FC" w14:textId="77777777" w:rsidR="00353DED" w:rsidRDefault="00353DED">
      <w:pPr>
        <w:pStyle w:val="Heading1"/>
        <w:widowControl/>
        <w:numPr>
          <w:ilvl w:val="0"/>
          <w:numId w:val="0"/>
        </w:numPr>
      </w:pPr>
      <w:r>
        <w:t>order</w:t>
      </w:r>
    </w:p>
    <w:p w14:paraId="5CAA4E94" w14:textId="69F89E3A" w:rsidR="00353DED" w:rsidRDefault="00353DED">
      <w:pPr>
        <w:keepNext/>
        <w:widowControl/>
        <w:tabs>
          <w:tab w:val="left" w:pos="720"/>
          <w:tab w:val="left" w:pos="5760"/>
        </w:tabs>
        <w:suppressAutoHyphens/>
        <w:spacing w:line="227" w:lineRule="auto"/>
        <w:jc w:val="left"/>
      </w:pPr>
      <w:r>
        <w:rPr>
          <w:b/>
        </w:rPr>
        <w:t xml:space="preserve">Adopted: </w:t>
      </w:r>
      <w:r w:rsidR="00D03B91">
        <w:rPr>
          <w:b/>
        </w:rPr>
        <w:t>December</w:t>
      </w:r>
      <w:r w:rsidR="00123E8A">
        <w:rPr>
          <w:b/>
        </w:rPr>
        <w:t xml:space="preserve"> </w:t>
      </w:r>
      <w:r w:rsidR="004301C8">
        <w:rPr>
          <w:b/>
        </w:rPr>
        <w:t>16</w:t>
      </w:r>
      <w:r>
        <w:rPr>
          <w:b/>
        </w:rPr>
        <w:t>, 201</w:t>
      </w:r>
      <w:r w:rsidR="00DA3A4F">
        <w:rPr>
          <w:b/>
        </w:rPr>
        <w:t>6</w:t>
      </w:r>
      <w:r>
        <w:rPr>
          <w:b/>
        </w:rPr>
        <w:tab/>
      </w:r>
      <w:r>
        <w:rPr>
          <w:b/>
        </w:rPr>
        <w:tab/>
      </w:r>
      <w:r>
        <w:rPr>
          <w:b/>
        </w:rPr>
        <w:tab/>
        <w:t xml:space="preserve">Released: </w:t>
      </w:r>
      <w:r w:rsidR="004301C8">
        <w:rPr>
          <w:b/>
        </w:rPr>
        <w:t>December 16</w:t>
      </w:r>
      <w:r>
        <w:rPr>
          <w:b/>
        </w:rPr>
        <w:t>, 201</w:t>
      </w:r>
      <w:r w:rsidR="00DA3A4F">
        <w:rPr>
          <w:b/>
        </w:rPr>
        <w:t>6</w:t>
      </w:r>
    </w:p>
    <w:p w14:paraId="0C95663A" w14:textId="77777777" w:rsidR="00353DED" w:rsidRDefault="00353DED">
      <w:pPr>
        <w:keepNext/>
        <w:widowControl/>
        <w:jc w:val="left"/>
      </w:pPr>
    </w:p>
    <w:p w14:paraId="5A7F661B" w14:textId="77777777" w:rsidR="00353DED" w:rsidRDefault="00353DED">
      <w:pPr>
        <w:keepNext/>
        <w:widowControl/>
        <w:jc w:val="left"/>
      </w:pPr>
      <w:r>
        <w:t>By the Chief, Pricing Policy Division</w:t>
      </w:r>
      <w:r w:rsidR="005F53F7">
        <w:t>, Wireline Competition Bureau</w:t>
      </w:r>
      <w:r>
        <w:t>:</w:t>
      </w:r>
    </w:p>
    <w:p w14:paraId="647D0BFF" w14:textId="77777777" w:rsidR="00353DED" w:rsidRDefault="00353DED">
      <w:pPr>
        <w:keepNext/>
        <w:widowControl/>
        <w:jc w:val="left"/>
      </w:pPr>
    </w:p>
    <w:p w14:paraId="2C422EF2" w14:textId="77777777" w:rsidR="00AE4BFA" w:rsidRPr="00AE4BFA" w:rsidRDefault="00421E2F" w:rsidP="006A704A">
      <w:pPr>
        <w:pStyle w:val="ParaNum"/>
        <w:jc w:val="left"/>
        <w:rPr>
          <w:szCs w:val="22"/>
        </w:rPr>
      </w:pPr>
      <w:r>
        <w:t xml:space="preserve">  </w:t>
      </w:r>
      <w:r w:rsidR="006A704A" w:rsidRPr="00B10D3F">
        <w:t>On</w:t>
      </w:r>
      <w:r>
        <w:t xml:space="preserve"> November 30</w:t>
      </w:r>
      <w:r w:rsidR="006A704A" w:rsidRPr="00B10D3F">
        <w:t>,</w:t>
      </w:r>
      <w:r>
        <w:t xml:space="preserve"> 2016, </w:t>
      </w:r>
      <w:r w:rsidR="00EA26BF">
        <w:t>the National Exchange Carrier Association (</w:t>
      </w:r>
      <w:r w:rsidR="0073748E">
        <w:t>NECA</w:t>
      </w:r>
      <w:r w:rsidR="00EA26BF">
        <w:t>)</w:t>
      </w:r>
      <w:r w:rsidR="0073748E">
        <w:t xml:space="preserve"> </w:t>
      </w:r>
      <w:r w:rsidR="006A704A" w:rsidRPr="00B10D3F">
        <w:t xml:space="preserve">filed proposed </w:t>
      </w:r>
      <w:r w:rsidR="00267554">
        <w:t xml:space="preserve">interim </w:t>
      </w:r>
      <w:r w:rsidR="006A704A" w:rsidRPr="00B10D3F">
        <w:t>modification</w:t>
      </w:r>
      <w:r w:rsidR="0007029C">
        <w:t>s</w:t>
      </w:r>
      <w:r w:rsidR="006A704A" w:rsidRPr="00B10D3F">
        <w:t xml:space="preserve"> </w:t>
      </w:r>
      <w:r w:rsidR="00AE4BFA">
        <w:t>to</w:t>
      </w:r>
      <w:r w:rsidR="006A704A" w:rsidRPr="00B10D3F">
        <w:t xml:space="preserve"> </w:t>
      </w:r>
      <w:r w:rsidR="00A44FF8">
        <w:t>its 2016 average schedule formulas to be effective from January</w:t>
      </w:r>
      <w:r w:rsidR="00A44FF8" w:rsidRPr="00B10D3F">
        <w:t xml:space="preserve"> 1, 201</w:t>
      </w:r>
      <w:r w:rsidR="00A44FF8">
        <w:t>7, through June 30, 2017</w:t>
      </w:r>
      <w:r w:rsidR="006A704A" w:rsidRPr="00B10D3F">
        <w:t>.</w:t>
      </w:r>
      <w:r w:rsidR="006A704A" w:rsidRPr="00B10D3F">
        <w:rPr>
          <w:rStyle w:val="FootnoteReference"/>
          <w:color w:val="000000"/>
          <w:szCs w:val="22"/>
        </w:rPr>
        <w:footnoteReference w:id="2"/>
      </w:r>
      <w:r w:rsidR="006A704A" w:rsidRPr="00B10D3F">
        <w:t xml:space="preserve">  NECA </w:t>
      </w:r>
      <w:r w:rsidR="00183617">
        <w:t xml:space="preserve">seeks </w:t>
      </w:r>
      <w:r w:rsidR="006A704A" w:rsidRPr="00B10D3F">
        <w:t>to revise th</w:t>
      </w:r>
      <w:r w:rsidR="00183617">
        <w:t>e formulas</w:t>
      </w:r>
      <w:r w:rsidR="00A44FF8">
        <w:t xml:space="preserve"> to reflect the </w:t>
      </w:r>
      <w:r w:rsidR="00267554">
        <w:t xml:space="preserve">Commission’s </w:t>
      </w:r>
      <w:r w:rsidR="00A44FF8">
        <w:t xml:space="preserve">new limit on </w:t>
      </w:r>
      <w:r w:rsidR="00197C66">
        <w:t>O</w:t>
      </w:r>
      <w:r w:rsidR="00267554">
        <w:t xml:space="preserve">perating </w:t>
      </w:r>
      <w:r w:rsidR="00197C66">
        <w:t>E</w:t>
      </w:r>
      <w:r w:rsidR="00267554">
        <w:t xml:space="preserve">xpenses, </w:t>
      </w:r>
      <w:r w:rsidR="00A44FF8">
        <w:t>and new mechanism to recover b</w:t>
      </w:r>
      <w:r w:rsidR="00EA26BF">
        <w:t xml:space="preserve">roadband-only loop costs established in </w:t>
      </w:r>
      <w:r w:rsidR="00A44FF8">
        <w:t xml:space="preserve">the Commission’s </w:t>
      </w:r>
      <w:r w:rsidR="00A44FF8">
        <w:rPr>
          <w:i/>
        </w:rPr>
        <w:t>Rate of Return Reform Order</w:t>
      </w:r>
      <w:r w:rsidR="00197C66">
        <w:rPr>
          <w:i/>
        </w:rPr>
        <w:t>.</w:t>
      </w:r>
      <w:r w:rsidR="00197C66">
        <w:rPr>
          <w:rStyle w:val="FootnoteReference"/>
        </w:rPr>
        <w:footnoteReference w:id="3"/>
      </w:r>
      <w:r w:rsidR="00197C66">
        <w:t xml:space="preserve"> </w:t>
      </w:r>
      <w:r w:rsidR="00293E96">
        <w:t xml:space="preserve"> </w:t>
      </w:r>
      <w:r w:rsidR="00197C66">
        <w:t>NECA plans to utilize the revised formulas in its</w:t>
      </w:r>
      <w:r w:rsidR="00267554">
        <w:t xml:space="preserve"> </w:t>
      </w:r>
      <w:r w:rsidR="000241A7">
        <w:t>December 19, 2016</w:t>
      </w:r>
      <w:r w:rsidR="00293E96">
        <w:t xml:space="preserve"> tariff filing </w:t>
      </w:r>
      <w:r w:rsidR="00197C66">
        <w:t xml:space="preserve">implementing the </w:t>
      </w:r>
      <w:r w:rsidR="00197C66" w:rsidRPr="00095DC1">
        <w:rPr>
          <w:i/>
        </w:rPr>
        <w:t>Rate of Return Order</w:t>
      </w:r>
      <w:r w:rsidR="00293E96" w:rsidRPr="008B0F36">
        <w:t>.</w:t>
      </w:r>
      <w:r w:rsidR="00197C66">
        <w:rPr>
          <w:rStyle w:val="FootnoteReference"/>
        </w:rPr>
        <w:footnoteReference w:id="4"/>
      </w:r>
      <w:r w:rsidR="00B64A44">
        <w:t xml:space="preserve"> </w:t>
      </w:r>
      <w:r w:rsidR="008B0F36">
        <w:t xml:space="preserve"> </w:t>
      </w:r>
      <w:r w:rsidR="00B64A44">
        <w:t xml:space="preserve">For the reasons set forth below, we approve the </w:t>
      </w:r>
      <w:r w:rsidR="006F5668">
        <w:t xml:space="preserve">interim </w:t>
      </w:r>
      <w:r w:rsidR="00B64A44">
        <w:t>average schedule</w:t>
      </w:r>
      <w:r w:rsidR="006F5668">
        <w:t xml:space="preserve"> modifications</w:t>
      </w:r>
      <w:r w:rsidR="00B64A44">
        <w:t xml:space="preserve"> as proposed by NECA on a conditional basis, subject to the tariff review process tha</w:t>
      </w:r>
      <w:r w:rsidR="00A1506B">
        <w:t>t will take place in connection</w:t>
      </w:r>
      <w:r w:rsidR="00B64A44">
        <w:t xml:space="preserve"> with </w:t>
      </w:r>
      <w:r w:rsidR="002D5A46">
        <w:t>the</w:t>
      </w:r>
      <w:r w:rsidR="00B64A44">
        <w:t xml:space="preserve"> tariff filing.</w:t>
      </w:r>
      <w:r w:rsidR="00D83D19">
        <w:rPr>
          <w:rStyle w:val="FootnoteReference"/>
        </w:rPr>
        <w:footnoteReference w:id="5"/>
      </w:r>
    </w:p>
    <w:p w14:paraId="020FD6AE" w14:textId="4000DC28" w:rsidR="00353DED" w:rsidRPr="00124579" w:rsidRDefault="006F5668" w:rsidP="008B0F36">
      <w:pPr>
        <w:pStyle w:val="ParaNum"/>
        <w:ind w:left="86"/>
        <w:jc w:val="left"/>
        <w:rPr>
          <w:szCs w:val="22"/>
        </w:rPr>
      </w:pPr>
      <w:r>
        <w:rPr>
          <w:szCs w:val="22"/>
        </w:rPr>
        <w:t xml:space="preserve">NECA’s proposal to modify its average schedule formulas on an interim basis derives from </w:t>
      </w:r>
      <w:r>
        <w:rPr>
          <w:i/>
          <w:szCs w:val="22"/>
        </w:rPr>
        <w:t xml:space="preserve">Rate of Return </w:t>
      </w:r>
      <w:r w:rsidR="009A11F3">
        <w:rPr>
          <w:i/>
          <w:iCs/>
          <w:szCs w:val="22"/>
        </w:rPr>
        <w:t>Reform</w:t>
      </w:r>
      <w:r w:rsidRPr="00F910CE">
        <w:rPr>
          <w:i/>
          <w:iCs/>
          <w:szCs w:val="22"/>
        </w:rPr>
        <w:t xml:space="preserve"> Order</w:t>
      </w:r>
      <w:r>
        <w:rPr>
          <w:iCs/>
          <w:szCs w:val="22"/>
        </w:rPr>
        <w:t xml:space="preserve"> implementation requirements that</w:t>
      </w:r>
      <w:r w:rsidR="000241A7">
        <w:rPr>
          <w:iCs/>
          <w:szCs w:val="22"/>
        </w:rPr>
        <w:t xml:space="preserve"> necessitate a December 19, 2016</w:t>
      </w:r>
      <w:r>
        <w:rPr>
          <w:iCs/>
          <w:szCs w:val="22"/>
        </w:rPr>
        <w:t xml:space="preserve"> tariff filing.</w:t>
      </w:r>
      <w:r w:rsidR="00AE4BFA">
        <w:rPr>
          <w:rStyle w:val="FootnoteReference"/>
          <w:iCs/>
          <w:szCs w:val="22"/>
        </w:rPr>
        <w:footnoteReference w:id="6"/>
      </w:r>
      <w:r>
        <w:rPr>
          <w:iCs/>
          <w:szCs w:val="22"/>
        </w:rPr>
        <w:t xml:space="preserve">  </w:t>
      </w:r>
      <w:r w:rsidR="00124579">
        <w:rPr>
          <w:szCs w:val="22"/>
        </w:rPr>
        <w:t xml:space="preserve">NECA </w:t>
      </w:r>
      <w:r w:rsidR="00197C66">
        <w:rPr>
          <w:szCs w:val="22"/>
        </w:rPr>
        <w:t>explains</w:t>
      </w:r>
      <w:r w:rsidR="00124579">
        <w:rPr>
          <w:szCs w:val="22"/>
        </w:rPr>
        <w:t xml:space="preserve"> t</w:t>
      </w:r>
      <w:r w:rsidR="001F7A39" w:rsidRPr="00F910CE">
        <w:rPr>
          <w:szCs w:val="22"/>
        </w:rPr>
        <w:t xml:space="preserve">he </w:t>
      </w:r>
      <w:r w:rsidR="00487114">
        <w:rPr>
          <w:i/>
          <w:szCs w:val="22"/>
        </w:rPr>
        <w:t xml:space="preserve">Rate of Return </w:t>
      </w:r>
      <w:r w:rsidR="009A11F3">
        <w:rPr>
          <w:i/>
          <w:iCs/>
          <w:szCs w:val="22"/>
        </w:rPr>
        <w:t>Reform</w:t>
      </w:r>
      <w:r w:rsidR="001F7A39" w:rsidRPr="00F910CE">
        <w:rPr>
          <w:i/>
          <w:iCs/>
          <w:szCs w:val="22"/>
        </w:rPr>
        <w:t xml:space="preserve"> Order </w:t>
      </w:r>
      <w:r w:rsidR="001F7A39" w:rsidRPr="00F910CE">
        <w:rPr>
          <w:szCs w:val="22"/>
        </w:rPr>
        <w:t>expands the Interstate Common Line Support (ICLS) mechanism to the Connect America Fund Broadband Loop Support (CAF BLS) to recover consumer broadband loop costs, which requires the amount equal to Data-Only Loop revenue requirement to be shifted from the Special Access cat</w:t>
      </w:r>
      <w:r w:rsidR="003B75F7">
        <w:rPr>
          <w:szCs w:val="22"/>
        </w:rPr>
        <w:t xml:space="preserve">egory to the Consumer Broadband Only Loop </w:t>
      </w:r>
      <w:r w:rsidR="003B75F7">
        <w:rPr>
          <w:szCs w:val="22"/>
        </w:rPr>
        <w:lastRenderedPageBreak/>
        <w:t>(CBOL) category</w:t>
      </w:r>
      <w:r w:rsidR="001F7A39" w:rsidRPr="00F910CE">
        <w:rPr>
          <w:szCs w:val="22"/>
        </w:rPr>
        <w:t>.  NECA proposes to</w:t>
      </w:r>
      <w:r w:rsidR="00124579">
        <w:rPr>
          <w:szCs w:val="22"/>
        </w:rPr>
        <w:t xml:space="preserve"> comply with these requirements by</w:t>
      </w:r>
      <w:r w:rsidR="001F7A39" w:rsidRPr="00F910CE">
        <w:rPr>
          <w:szCs w:val="22"/>
        </w:rPr>
        <w:t xml:space="preserve"> mov</w:t>
      </w:r>
      <w:r w:rsidR="00124579">
        <w:rPr>
          <w:szCs w:val="22"/>
        </w:rPr>
        <w:t>ing</w:t>
      </w:r>
      <w:r w:rsidR="001F7A39" w:rsidRPr="00F910CE">
        <w:rPr>
          <w:szCs w:val="22"/>
        </w:rPr>
        <w:t xml:space="preserve"> the current Data-Only Line Cost Increment formula and the Data-Only component of the current DSL Basic formula net of Second Mile costs to the new </w:t>
      </w:r>
      <w:r w:rsidR="000C6803">
        <w:rPr>
          <w:szCs w:val="22"/>
        </w:rPr>
        <w:t>CBOL</w:t>
      </w:r>
      <w:r w:rsidR="001F7A39" w:rsidRPr="00F910CE">
        <w:rPr>
          <w:szCs w:val="22"/>
        </w:rPr>
        <w:t xml:space="preserve"> settlement formula.</w:t>
      </w:r>
      <w:r w:rsidR="00124579">
        <w:rPr>
          <w:rStyle w:val="FootnoteReference"/>
          <w:szCs w:val="22"/>
        </w:rPr>
        <w:footnoteReference w:id="7"/>
      </w:r>
      <w:r w:rsidR="001F7A39" w:rsidRPr="00F910CE">
        <w:rPr>
          <w:szCs w:val="22"/>
        </w:rPr>
        <w:t xml:space="preserve"> </w:t>
      </w:r>
      <w:r w:rsidR="00920C31">
        <w:rPr>
          <w:szCs w:val="22"/>
        </w:rPr>
        <w:t xml:space="preserve"> </w:t>
      </w:r>
      <w:r w:rsidR="001F7A39" w:rsidRPr="00F910CE">
        <w:rPr>
          <w:szCs w:val="22"/>
        </w:rPr>
        <w:t>The shifted amount is further adjusted by an Operating Expenses limit factor, which is also calculated in the filing.</w:t>
      </w:r>
      <w:r w:rsidR="001F7A39" w:rsidRPr="00F910CE">
        <w:rPr>
          <w:rStyle w:val="FootnoteReference"/>
          <w:szCs w:val="22"/>
        </w:rPr>
        <w:footnoteReference w:id="8"/>
      </w:r>
      <w:r w:rsidR="001F7A39" w:rsidRPr="00F910CE">
        <w:rPr>
          <w:szCs w:val="22"/>
        </w:rPr>
        <w:t xml:space="preserve">  </w:t>
      </w:r>
      <w:r w:rsidR="00111D1B" w:rsidRPr="00F910CE">
        <w:rPr>
          <w:szCs w:val="22"/>
        </w:rPr>
        <w:t>According to NECA, the overall impact on average schedule settlements from the formula revisions proposed in th</w:t>
      </w:r>
      <w:r w:rsidR="00124579">
        <w:rPr>
          <w:szCs w:val="22"/>
        </w:rPr>
        <w:t>e</w:t>
      </w:r>
      <w:r w:rsidR="00111D1B" w:rsidRPr="00F910CE">
        <w:rPr>
          <w:szCs w:val="22"/>
        </w:rPr>
        <w:t xml:space="preserve"> filing is a </w:t>
      </w:r>
      <w:r w:rsidR="00124579">
        <w:rPr>
          <w:szCs w:val="22"/>
        </w:rPr>
        <w:t>“</w:t>
      </w:r>
      <w:r w:rsidR="00124579">
        <w:rPr>
          <w:i/>
          <w:szCs w:val="22"/>
        </w:rPr>
        <w:t xml:space="preserve">de minimis </w:t>
      </w:r>
      <w:r w:rsidR="00111D1B" w:rsidRPr="00F910CE">
        <w:rPr>
          <w:szCs w:val="22"/>
        </w:rPr>
        <w:t>increase of less than 0.01%.</w:t>
      </w:r>
      <w:r w:rsidR="00124579">
        <w:rPr>
          <w:szCs w:val="22"/>
        </w:rPr>
        <w:t>”</w:t>
      </w:r>
      <w:r w:rsidR="001F7A39" w:rsidRPr="00F910CE">
        <w:rPr>
          <w:rStyle w:val="FootnoteReference"/>
          <w:szCs w:val="22"/>
        </w:rPr>
        <w:footnoteReference w:id="9"/>
      </w:r>
      <w:r w:rsidR="00111D1B" w:rsidRPr="00F910CE">
        <w:rPr>
          <w:szCs w:val="22"/>
        </w:rPr>
        <w:t xml:space="preserve"> </w:t>
      </w:r>
      <w:r w:rsidR="00A1506B">
        <w:rPr>
          <w:szCs w:val="22"/>
        </w:rPr>
        <w:t xml:space="preserve"> </w:t>
      </w:r>
      <w:r w:rsidR="00B253EE" w:rsidRPr="00F910CE">
        <w:rPr>
          <w:szCs w:val="22"/>
        </w:rPr>
        <w:t>NECA states that this increase is due to an introduction of the Second Mile settlement formula</w:t>
      </w:r>
      <w:r w:rsidR="00A1506B">
        <w:rPr>
          <w:szCs w:val="22"/>
        </w:rPr>
        <w:t>,</w:t>
      </w:r>
      <w:r w:rsidR="00B253EE" w:rsidRPr="00F910CE">
        <w:rPr>
          <w:szCs w:val="22"/>
        </w:rPr>
        <w:t xml:space="preserve"> which is not completely offset by the reduction of $0.74 per data-only line for the removal of Second Mile costs embedded in the current Data-Only formula.</w:t>
      </w:r>
      <w:r w:rsidR="00B253EE" w:rsidRPr="00F910CE">
        <w:rPr>
          <w:rStyle w:val="FootnoteReference"/>
          <w:szCs w:val="22"/>
        </w:rPr>
        <w:t xml:space="preserve"> </w:t>
      </w:r>
      <w:r w:rsidR="00B253EE" w:rsidRPr="00F910CE">
        <w:rPr>
          <w:rStyle w:val="FootnoteReference"/>
          <w:szCs w:val="22"/>
        </w:rPr>
        <w:footnoteReference w:id="10"/>
      </w:r>
      <w:r w:rsidR="006A704A" w:rsidRPr="00487114">
        <w:rPr>
          <w:szCs w:val="22"/>
        </w:rPr>
        <w:t xml:space="preserve">  </w:t>
      </w:r>
      <w:r>
        <w:rPr>
          <w:szCs w:val="22"/>
        </w:rPr>
        <w:t xml:space="preserve">Further, NECA states that the interim average schedule modifications are necessary to </w:t>
      </w:r>
      <w:r w:rsidR="00914285">
        <w:rPr>
          <w:szCs w:val="22"/>
        </w:rPr>
        <w:t>calculate its common line and traffic sensitive pool settlements to average schedule companies for the first six months of the 2017 calendar year.</w:t>
      </w:r>
      <w:r w:rsidR="00914285">
        <w:rPr>
          <w:rStyle w:val="FootnoteReference"/>
          <w:szCs w:val="22"/>
        </w:rPr>
        <w:footnoteReference w:id="11"/>
      </w:r>
    </w:p>
    <w:p w14:paraId="34AB7FBE" w14:textId="0CD4B22D" w:rsidR="00353DED" w:rsidRPr="00B64A44" w:rsidRDefault="00B64A44" w:rsidP="008B0F36">
      <w:pPr>
        <w:pStyle w:val="ParaNum"/>
        <w:widowControl/>
        <w:ind w:left="86"/>
        <w:jc w:val="left"/>
        <w:rPr>
          <w:b/>
          <w:szCs w:val="22"/>
        </w:rPr>
      </w:pPr>
      <w:r>
        <w:rPr>
          <w:szCs w:val="22"/>
        </w:rPr>
        <w:t xml:space="preserve">We have reviewed NECA’s </w:t>
      </w:r>
      <w:r w:rsidR="00A1506B">
        <w:rPr>
          <w:szCs w:val="22"/>
        </w:rPr>
        <w:t xml:space="preserve">proposed </w:t>
      </w:r>
      <w:r>
        <w:rPr>
          <w:szCs w:val="22"/>
        </w:rPr>
        <w:t xml:space="preserve">filing and approve </w:t>
      </w:r>
      <w:r w:rsidR="00AE4BFA">
        <w:rPr>
          <w:szCs w:val="22"/>
        </w:rPr>
        <w:t>the interim formulas</w:t>
      </w:r>
      <w:r>
        <w:rPr>
          <w:szCs w:val="22"/>
        </w:rPr>
        <w:t xml:space="preserve"> on a conditional basis, subject to the tariff review process</w:t>
      </w:r>
      <w:r>
        <w:t xml:space="preserve"> that will take place in conjuncti</w:t>
      </w:r>
      <w:r w:rsidR="000241A7">
        <w:t>on with NECA’s December 19, 2016</w:t>
      </w:r>
      <w:r>
        <w:t xml:space="preserve"> tariff filing</w:t>
      </w:r>
      <w:r w:rsidR="009A11F3">
        <w:t xml:space="preserve">. </w:t>
      </w:r>
      <w:r w:rsidR="00197C66">
        <w:t xml:space="preserve"> The conditional nature of the approval will expire </w:t>
      </w:r>
      <w:r w:rsidR="00D83D19">
        <w:t xml:space="preserve">as of January 3, 2017, unless the </w:t>
      </w:r>
      <w:r w:rsidR="00C90158">
        <w:t>Bureau</w:t>
      </w:r>
      <w:r w:rsidR="00D77423">
        <w:t xml:space="preserve"> </w:t>
      </w:r>
      <w:r w:rsidR="00D83D19">
        <w:t>takes action to suspend or reject the</w:t>
      </w:r>
      <w:r w:rsidR="00EA26BF">
        <w:t xml:space="preserve"> December tariff</w:t>
      </w:r>
      <w:r w:rsidR="00D83D19">
        <w:t xml:space="preserve"> filing.  </w:t>
      </w:r>
      <w:r w:rsidR="007605EA">
        <w:t>We note that a</w:t>
      </w:r>
      <w:r w:rsidR="009A11F3">
        <w:t>lthough public comment is ordinar</w:t>
      </w:r>
      <w:r w:rsidR="002D5A46">
        <w:t>ily</w:t>
      </w:r>
      <w:r w:rsidR="009A11F3">
        <w:t xml:space="preserve"> sought prior to Bureau action on average schedule</w:t>
      </w:r>
      <w:r w:rsidR="00A1506B">
        <w:t xml:space="preserve"> formula</w:t>
      </w:r>
      <w:r w:rsidR="009A11F3">
        <w:t xml:space="preserve"> modification requests</w:t>
      </w:r>
      <w:r w:rsidR="00A155BC">
        <w:t>,</w:t>
      </w:r>
      <w:r w:rsidR="009A11F3">
        <w:rPr>
          <w:rStyle w:val="FootnoteReference"/>
        </w:rPr>
        <w:footnoteReference w:id="12"/>
      </w:r>
      <w:r w:rsidR="009A11F3">
        <w:t xml:space="preserve"> </w:t>
      </w:r>
      <w:r w:rsidR="007605EA">
        <w:t xml:space="preserve">given the need to act on the </w:t>
      </w:r>
      <w:r w:rsidR="007F0EF6">
        <w:t>modification r</w:t>
      </w:r>
      <w:r w:rsidR="007605EA">
        <w:t xml:space="preserve">equests quickly to enable </w:t>
      </w:r>
      <w:r w:rsidR="00920C31">
        <w:rPr>
          <w:iCs/>
          <w:szCs w:val="22"/>
        </w:rPr>
        <w:t xml:space="preserve">the upcoming </w:t>
      </w:r>
      <w:r w:rsidR="000241A7">
        <w:rPr>
          <w:iCs/>
          <w:szCs w:val="22"/>
        </w:rPr>
        <w:t>December 19, 2016</w:t>
      </w:r>
      <w:r w:rsidR="009A11F3">
        <w:rPr>
          <w:iCs/>
          <w:szCs w:val="22"/>
        </w:rPr>
        <w:t xml:space="preserve"> tariff </w:t>
      </w:r>
      <w:r w:rsidR="0049551E">
        <w:rPr>
          <w:iCs/>
          <w:szCs w:val="22"/>
        </w:rPr>
        <w:t>filing</w:t>
      </w:r>
      <w:r w:rsidR="00920C31">
        <w:rPr>
          <w:iCs/>
          <w:szCs w:val="22"/>
        </w:rPr>
        <w:t xml:space="preserve"> required by</w:t>
      </w:r>
      <w:r w:rsidR="00197C66">
        <w:rPr>
          <w:iCs/>
          <w:szCs w:val="22"/>
        </w:rPr>
        <w:t xml:space="preserve"> the</w:t>
      </w:r>
      <w:r w:rsidR="00920C31">
        <w:rPr>
          <w:iCs/>
          <w:szCs w:val="22"/>
        </w:rPr>
        <w:t xml:space="preserve"> </w:t>
      </w:r>
      <w:r w:rsidR="00920C31">
        <w:rPr>
          <w:i/>
          <w:iCs/>
          <w:szCs w:val="22"/>
        </w:rPr>
        <w:t xml:space="preserve">Rate of Return Order </w:t>
      </w:r>
      <w:r w:rsidR="00920C31">
        <w:rPr>
          <w:iCs/>
          <w:szCs w:val="22"/>
        </w:rPr>
        <w:t>implementation</w:t>
      </w:r>
      <w:r w:rsidR="007605EA">
        <w:rPr>
          <w:iCs/>
          <w:szCs w:val="22"/>
        </w:rPr>
        <w:t xml:space="preserve">, we must </w:t>
      </w:r>
      <w:r w:rsidR="00E64338">
        <w:rPr>
          <w:iCs/>
          <w:szCs w:val="22"/>
        </w:rPr>
        <w:t xml:space="preserve">modify our </w:t>
      </w:r>
      <w:r w:rsidR="007605EA">
        <w:rPr>
          <w:iCs/>
          <w:szCs w:val="22"/>
        </w:rPr>
        <w:t>process.  I</w:t>
      </w:r>
      <w:r w:rsidR="0049551E">
        <w:rPr>
          <w:iCs/>
          <w:szCs w:val="22"/>
        </w:rPr>
        <w:t>nter</w:t>
      </w:r>
      <w:r w:rsidR="00EA26BF">
        <w:rPr>
          <w:iCs/>
          <w:szCs w:val="22"/>
        </w:rPr>
        <w:t xml:space="preserve">ested parties may </w:t>
      </w:r>
      <w:r w:rsidR="00D77423">
        <w:rPr>
          <w:iCs/>
          <w:szCs w:val="22"/>
        </w:rPr>
        <w:t xml:space="preserve">file petitions relating to the tariff filing </w:t>
      </w:r>
      <w:r w:rsidR="0049551E">
        <w:rPr>
          <w:iCs/>
          <w:szCs w:val="22"/>
        </w:rPr>
        <w:t>in accordance with applicable rules</w:t>
      </w:r>
      <w:r w:rsidR="00D77423">
        <w:rPr>
          <w:iCs/>
          <w:szCs w:val="22"/>
        </w:rPr>
        <w:t xml:space="preserve"> </w:t>
      </w:r>
      <w:r w:rsidR="0049551E">
        <w:rPr>
          <w:iCs/>
          <w:szCs w:val="22"/>
        </w:rPr>
        <w:t xml:space="preserve">prior to the January 3, 2017 </w:t>
      </w:r>
      <w:r w:rsidR="00EA26BF">
        <w:rPr>
          <w:iCs/>
          <w:szCs w:val="22"/>
        </w:rPr>
        <w:t xml:space="preserve">scheduled </w:t>
      </w:r>
      <w:r w:rsidR="0049551E">
        <w:rPr>
          <w:iCs/>
          <w:szCs w:val="22"/>
        </w:rPr>
        <w:t>tariff effective date.</w:t>
      </w:r>
      <w:r w:rsidR="0049551E">
        <w:rPr>
          <w:rStyle w:val="FootnoteReference"/>
          <w:iCs/>
          <w:szCs w:val="22"/>
        </w:rPr>
        <w:footnoteReference w:id="13"/>
      </w:r>
    </w:p>
    <w:p w14:paraId="32506E26" w14:textId="77777777" w:rsidR="00353DED" w:rsidRDefault="00353DED" w:rsidP="008B0F36">
      <w:pPr>
        <w:pStyle w:val="ParaNum"/>
        <w:widowControl/>
        <w:ind w:left="86"/>
        <w:jc w:val="left"/>
      </w:pPr>
      <w:r>
        <w:t xml:space="preserve">Accordingly, IT IS ORDERED, </w:t>
      </w:r>
      <w:r w:rsidR="00874B31">
        <w:t xml:space="preserve">pursuant to sections 0.91, 0.291, and 69.606(a) of the Commission’s rules, 47 CFR §§ 0.91, 0.291, and 69.606(a), that the </w:t>
      </w:r>
      <w:r w:rsidR="0007029C">
        <w:t xml:space="preserve">interim </w:t>
      </w:r>
      <w:r w:rsidR="00874B31">
        <w:t>average schedule formulas proposed by the National Exchange Carrier Associa</w:t>
      </w:r>
      <w:r w:rsidR="0007029C">
        <w:t>tion, Inc., on November 30, 2016, SHALL BECOME EFFECTIVE</w:t>
      </w:r>
      <w:r w:rsidR="00F70676">
        <w:t xml:space="preserve"> on a conditional basis</w:t>
      </w:r>
      <w:r w:rsidR="0007029C">
        <w:t xml:space="preserve"> </w:t>
      </w:r>
      <w:r w:rsidR="00A1506B">
        <w:t xml:space="preserve">on </w:t>
      </w:r>
      <w:r w:rsidR="0007029C">
        <w:t>January 1, 2017</w:t>
      </w:r>
      <w:r w:rsidR="00874B31">
        <w:t>, and remain in effect through June 30, 2017</w:t>
      </w:r>
      <w:r>
        <w:t>.</w:t>
      </w:r>
    </w:p>
    <w:p w14:paraId="529E7548" w14:textId="77777777" w:rsidR="00353DED" w:rsidRDefault="00353DED" w:rsidP="001427FF">
      <w:pPr>
        <w:pStyle w:val="ParaNum"/>
        <w:widowControl/>
        <w:spacing w:after="120"/>
        <w:ind w:left="86"/>
        <w:jc w:val="left"/>
      </w:pPr>
      <w:r>
        <w:t>I</w:t>
      </w:r>
      <w:r w:rsidR="00474DB6">
        <w:t>T IS FURTHER ORDERED</w:t>
      </w:r>
      <w:r w:rsidR="00146799">
        <w:t xml:space="preserve">, pursuant to section 1.102(b) of the Commission’s rules, 47 CFR § 1.102(b), </w:t>
      </w:r>
      <w:r w:rsidR="00474DB6">
        <w:t>that this O</w:t>
      </w:r>
      <w:r>
        <w:t>rder SHALL BE EFFECTIVE upon release.</w:t>
      </w:r>
    </w:p>
    <w:p w14:paraId="19B7E878" w14:textId="77777777" w:rsidR="00353DED" w:rsidRPr="00EF5E4E" w:rsidRDefault="00353DED" w:rsidP="00EF5E4E">
      <w:pPr>
        <w:widowControl/>
        <w:ind w:left="4320"/>
        <w:jc w:val="left"/>
        <w:rPr>
          <w:color w:val="000000"/>
        </w:rPr>
      </w:pPr>
      <w:r>
        <w:rPr>
          <w:color w:val="000000"/>
        </w:rPr>
        <w:t>FEDERAL COMMUNICATIONS COMMISSION</w:t>
      </w:r>
    </w:p>
    <w:p w14:paraId="3F5DFA5E" w14:textId="77777777" w:rsidR="00353DED" w:rsidRDefault="00353DED" w:rsidP="00EF5E4E">
      <w:pPr>
        <w:widowControl/>
        <w:jc w:val="left"/>
      </w:pPr>
    </w:p>
    <w:p w14:paraId="135AB986" w14:textId="77777777" w:rsidR="003C08FB" w:rsidRDefault="003C08FB" w:rsidP="00EF5E4E">
      <w:pPr>
        <w:widowControl/>
        <w:jc w:val="left"/>
      </w:pPr>
    </w:p>
    <w:p w14:paraId="1A8C0733" w14:textId="77777777" w:rsidR="001D0DB3" w:rsidRDefault="001D0DB3">
      <w:pPr>
        <w:widowControl/>
        <w:ind w:left="4320"/>
        <w:jc w:val="left"/>
      </w:pPr>
    </w:p>
    <w:p w14:paraId="0DD73552" w14:textId="77777777" w:rsidR="001F4B18" w:rsidRDefault="001F4B18">
      <w:pPr>
        <w:widowControl/>
        <w:ind w:left="4320"/>
        <w:jc w:val="left"/>
      </w:pPr>
    </w:p>
    <w:p w14:paraId="08FCE7E1" w14:textId="77777777" w:rsidR="00353DED" w:rsidRDefault="006A704A">
      <w:pPr>
        <w:widowControl/>
        <w:ind w:left="4320"/>
        <w:jc w:val="left"/>
        <w:rPr>
          <w:color w:val="000000"/>
        </w:rPr>
      </w:pPr>
      <w:r>
        <w:t xml:space="preserve">Pamela </w:t>
      </w:r>
      <w:r w:rsidR="007E13FA">
        <w:t xml:space="preserve">S. </w:t>
      </w:r>
      <w:r>
        <w:t>Arluk</w:t>
      </w:r>
      <w:r w:rsidR="00353DED">
        <w:t xml:space="preserve"> </w:t>
      </w:r>
    </w:p>
    <w:p w14:paraId="7A9A688D" w14:textId="0022E30F" w:rsidR="00353DED" w:rsidRDefault="00353DED">
      <w:pPr>
        <w:widowControl/>
        <w:ind w:left="4320"/>
        <w:jc w:val="left"/>
        <w:rPr>
          <w:color w:val="000000"/>
        </w:rPr>
      </w:pPr>
      <w:r>
        <w:rPr>
          <w:color w:val="000000"/>
        </w:rPr>
        <w:t>Chief</w:t>
      </w:r>
      <w:r w:rsidR="001F4B18">
        <w:rPr>
          <w:color w:val="000000"/>
        </w:rPr>
        <w:t xml:space="preserve">, </w:t>
      </w:r>
      <w:r>
        <w:rPr>
          <w:color w:val="000000"/>
        </w:rPr>
        <w:t>Pricing Policy Division</w:t>
      </w:r>
    </w:p>
    <w:p w14:paraId="10A9CFCD" w14:textId="77777777" w:rsidR="00DE5BDD" w:rsidRPr="0086402F" w:rsidRDefault="00353DED" w:rsidP="008B0F36">
      <w:pPr>
        <w:widowControl/>
        <w:ind w:left="4320"/>
        <w:jc w:val="left"/>
      </w:pPr>
      <w:r>
        <w:rPr>
          <w:color w:val="000000"/>
        </w:rPr>
        <w:t>Wireline Competition Bureau</w:t>
      </w:r>
      <w:r w:rsidR="0086402F">
        <w:tab/>
      </w:r>
    </w:p>
    <w:sectPr w:rsidR="00DE5BDD" w:rsidRPr="0086402F">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08298" w14:textId="77777777" w:rsidR="00CC2653" w:rsidRDefault="00CC2653">
      <w:pPr>
        <w:spacing w:line="20" w:lineRule="exact"/>
      </w:pPr>
    </w:p>
  </w:endnote>
  <w:endnote w:type="continuationSeparator" w:id="0">
    <w:p w14:paraId="15445DBD" w14:textId="77777777" w:rsidR="00CC2653" w:rsidRDefault="00CC2653">
      <w:r>
        <w:t xml:space="preserve"> </w:t>
      </w:r>
    </w:p>
  </w:endnote>
  <w:endnote w:type="continuationNotice" w:id="1">
    <w:p w14:paraId="21947C76" w14:textId="77777777" w:rsidR="00CC2653" w:rsidRDefault="00CC265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22B5A" w14:textId="77777777" w:rsidR="00353DED" w:rsidRDefault="00353DED">
    <w:pPr>
      <w:pStyle w:val="Footer"/>
      <w:framePr w:wrap="around" w:vAnchor="text" w:hAnchor="margin" w:xAlign="center" w:y="1"/>
    </w:pPr>
    <w:r>
      <w:fldChar w:fldCharType="begin"/>
    </w:r>
    <w:r>
      <w:instrText xml:space="preserve">PAGE  </w:instrText>
    </w:r>
    <w:r>
      <w:fldChar w:fldCharType="separate"/>
    </w:r>
    <w:r>
      <w:rPr>
        <w:noProof/>
      </w:rPr>
      <w:t>16</w:t>
    </w:r>
    <w:r>
      <w:fldChar w:fldCharType="end"/>
    </w:r>
  </w:p>
  <w:p w14:paraId="2BB61CCC" w14:textId="77777777" w:rsidR="00353DED" w:rsidRDefault="00353D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31905" w14:textId="77777777" w:rsidR="00353DED" w:rsidRPr="002742F2" w:rsidRDefault="00353DED">
    <w:pPr>
      <w:pStyle w:val="Footer"/>
      <w:jc w:val="center"/>
      <w:rPr>
        <w:szCs w:val="22"/>
      </w:rPr>
    </w:pPr>
    <w:r w:rsidRPr="002742F2">
      <w:rPr>
        <w:rStyle w:val="PageNumber"/>
        <w:szCs w:val="22"/>
      </w:rPr>
      <w:fldChar w:fldCharType="begin"/>
    </w:r>
    <w:r w:rsidRPr="002742F2">
      <w:rPr>
        <w:rStyle w:val="PageNumber"/>
        <w:szCs w:val="22"/>
      </w:rPr>
      <w:instrText xml:space="preserve"> PAGE </w:instrText>
    </w:r>
    <w:r w:rsidRPr="002742F2">
      <w:rPr>
        <w:rStyle w:val="PageNumber"/>
        <w:szCs w:val="22"/>
      </w:rPr>
      <w:fldChar w:fldCharType="separate"/>
    </w:r>
    <w:r w:rsidR="007037D2">
      <w:rPr>
        <w:rStyle w:val="PageNumber"/>
        <w:noProof/>
        <w:szCs w:val="22"/>
      </w:rPr>
      <w:t>2</w:t>
    </w:r>
    <w:r w:rsidRPr="002742F2">
      <w:rPr>
        <w:rStyle w:val="PageNumber"/>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3E678" w14:textId="77777777" w:rsidR="00353DED" w:rsidRDefault="00353DED">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53CFF" w14:textId="77777777" w:rsidR="00CC2653" w:rsidRDefault="00CC2653">
      <w:r>
        <w:separator/>
      </w:r>
    </w:p>
  </w:footnote>
  <w:footnote w:type="continuationSeparator" w:id="0">
    <w:p w14:paraId="360A1ADB" w14:textId="77777777" w:rsidR="00CC2653" w:rsidRDefault="00CC2653">
      <w:pPr>
        <w:rPr>
          <w:sz w:val="20"/>
        </w:rPr>
      </w:pPr>
      <w:r>
        <w:rPr>
          <w:sz w:val="20"/>
        </w:rPr>
        <w:t xml:space="preserve">(Continued from previous page)  </w:t>
      </w:r>
      <w:r>
        <w:rPr>
          <w:sz w:val="20"/>
        </w:rPr>
        <w:separator/>
      </w:r>
    </w:p>
  </w:footnote>
  <w:footnote w:type="continuationNotice" w:id="1">
    <w:p w14:paraId="08C5DFCB" w14:textId="77777777" w:rsidR="00CC2653" w:rsidRDefault="00CC2653">
      <w:pPr>
        <w:rPr>
          <w:sz w:val="20"/>
        </w:rPr>
      </w:pPr>
      <w:r>
        <w:rPr>
          <w:sz w:val="20"/>
        </w:rPr>
        <w:t>(continued….)</w:t>
      </w:r>
    </w:p>
  </w:footnote>
  <w:footnote w:id="2">
    <w:p w14:paraId="42A6FF7C" w14:textId="77777777" w:rsidR="006A704A" w:rsidRPr="0081082A" w:rsidRDefault="006A704A" w:rsidP="006A704A">
      <w:pPr>
        <w:pStyle w:val="FootnoteText"/>
        <w:spacing w:after="120"/>
      </w:pPr>
      <w:r w:rsidRPr="002250D8">
        <w:rPr>
          <w:rStyle w:val="FootnoteReference"/>
        </w:rPr>
        <w:footnoteRef/>
      </w:r>
      <w:r w:rsidRPr="002250D8">
        <w:rPr>
          <w:color w:val="000000"/>
        </w:rPr>
        <w:t xml:space="preserve"> </w:t>
      </w:r>
      <w:r w:rsidR="004F2C3E" w:rsidRPr="002250D8">
        <w:t>Letter from Richar</w:t>
      </w:r>
      <w:r w:rsidR="004F2C3E">
        <w:t xml:space="preserve">d A. Askoff, Executive Director, </w:t>
      </w:r>
      <w:r w:rsidR="004F2C3E" w:rsidRPr="002250D8">
        <w:t>Regulatory, NECA, to Marlene H. Dortch, Secretary, FCC, WC Docket No. 1</w:t>
      </w:r>
      <w:r w:rsidR="00421E2F">
        <w:t>5-298</w:t>
      </w:r>
      <w:r w:rsidR="004F2C3E">
        <w:t>, Attach</w:t>
      </w:r>
      <w:r w:rsidR="00682E95">
        <w:t>.</w:t>
      </w:r>
      <w:r w:rsidR="00487114">
        <w:t xml:space="preserve"> at 1</w:t>
      </w:r>
      <w:r w:rsidR="004F2C3E" w:rsidRPr="002250D8">
        <w:t xml:space="preserve"> (filed </w:t>
      </w:r>
      <w:r w:rsidR="00421E2F">
        <w:t>Nov. 30,</w:t>
      </w:r>
      <w:r w:rsidR="004F2C3E" w:rsidRPr="002250D8">
        <w:t xml:space="preserve"> 201</w:t>
      </w:r>
      <w:r w:rsidR="00421E2F">
        <w:t>6</w:t>
      </w:r>
      <w:r w:rsidR="004F2C3E" w:rsidRPr="002250D8">
        <w:t>)</w:t>
      </w:r>
      <w:r w:rsidR="004F2C3E">
        <w:t xml:space="preserve"> (</w:t>
      </w:r>
      <w:r w:rsidR="00421E2F">
        <w:t xml:space="preserve">NECA 2016 Proposed Interim </w:t>
      </w:r>
      <w:r w:rsidR="004F2C3E" w:rsidRPr="00146799">
        <w:t>Modification of Average Schedules</w:t>
      </w:r>
      <w:r w:rsidR="0081082A">
        <w:t xml:space="preserve">).  </w:t>
      </w:r>
      <w:r w:rsidR="0081082A">
        <w:rPr>
          <w:i/>
        </w:rPr>
        <w:t>See National Exchange Carrier Association, Inc. 2016 Modification of Averages Schedules</w:t>
      </w:r>
      <w:r w:rsidR="0081082A">
        <w:t xml:space="preserve">, Order, WC Docket No. 15-298, 31 FCC Rcd </w:t>
      </w:r>
      <w:r w:rsidR="00EF5E4E">
        <w:t>4354</w:t>
      </w:r>
      <w:r w:rsidR="0081082A">
        <w:t xml:space="preserve"> (</w:t>
      </w:r>
      <w:r w:rsidR="00AD5C0D">
        <w:t xml:space="preserve">WCB </w:t>
      </w:r>
      <w:r w:rsidR="0081082A">
        <w:t>2016)</w:t>
      </w:r>
      <w:r w:rsidR="00EF5E4E">
        <w:t xml:space="preserve"> (approving NECA modified </w:t>
      </w:r>
      <w:r w:rsidR="00EA26BF">
        <w:t xml:space="preserve">average schedule </w:t>
      </w:r>
      <w:r w:rsidR="00EF5E4E">
        <w:t xml:space="preserve">formulas </w:t>
      </w:r>
      <w:r w:rsidR="00EF5E4E" w:rsidRPr="00EF5E4E">
        <w:t>for the period beginning July 1, 2016, through June 30, 2017</w:t>
      </w:r>
      <w:r w:rsidR="00EF5E4E">
        <w:t>).</w:t>
      </w:r>
    </w:p>
  </w:footnote>
  <w:footnote w:id="3">
    <w:p w14:paraId="1BA406B9" w14:textId="77777777" w:rsidR="00197C66" w:rsidRPr="00487114" w:rsidRDefault="00197C66" w:rsidP="00197C66">
      <w:pPr>
        <w:widowControl/>
        <w:autoSpaceDE w:val="0"/>
        <w:autoSpaceDN w:val="0"/>
        <w:adjustRightInd w:val="0"/>
        <w:spacing w:after="120"/>
        <w:jc w:val="left"/>
        <w:rPr>
          <w:i/>
          <w:sz w:val="20"/>
        </w:rPr>
      </w:pPr>
      <w:r w:rsidRPr="00A44FF8">
        <w:rPr>
          <w:rStyle w:val="FootnoteReference"/>
          <w:sz w:val="20"/>
        </w:rPr>
        <w:footnoteRef/>
      </w:r>
      <w:r w:rsidRPr="00A44FF8">
        <w:rPr>
          <w:sz w:val="20"/>
        </w:rPr>
        <w:t xml:space="preserve"> </w:t>
      </w:r>
      <w:r>
        <w:rPr>
          <w:i/>
          <w:sz w:val="20"/>
        </w:rPr>
        <w:t xml:space="preserve">Id. </w:t>
      </w:r>
      <w:r>
        <w:rPr>
          <w:sz w:val="20"/>
        </w:rPr>
        <w:t xml:space="preserve">at 1.  </w:t>
      </w:r>
      <w:r w:rsidRPr="00A44FF8">
        <w:rPr>
          <w:i/>
          <w:sz w:val="20"/>
        </w:rPr>
        <w:t xml:space="preserve">See </w:t>
      </w:r>
      <w:r w:rsidRPr="00A44FF8">
        <w:rPr>
          <w:i/>
          <w:iCs/>
          <w:snapToGrid/>
          <w:kern w:val="0"/>
          <w:sz w:val="20"/>
        </w:rPr>
        <w:t>Connect</w:t>
      </w:r>
      <w:r w:rsidRPr="00471321">
        <w:rPr>
          <w:i/>
          <w:iCs/>
          <w:snapToGrid/>
          <w:kern w:val="0"/>
          <w:sz w:val="20"/>
        </w:rPr>
        <w:t xml:space="preserve"> America Fund et al.</w:t>
      </w:r>
      <w:r w:rsidRPr="00471321">
        <w:rPr>
          <w:snapToGrid/>
          <w:kern w:val="0"/>
          <w:sz w:val="20"/>
        </w:rPr>
        <w:t>, Report and Order, Order and Order on Reconsideration and</w:t>
      </w:r>
      <w:r>
        <w:rPr>
          <w:snapToGrid/>
          <w:kern w:val="0"/>
          <w:sz w:val="20"/>
        </w:rPr>
        <w:t xml:space="preserve"> </w:t>
      </w:r>
      <w:r w:rsidRPr="00471321">
        <w:rPr>
          <w:snapToGrid/>
          <w:kern w:val="0"/>
          <w:sz w:val="20"/>
        </w:rPr>
        <w:t>Further Notice of Proposed Rulemaking, WC Docket No. 10-90 et al., 31</w:t>
      </w:r>
      <w:r>
        <w:rPr>
          <w:snapToGrid/>
          <w:kern w:val="0"/>
          <w:sz w:val="20"/>
        </w:rPr>
        <w:t xml:space="preserve"> FCC Rcd 3087</w:t>
      </w:r>
      <w:r w:rsidRPr="00471321">
        <w:rPr>
          <w:snapToGrid/>
          <w:kern w:val="0"/>
          <w:sz w:val="20"/>
        </w:rPr>
        <w:t xml:space="preserve"> (2016)</w:t>
      </w:r>
      <w:r>
        <w:rPr>
          <w:snapToGrid/>
          <w:kern w:val="0"/>
          <w:sz w:val="20"/>
        </w:rPr>
        <w:t xml:space="preserve"> </w:t>
      </w:r>
      <w:r w:rsidRPr="00471321">
        <w:rPr>
          <w:snapToGrid/>
          <w:kern w:val="0"/>
          <w:sz w:val="20"/>
        </w:rPr>
        <w:t>(</w:t>
      </w:r>
      <w:r w:rsidRPr="00471321">
        <w:rPr>
          <w:i/>
          <w:iCs/>
          <w:snapToGrid/>
          <w:kern w:val="0"/>
          <w:sz w:val="20"/>
        </w:rPr>
        <w:t>Rate-of-Return Reform Order</w:t>
      </w:r>
      <w:r>
        <w:t xml:space="preserve">).  </w:t>
      </w:r>
      <w:r>
        <w:rPr>
          <w:i/>
          <w:sz w:val="20"/>
        </w:rPr>
        <w:t xml:space="preserve">See </w:t>
      </w:r>
      <w:r w:rsidRPr="003E4AF4">
        <w:rPr>
          <w:i/>
          <w:sz w:val="20"/>
        </w:rPr>
        <w:t>Access Charge Tariff Filings Introducing Broadband-only Loop Service</w:t>
      </w:r>
      <w:r w:rsidRPr="003E4AF4">
        <w:rPr>
          <w:sz w:val="20"/>
        </w:rPr>
        <w:t>, Order on Reconsideration, Docket No. 16-317 (WCB Nov. 4, 2016).</w:t>
      </w:r>
    </w:p>
  </w:footnote>
  <w:footnote w:id="4">
    <w:p w14:paraId="7EA2B667" w14:textId="77777777" w:rsidR="00197C66" w:rsidRDefault="00197C66" w:rsidP="008B0F36">
      <w:pPr>
        <w:pStyle w:val="FootnoteText"/>
        <w:spacing w:after="120"/>
      </w:pPr>
      <w:r>
        <w:rPr>
          <w:rStyle w:val="FootnoteReference"/>
        </w:rPr>
        <w:footnoteRef/>
      </w:r>
      <w:r>
        <w:t xml:space="preserve"> </w:t>
      </w:r>
      <w:r w:rsidRPr="00095DC1">
        <w:rPr>
          <w:i/>
        </w:rPr>
        <w:t>Id.</w:t>
      </w:r>
    </w:p>
  </w:footnote>
  <w:footnote w:id="5">
    <w:p w14:paraId="433C8D65" w14:textId="70DB507E" w:rsidR="00D83D19" w:rsidRDefault="00D83D19" w:rsidP="00D83D19">
      <w:pPr>
        <w:pStyle w:val="FootnoteText"/>
        <w:spacing w:after="120"/>
      </w:pPr>
      <w:r>
        <w:rPr>
          <w:rStyle w:val="FootnoteReference"/>
        </w:rPr>
        <w:footnoteRef/>
      </w:r>
      <w:r w:rsidR="00EA26BF">
        <w:t xml:space="preserve"> Commission rules require NECA</w:t>
      </w:r>
      <w:r>
        <w:t xml:space="preserve"> to submit proposed modifications to the </w:t>
      </w:r>
      <w:r w:rsidRPr="00B10D3F">
        <w:t>formulas for average schedule interstate settlement disbursements in connection with the provision of interstate access servic</w:t>
      </w:r>
      <w:r>
        <w:t xml:space="preserve">es on an annual basis or to certify that no modifications are warranted.  47 CFR </w:t>
      </w:r>
      <w:r w:rsidR="008B0F36">
        <w:rPr>
          <w:color w:val="000000"/>
        </w:rPr>
        <w:t>§ 69.606(b).</w:t>
      </w:r>
    </w:p>
  </w:footnote>
  <w:footnote w:id="6">
    <w:p w14:paraId="05093ED3" w14:textId="65BE2111" w:rsidR="00AE4BFA" w:rsidRDefault="00AE4BFA" w:rsidP="00095DC1">
      <w:pPr>
        <w:pStyle w:val="FootnoteText"/>
        <w:spacing w:after="120"/>
      </w:pPr>
      <w:r>
        <w:rPr>
          <w:rStyle w:val="FootnoteReference"/>
        </w:rPr>
        <w:footnoteRef/>
      </w:r>
      <w:r>
        <w:t xml:space="preserve"> </w:t>
      </w:r>
      <w:r>
        <w:rPr>
          <w:i/>
        </w:rPr>
        <w:t xml:space="preserve">See </w:t>
      </w:r>
      <w:r w:rsidRPr="003E4AF4">
        <w:rPr>
          <w:i/>
        </w:rPr>
        <w:t>Access Charge Tariff Filings Introducing Broadband-only Loop Service</w:t>
      </w:r>
      <w:r w:rsidRPr="003E4AF4">
        <w:t>, Order, Docket No. 16-317, 33 FC</w:t>
      </w:r>
      <w:r w:rsidR="00BE1129">
        <w:t>C Rcd 11017 (WCB Oct. 6, 2016).</w:t>
      </w:r>
      <w:r w:rsidR="00E65433">
        <w:t xml:space="preserve">  Unless suspended or rejected, the tariff filing would bec</w:t>
      </w:r>
      <w:r w:rsidR="000A32F8">
        <w:t>ome effective on January 3, 2017</w:t>
      </w:r>
      <w:r w:rsidR="00E65433">
        <w:t>.</w:t>
      </w:r>
    </w:p>
  </w:footnote>
  <w:footnote w:id="7">
    <w:p w14:paraId="4EBBE40B" w14:textId="77777777" w:rsidR="00124579" w:rsidRPr="00124579" w:rsidRDefault="00124579" w:rsidP="00095DC1">
      <w:pPr>
        <w:pStyle w:val="FootnoteText"/>
        <w:spacing w:after="120"/>
      </w:pPr>
      <w:r w:rsidRPr="007E1094">
        <w:rPr>
          <w:rStyle w:val="FootnoteReference"/>
          <w:sz w:val="20"/>
        </w:rPr>
        <w:footnoteRef/>
      </w:r>
      <w:r w:rsidRPr="007E1094">
        <w:t xml:space="preserve"> </w:t>
      </w:r>
      <w:r>
        <w:rPr>
          <w:i/>
        </w:rPr>
        <w:t>Id</w:t>
      </w:r>
      <w:r>
        <w:t>.</w:t>
      </w:r>
    </w:p>
  </w:footnote>
  <w:footnote w:id="8">
    <w:p w14:paraId="1928471A" w14:textId="77777777" w:rsidR="001F7A39" w:rsidRPr="00124579" w:rsidRDefault="001F7A39" w:rsidP="001F7A39">
      <w:pPr>
        <w:pStyle w:val="FootnoteText"/>
        <w:spacing w:after="120"/>
      </w:pPr>
      <w:r w:rsidRPr="00124579">
        <w:rPr>
          <w:rStyle w:val="FootnoteReference"/>
          <w:sz w:val="20"/>
        </w:rPr>
        <w:footnoteRef/>
      </w:r>
      <w:r w:rsidRPr="00124579">
        <w:t xml:space="preserve"> </w:t>
      </w:r>
      <w:r w:rsidR="00124579" w:rsidRPr="00124579">
        <w:rPr>
          <w:i/>
        </w:rPr>
        <w:t>Id</w:t>
      </w:r>
      <w:r w:rsidR="00124579">
        <w:t>. at 2-3.</w:t>
      </w:r>
    </w:p>
  </w:footnote>
  <w:footnote w:id="9">
    <w:p w14:paraId="393C6066" w14:textId="77777777" w:rsidR="001F7A39" w:rsidRPr="002250D8" w:rsidRDefault="001F7A39" w:rsidP="001F7A39">
      <w:pPr>
        <w:pStyle w:val="FootnoteText"/>
        <w:spacing w:after="120"/>
      </w:pPr>
      <w:r w:rsidRPr="002250D8">
        <w:rPr>
          <w:rStyle w:val="FootnoteReference"/>
        </w:rPr>
        <w:footnoteRef/>
      </w:r>
      <w:r w:rsidRPr="002250D8">
        <w:t xml:space="preserve"> </w:t>
      </w:r>
      <w:r w:rsidR="00124579" w:rsidRPr="00124579">
        <w:rPr>
          <w:i/>
        </w:rPr>
        <w:t>Id</w:t>
      </w:r>
      <w:r w:rsidR="00124579">
        <w:t xml:space="preserve">. at </w:t>
      </w:r>
      <w:r w:rsidRPr="00124579">
        <w:t>1</w:t>
      </w:r>
      <w:r w:rsidRPr="002250D8">
        <w:t>.</w:t>
      </w:r>
    </w:p>
  </w:footnote>
  <w:footnote w:id="10">
    <w:p w14:paraId="5C4B0C7C" w14:textId="77777777" w:rsidR="00B253EE" w:rsidRPr="002250D8" w:rsidRDefault="00B253EE" w:rsidP="00B253EE">
      <w:pPr>
        <w:pStyle w:val="FootnoteText"/>
        <w:spacing w:after="120"/>
      </w:pPr>
      <w:r w:rsidRPr="002250D8">
        <w:rPr>
          <w:rStyle w:val="FootnoteReference"/>
        </w:rPr>
        <w:footnoteRef/>
      </w:r>
      <w:r w:rsidR="008B0F36">
        <w:rPr>
          <w:i/>
        </w:rPr>
        <w:t xml:space="preserve"> </w:t>
      </w:r>
      <w:r w:rsidR="00FA41A0" w:rsidRPr="00FA41A0">
        <w:rPr>
          <w:i/>
        </w:rPr>
        <w:t>Id</w:t>
      </w:r>
      <w:r w:rsidR="00FA41A0">
        <w:t xml:space="preserve">. at </w:t>
      </w:r>
      <w:r>
        <w:t>7</w:t>
      </w:r>
      <w:r w:rsidRPr="002250D8">
        <w:t>.</w:t>
      </w:r>
    </w:p>
  </w:footnote>
  <w:footnote w:id="11">
    <w:p w14:paraId="462ACC4F" w14:textId="77777777" w:rsidR="00914285" w:rsidRDefault="00914285" w:rsidP="00095DC1">
      <w:pPr>
        <w:pStyle w:val="FootnoteText"/>
        <w:spacing w:after="120"/>
      </w:pPr>
      <w:r w:rsidRPr="00914285">
        <w:rPr>
          <w:rStyle w:val="FootnoteReference"/>
          <w:sz w:val="20"/>
        </w:rPr>
        <w:footnoteRef/>
      </w:r>
      <w:r w:rsidRPr="00914285">
        <w:t xml:space="preserve"> </w:t>
      </w:r>
      <w:r w:rsidRPr="00124579">
        <w:rPr>
          <w:i/>
        </w:rPr>
        <w:t>Id</w:t>
      </w:r>
      <w:r>
        <w:t>. at 1.</w:t>
      </w:r>
    </w:p>
  </w:footnote>
  <w:footnote w:id="12">
    <w:p w14:paraId="72ECD5AD" w14:textId="77777777" w:rsidR="009A11F3" w:rsidRPr="007E1094" w:rsidRDefault="009A11F3" w:rsidP="007E1094">
      <w:pPr>
        <w:widowControl/>
        <w:autoSpaceDE w:val="0"/>
        <w:autoSpaceDN w:val="0"/>
        <w:adjustRightInd w:val="0"/>
        <w:spacing w:after="120"/>
        <w:jc w:val="left"/>
        <w:rPr>
          <w:snapToGrid/>
          <w:kern w:val="0"/>
          <w:sz w:val="20"/>
        </w:rPr>
      </w:pPr>
      <w:r w:rsidRPr="007E1094">
        <w:rPr>
          <w:rStyle w:val="FootnoteReference"/>
          <w:sz w:val="20"/>
        </w:rPr>
        <w:footnoteRef/>
      </w:r>
      <w:r w:rsidRPr="007E1094">
        <w:rPr>
          <w:sz w:val="20"/>
        </w:rPr>
        <w:t xml:space="preserve"> </w:t>
      </w:r>
      <w:r w:rsidR="007E1094">
        <w:rPr>
          <w:i/>
          <w:sz w:val="20"/>
        </w:rPr>
        <w:t>See e</w:t>
      </w:r>
      <w:r w:rsidR="00B02E74">
        <w:rPr>
          <w:i/>
          <w:sz w:val="20"/>
        </w:rPr>
        <w:t>.</w:t>
      </w:r>
      <w:r w:rsidR="007E1094">
        <w:rPr>
          <w:i/>
          <w:sz w:val="20"/>
        </w:rPr>
        <w:t>g</w:t>
      </w:r>
      <w:r w:rsidR="00B02E74">
        <w:rPr>
          <w:i/>
          <w:sz w:val="20"/>
        </w:rPr>
        <w:t>.</w:t>
      </w:r>
      <w:r w:rsidR="00B02E74">
        <w:rPr>
          <w:sz w:val="20"/>
        </w:rPr>
        <w:t>,</w:t>
      </w:r>
      <w:r w:rsidR="007E1094">
        <w:rPr>
          <w:i/>
          <w:sz w:val="20"/>
        </w:rPr>
        <w:t xml:space="preserve"> </w:t>
      </w:r>
      <w:r w:rsidR="007E1094" w:rsidRPr="007E1094">
        <w:rPr>
          <w:i/>
          <w:iCs/>
          <w:snapToGrid/>
          <w:kern w:val="0"/>
          <w:sz w:val="20"/>
        </w:rPr>
        <w:t>National Exchange Carrier Association, Inc.’s Proposed 2016 Modification of Average Schedule Formulas</w:t>
      </w:r>
      <w:r w:rsidR="007E1094">
        <w:rPr>
          <w:snapToGrid/>
          <w:kern w:val="0"/>
          <w:sz w:val="20"/>
        </w:rPr>
        <w:t xml:space="preserve">, </w:t>
      </w:r>
      <w:r w:rsidR="007E1094" w:rsidRPr="007E1094">
        <w:rPr>
          <w:snapToGrid/>
          <w:kern w:val="0"/>
          <w:sz w:val="20"/>
        </w:rPr>
        <w:t>Public Notice, 31 FCC Rcd 234 (WCB 2016).</w:t>
      </w:r>
      <w:r w:rsidR="007E1094" w:rsidRPr="007E1094" w:rsidDel="007E1094">
        <w:rPr>
          <w:sz w:val="20"/>
        </w:rPr>
        <w:t xml:space="preserve"> </w:t>
      </w:r>
    </w:p>
  </w:footnote>
  <w:footnote w:id="13">
    <w:p w14:paraId="02CE4C08" w14:textId="77777777" w:rsidR="0049551E" w:rsidRPr="0049551E" w:rsidRDefault="0049551E">
      <w:pPr>
        <w:pStyle w:val="FootnoteText"/>
      </w:pPr>
      <w:r>
        <w:rPr>
          <w:rStyle w:val="FootnoteReference"/>
        </w:rPr>
        <w:footnoteRef/>
      </w:r>
      <w:r>
        <w:t xml:space="preserve"> </w:t>
      </w:r>
      <w:r>
        <w:rPr>
          <w:i/>
        </w:rPr>
        <w:t xml:space="preserve">See </w:t>
      </w:r>
      <w:r>
        <w:t>47 CFR § 1.773(a)(2).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C39B6" w14:textId="77777777" w:rsidR="00C8644D" w:rsidRDefault="00C864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89445" w14:textId="6E5168A6" w:rsidR="00353DED" w:rsidRDefault="00353DED">
    <w:pPr>
      <w:pStyle w:val="Header"/>
    </w:pPr>
    <w:r>
      <w:tab/>
      <w:t>Federal Communications Commission</w:t>
    </w:r>
    <w:r>
      <w:tab/>
      <w:t>DA 1</w:t>
    </w:r>
    <w:r w:rsidR="00DA3A4F">
      <w:t>6</w:t>
    </w:r>
    <w:r w:rsidR="006A704A">
      <w:t>-</w:t>
    </w:r>
    <w:r w:rsidR="004B169D">
      <w:t>1396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1081A" w14:textId="13632B1A" w:rsidR="00353DED" w:rsidRDefault="00353DED">
    <w:pPr>
      <w:pStyle w:val="Header"/>
    </w:pPr>
    <w:r>
      <w:tab/>
      <w:t>Federal Communications Commission</w:t>
    </w:r>
    <w:r>
      <w:tab/>
      <w:t>DA 1</w:t>
    </w:r>
    <w:r w:rsidR="00DA3A4F">
      <w:t>6</w:t>
    </w:r>
    <w:r>
      <w:t>-</w:t>
    </w:r>
    <w:r w:rsidR="004B169D">
      <w:t>1396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CE0BC0"/>
    <w:lvl w:ilvl="0">
      <w:start w:val="1"/>
      <w:numFmt w:val="decimal"/>
      <w:lvlText w:val="%1."/>
      <w:lvlJc w:val="left"/>
      <w:pPr>
        <w:tabs>
          <w:tab w:val="num" w:pos="1800"/>
        </w:tabs>
        <w:ind w:left="1800" w:hanging="360"/>
      </w:pPr>
    </w:lvl>
  </w:abstractNum>
  <w:abstractNum w:abstractNumId="1">
    <w:nsid w:val="FFFFFF7D"/>
    <w:multiLevelType w:val="singleLevel"/>
    <w:tmpl w:val="DEB8C4BE"/>
    <w:lvl w:ilvl="0">
      <w:start w:val="1"/>
      <w:numFmt w:val="decimal"/>
      <w:lvlText w:val="%1."/>
      <w:lvlJc w:val="left"/>
      <w:pPr>
        <w:tabs>
          <w:tab w:val="num" w:pos="1440"/>
        </w:tabs>
        <w:ind w:left="1440" w:hanging="360"/>
      </w:pPr>
    </w:lvl>
  </w:abstractNum>
  <w:abstractNum w:abstractNumId="2">
    <w:nsid w:val="025A783C"/>
    <w:multiLevelType w:val="singleLevel"/>
    <w:tmpl w:val="A52053E0"/>
    <w:lvl w:ilvl="0">
      <w:start w:val="1"/>
      <w:numFmt w:val="decimal"/>
      <w:pStyle w:val="ParaNum"/>
      <w:lvlText w:val="%1."/>
      <w:lvlJc w:val="left"/>
      <w:pPr>
        <w:tabs>
          <w:tab w:val="num" w:pos="1170"/>
        </w:tabs>
        <w:ind w:left="90" w:firstLine="720"/>
      </w:pPr>
      <w:rPr>
        <w:b w:val="0"/>
        <w:i w:val="0"/>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CE14327"/>
    <w:multiLevelType w:val="singleLevel"/>
    <w:tmpl w:val="D5EC6572"/>
    <w:lvl w:ilvl="0">
      <w:start w:val="1"/>
      <w:numFmt w:val="upperRoman"/>
      <w:lvlText w:val="%1."/>
      <w:lvlJc w:val="left"/>
      <w:pPr>
        <w:tabs>
          <w:tab w:val="num" w:pos="720"/>
        </w:tabs>
        <w:ind w:left="720" w:hanging="720"/>
      </w:pPr>
      <w:rPr>
        <w:rFonts w:ascii="Times New Roman" w:hAnsi="Times New Roman" w:hint="default"/>
        <w:b/>
        <w:i w:val="0"/>
        <w:sz w:val="24"/>
      </w:rPr>
    </w:lvl>
  </w:abstractNum>
  <w:abstractNum w:abstractNumId="5">
    <w:nsid w:val="167E2138"/>
    <w:multiLevelType w:val="singleLevel"/>
    <w:tmpl w:val="BAF497CA"/>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6">
    <w:nsid w:val="17554E7B"/>
    <w:multiLevelType w:val="singleLevel"/>
    <w:tmpl w:val="E5301E52"/>
    <w:lvl w:ilvl="0">
      <w:start w:val="1"/>
      <w:numFmt w:val="lowerLetter"/>
      <w:lvlText w:val="%1)"/>
      <w:lvlJc w:val="left"/>
      <w:pPr>
        <w:tabs>
          <w:tab w:val="num" w:pos="720"/>
        </w:tabs>
        <w:ind w:left="720" w:hanging="720"/>
      </w:pPr>
      <w:rPr>
        <w:rFonts w:ascii="Times New Roman" w:hAnsi="Times New Roman" w:hint="default"/>
        <w:b/>
        <w:i w:val="0"/>
        <w:sz w:val="24"/>
      </w:rPr>
    </w:lvl>
  </w:abstractNum>
  <w:abstractNum w:abstractNumId="7">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DB6C7296"/>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DD21C44"/>
    <w:multiLevelType w:val="singleLevel"/>
    <w:tmpl w:val="BC80095A"/>
    <w:lvl w:ilvl="0">
      <w:start w:val="1"/>
      <w:numFmt w:val="upperLetter"/>
      <w:lvlText w:val="%1."/>
      <w:lvlJc w:val="left"/>
      <w:pPr>
        <w:tabs>
          <w:tab w:val="num" w:pos="720"/>
        </w:tabs>
        <w:ind w:left="720" w:hanging="720"/>
      </w:pPr>
      <w:rPr>
        <w:rFonts w:ascii="Times New Roman" w:hAnsi="Times New Roman" w:hint="default"/>
        <w:b/>
        <w:i w:val="0"/>
        <w:sz w:val="24"/>
      </w:rPr>
    </w:lvl>
  </w:abstractNum>
  <w:abstractNum w:abstractNumId="11">
    <w:nsid w:val="305E3024"/>
    <w:multiLevelType w:val="singleLevel"/>
    <w:tmpl w:val="EA9E5D9A"/>
    <w:lvl w:ilvl="0">
      <w:start w:val="2"/>
      <w:numFmt w:val="decimal"/>
      <w:lvlText w:val="%1."/>
      <w:lvlJc w:val="left"/>
      <w:pPr>
        <w:tabs>
          <w:tab w:val="num" w:pos="1080"/>
        </w:tabs>
        <w:ind w:left="0" w:firstLine="720"/>
      </w:pPr>
    </w:lvl>
  </w:abstractNum>
  <w:abstractNum w:abstractNumId="12">
    <w:nsid w:val="3A5D2F3A"/>
    <w:multiLevelType w:val="singleLevel"/>
    <w:tmpl w:val="EF60BA58"/>
    <w:lvl w:ilvl="0">
      <w:start w:val="1"/>
      <w:numFmt w:val="decimal"/>
      <w:lvlText w:val="%1."/>
      <w:lvlJc w:val="left"/>
      <w:pPr>
        <w:tabs>
          <w:tab w:val="num" w:pos="1140"/>
        </w:tabs>
        <w:ind w:left="1140" w:hanging="420"/>
      </w:pPr>
      <w:rPr>
        <w:rFonts w:hint="default"/>
      </w:rPr>
    </w:lvl>
  </w:abstractNum>
  <w:abstractNum w:abstractNumId="13">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E7C4DA9"/>
    <w:multiLevelType w:val="singleLevel"/>
    <w:tmpl w:val="C1705922"/>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15">
    <w:nsid w:val="43D27EFD"/>
    <w:multiLevelType w:val="singleLevel"/>
    <w:tmpl w:val="42701C86"/>
    <w:lvl w:ilvl="0">
      <w:start w:val="1"/>
      <w:numFmt w:val="decimal"/>
      <w:lvlText w:val="%1."/>
      <w:lvlJc w:val="left"/>
      <w:pPr>
        <w:tabs>
          <w:tab w:val="num" w:pos="1440"/>
        </w:tabs>
        <w:ind w:left="1440" w:hanging="720"/>
      </w:pPr>
    </w:lvl>
  </w:abstractNum>
  <w:abstractNum w:abstractNumId="16">
    <w:nsid w:val="501A31E2"/>
    <w:multiLevelType w:val="singleLevel"/>
    <w:tmpl w:val="63E837A8"/>
    <w:lvl w:ilvl="0">
      <w:start w:val="1"/>
      <w:numFmt w:val="decimal"/>
      <w:lvlText w:val="%1."/>
      <w:lvlJc w:val="left"/>
      <w:pPr>
        <w:tabs>
          <w:tab w:val="num" w:pos="720"/>
        </w:tabs>
        <w:ind w:left="720" w:hanging="720"/>
      </w:pPr>
      <w:rPr>
        <w:rFonts w:ascii="Times New Roman" w:hAnsi="Times New Roman" w:hint="default"/>
        <w:b/>
        <w:i w:val="0"/>
        <w:sz w:val="24"/>
      </w:rPr>
    </w:lvl>
  </w:abstractNum>
  <w:abstractNum w:abstractNumId="17">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8">
    <w:nsid w:val="5FFF125B"/>
    <w:multiLevelType w:val="singleLevel"/>
    <w:tmpl w:val="B1F45678"/>
    <w:lvl w:ilvl="0">
      <w:start w:val="1"/>
      <w:numFmt w:val="decimal"/>
      <w:lvlText w:val="%1."/>
      <w:lvlJc w:val="left"/>
      <w:pPr>
        <w:tabs>
          <w:tab w:val="num" w:pos="1080"/>
        </w:tabs>
        <w:ind w:left="0" w:firstLine="720"/>
      </w:pPr>
    </w:lvl>
  </w:abstractNum>
  <w:abstractNum w:abstractNumId="19">
    <w:nsid w:val="62A47DDF"/>
    <w:multiLevelType w:val="multilevel"/>
    <w:tmpl w:val="9D8A217A"/>
    <w:lvl w:ilvl="0">
      <w:start w:val="1"/>
      <w:numFmt w:val="upperRoman"/>
      <w:lvlText w:val="%1."/>
      <w:lvlJc w:val="left"/>
      <w:pPr>
        <w:tabs>
          <w:tab w:val="num" w:pos="720"/>
        </w:tabs>
        <w:ind w:left="720" w:hanging="720"/>
      </w:pPr>
    </w:lvl>
    <w:lvl w:ilvl="1">
      <w:start w:val="1"/>
      <w:numFmt w:val="upperLetter"/>
      <w:lvlText w:val="%2."/>
      <w:lvlJc w:val="left"/>
      <w:pPr>
        <w:tabs>
          <w:tab w:val="num" w:pos="1080"/>
        </w:tabs>
        <w:ind w:left="72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b/>
        <w:i w:val="0"/>
      </w:r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66E65EE5"/>
    <w:multiLevelType w:val="multilevel"/>
    <w:tmpl w:val="1E32DC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03621C9"/>
    <w:multiLevelType w:val="singleLevel"/>
    <w:tmpl w:val="373411A8"/>
    <w:lvl w:ilvl="0">
      <w:start w:val="1"/>
      <w:numFmt w:val="decimal"/>
      <w:lvlText w:val="%1."/>
      <w:lvlJc w:val="left"/>
      <w:pPr>
        <w:tabs>
          <w:tab w:val="num" w:pos="1080"/>
        </w:tabs>
        <w:ind w:left="0" w:firstLine="720"/>
      </w:pPr>
    </w:lvl>
  </w:abstractNum>
  <w:abstractNum w:abstractNumId="22">
    <w:nsid w:val="76E57613"/>
    <w:multiLevelType w:val="singleLevel"/>
    <w:tmpl w:val="7F1CD632"/>
    <w:lvl w:ilvl="0">
      <w:start w:val="1"/>
      <w:numFmt w:val="lowerRoman"/>
      <w:lvlText w:val="%1)"/>
      <w:lvlJc w:val="left"/>
      <w:pPr>
        <w:tabs>
          <w:tab w:val="num" w:pos="720"/>
        </w:tabs>
        <w:ind w:left="720" w:hanging="720"/>
      </w:pPr>
      <w:rPr>
        <w:rFonts w:ascii="Times New Roman" w:hAnsi="Times New Roman" w:hint="default"/>
        <w:b/>
        <w:i w:val="0"/>
        <w:sz w:val="24"/>
      </w:rPr>
    </w:lvl>
  </w:abstractNum>
  <w:abstractNum w:abstractNumId="23">
    <w:nsid w:val="7F856F29"/>
    <w:multiLevelType w:val="singleLevel"/>
    <w:tmpl w:val="75C44216"/>
    <w:lvl w:ilvl="0">
      <w:start w:val="1"/>
      <w:numFmt w:val="decimal"/>
      <w:lvlText w:val="%1."/>
      <w:lvlJc w:val="left"/>
      <w:pPr>
        <w:tabs>
          <w:tab w:val="num" w:pos="360"/>
        </w:tabs>
        <w:ind w:left="360" w:hanging="360"/>
      </w:pPr>
      <w:rPr>
        <w:b w:val="0"/>
        <w:i w:val="0"/>
      </w:rPr>
    </w:lvl>
  </w:abstractNum>
  <w:num w:numId="1">
    <w:abstractNumId w:val="20"/>
  </w:num>
  <w:num w:numId="2">
    <w:abstractNumId w:val="8"/>
  </w:num>
  <w:num w:numId="3">
    <w:abstractNumId w:val="3"/>
  </w:num>
  <w:num w:numId="4">
    <w:abstractNumId w:val="18"/>
  </w:num>
  <w:num w:numId="5">
    <w:abstractNumId w:val="21"/>
  </w:num>
  <w:num w:numId="6">
    <w:abstractNumId w:val="11"/>
  </w:num>
  <w:num w:numId="7">
    <w:abstractNumId w:val="12"/>
  </w:num>
  <w:num w:numId="8">
    <w:abstractNumId w:val="15"/>
  </w:num>
  <w:num w:numId="9">
    <w:abstractNumId w:val="1"/>
  </w:num>
  <w:num w:numId="10">
    <w:abstractNumId w:val="0"/>
  </w:num>
  <w:num w:numId="11">
    <w:abstractNumId w:val="4"/>
  </w:num>
  <w:num w:numId="12">
    <w:abstractNumId w:val="10"/>
  </w:num>
  <w:num w:numId="13">
    <w:abstractNumId w:val="3"/>
  </w:num>
  <w:num w:numId="14">
    <w:abstractNumId w:val="16"/>
  </w:num>
  <w:num w:numId="15">
    <w:abstractNumId w:val="5"/>
  </w:num>
  <w:num w:numId="16">
    <w:abstractNumId w:val="14"/>
  </w:num>
  <w:num w:numId="17">
    <w:abstractNumId w:val="6"/>
  </w:num>
  <w:num w:numId="18">
    <w:abstractNumId w:val="22"/>
  </w:num>
  <w:num w:numId="19">
    <w:abstractNumId w:val="2"/>
  </w:num>
  <w:num w:numId="20">
    <w:abstractNumId w:val="19"/>
  </w:num>
  <w:num w:numId="21">
    <w:abstractNumId w:val="9"/>
  </w:num>
  <w:num w:numId="22">
    <w:abstractNumId w:val="2"/>
  </w:num>
  <w:num w:numId="23">
    <w:abstractNumId w:val="19"/>
  </w:num>
  <w:num w:numId="24">
    <w:abstractNumId w:val="19"/>
  </w:num>
  <w:num w:numId="25">
    <w:abstractNumId w:val="19"/>
  </w:num>
  <w:num w:numId="26">
    <w:abstractNumId w:val="23"/>
  </w:num>
  <w:num w:numId="27">
    <w:abstractNumId w:val="7"/>
  </w:num>
  <w:num w:numId="28">
    <w:abstractNumId w:val="9"/>
  </w:num>
  <w:num w:numId="29">
    <w:abstractNumId w:val="2"/>
    <w:lvlOverride w:ilvl="0">
      <w:startOverride w:val="14"/>
    </w:lvlOverride>
  </w:num>
  <w:num w:numId="30">
    <w:abstractNumId w:val="2"/>
    <w:lvlOverride w:ilvl="0">
      <w:startOverride w:val="17"/>
    </w:lvlOverride>
  </w:num>
  <w:num w:numId="31">
    <w:abstractNumId w:val="2"/>
    <w:lvlOverride w:ilvl="0">
      <w:startOverride w:val="17"/>
    </w:lvlOverride>
  </w:num>
  <w:num w:numId="32">
    <w:abstractNumId w:val="17"/>
  </w:num>
  <w:num w:numId="33">
    <w:abstractNumId w:val="13"/>
  </w:num>
  <w:num w:numId="34">
    <w:abstractNumId w:val="2"/>
    <w:lvlOverride w:ilvl="0">
      <w:startOverride w:val="1"/>
    </w:lvlOverride>
  </w:num>
  <w:num w:numId="35">
    <w:abstractNumId w:val="2"/>
  </w:num>
  <w:num w:numId="36">
    <w:abstractNumId w:val="2"/>
  </w:num>
  <w:num w:numId="37">
    <w:abstractNumId w:val="2"/>
  </w:num>
  <w:num w:numId="38">
    <w:abstractNumId w:val="2"/>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B3D"/>
    <w:rsid w:val="0002147E"/>
    <w:rsid w:val="000241A7"/>
    <w:rsid w:val="00030F05"/>
    <w:rsid w:val="00053B93"/>
    <w:rsid w:val="0007029C"/>
    <w:rsid w:val="00095B5D"/>
    <w:rsid w:val="00095DC1"/>
    <w:rsid w:val="000A32F8"/>
    <w:rsid w:val="000C1B2E"/>
    <w:rsid w:val="000C6803"/>
    <w:rsid w:val="000F7971"/>
    <w:rsid w:val="00111D1B"/>
    <w:rsid w:val="00123E8A"/>
    <w:rsid w:val="00124579"/>
    <w:rsid w:val="001427FF"/>
    <w:rsid w:val="00146799"/>
    <w:rsid w:val="00167930"/>
    <w:rsid w:val="00183617"/>
    <w:rsid w:val="001871D6"/>
    <w:rsid w:val="00197C66"/>
    <w:rsid w:val="001C6BD8"/>
    <w:rsid w:val="001D0DB3"/>
    <w:rsid w:val="001F1D31"/>
    <w:rsid w:val="001F4B18"/>
    <w:rsid w:val="001F7A39"/>
    <w:rsid w:val="00215211"/>
    <w:rsid w:val="00234ECD"/>
    <w:rsid w:val="00266B48"/>
    <w:rsid w:val="00267554"/>
    <w:rsid w:val="002742F2"/>
    <w:rsid w:val="002750A3"/>
    <w:rsid w:val="00293E96"/>
    <w:rsid w:val="002D5A46"/>
    <w:rsid w:val="00353DED"/>
    <w:rsid w:val="00386316"/>
    <w:rsid w:val="00397ACA"/>
    <w:rsid w:val="003B4667"/>
    <w:rsid w:val="003B75F7"/>
    <w:rsid w:val="003C08FB"/>
    <w:rsid w:val="00407350"/>
    <w:rsid w:val="004156DC"/>
    <w:rsid w:val="00421E2F"/>
    <w:rsid w:val="004258F3"/>
    <w:rsid w:val="004301C8"/>
    <w:rsid w:val="00441286"/>
    <w:rsid w:val="00443904"/>
    <w:rsid w:val="00453016"/>
    <w:rsid w:val="004653CE"/>
    <w:rsid w:val="00471321"/>
    <w:rsid w:val="00474956"/>
    <w:rsid w:val="00474DB6"/>
    <w:rsid w:val="00480326"/>
    <w:rsid w:val="00487114"/>
    <w:rsid w:val="0049551E"/>
    <w:rsid w:val="004B169D"/>
    <w:rsid w:val="004B710F"/>
    <w:rsid w:val="004E699B"/>
    <w:rsid w:val="004F2C3E"/>
    <w:rsid w:val="004F3015"/>
    <w:rsid w:val="004F4D0E"/>
    <w:rsid w:val="0050232C"/>
    <w:rsid w:val="005029CC"/>
    <w:rsid w:val="00503AC9"/>
    <w:rsid w:val="00547AF2"/>
    <w:rsid w:val="005A203C"/>
    <w:rsid w:val="005B440B"/>
    <w:rsid w:val="005E67D9"/>
    <w:rsid w:val="005F53F7"/>
    <w:rsid w:val="00630F09"/>
    <w:rsid w:val="006337DF"/>
    <w:rsid w:val="00682E95"/>
    <w:rsid w:val="006A704A"/>
    <w:rsid w:val="006B7E65"/>
    <w:rsid w:val="006D3863"/>
    <w:rsid w:val="006F5668"/>
    <w:rsid w:val="00701DCF"/>
    <w:rsid w:val="007037D2"/>
    <w:rsid w:val="00703CB8"/>
    <w:rsid w:val="0072387F"/>
    <w:rsid w:val="0073748E"/>
    <w:rsid w:val="00746E10"/>
    <w:rsid w:val="007605EA"/>
    <w:rsid w:val="00766DB6"/>
    <w:rsid w:val="00795460"/>
    <w:rsid w:val="007A0CD2"/>
    <w:rsid w:val="007B24B4"/>
    <w:rsid w:val="007C47CC"/>
    <w:rsid w:val="007C5D94"/>
    <w:rsid w:val="007E1094"/>
    <w:rsid w:val="007E13FA"/>
    <w:rsid w:val="007E48C2"/>
    <w:rsid w:val="007E52E1"/>
    <w:rsid w:val="007E5B0E"/>
    <w:rsid w:val="007F0EF6"/>
    <w:rsid w:val="00800309"/>
    <w:rsid w:val="0081082A"/>
    <w:rsid w:val="00850A44"/>
    <w:rsid w:val="008604ED"/>
    <w:rsid w:val="00861FAC"/>
    <w:rsid w:val="0086402F"/>
    <w:rsid w:val="00874B31"/>
    <w:rsid w:val="008A4786"/>
    <w:rsid w:val="008B0F36"/>
    <w:rsid w:val="008B4BEB"/>
    <w:rsid w:val="008B5349"/>
    <w:rsid w:val="008B61B2"/>
    <w:rsid w:val="008C3B3D"/>
    <w:rsid w:val="0091422E"/>
    <w:rsid w:val="00914285"/>
    <w:rsid w:val="00920C31"/>
    <w:rsid w:val="009261C7"/>
    <w:rsid w:val="009322F5"/>
    <w:rsid w:val="0096439D"/>
    <w:rsid w:val="009A071A"/>
    <w:rsid w:val="009A11F3"/>
    <w:rsid w:val="009B05A4"/>
    <w:rsid w:val="009C6236"/>
    <w:rsid w:val="009D68C9"/>
    <w:rsid w:val="00A14AD1"/>
    <w:rsid w:val="00A1506B"/>
    <w:rsid w:val="00A155BC"/>
    <w:rsid w:val="00A44FF8"/>
    <w:rsid w:val="00A80546"/>
    <w:rsid w:val="00A853D4"/>
    <w:rsid w:val="00A8759C"/>
    <w:rsid w:val="00A933BA"/>
    <w:rsid w:val="00AC2E45"/>
    <w:rsid w:val="00AC4C7D"/>
    <w:rsid w:val="00AD58AF"/>
    <w:rsid w:val="00AD5C0D"/>
    <w:rsid w:val="00AE47A2"/>
    <w:rsid w:val="00AE4BFA"/>
    <w:rsid w:val="00B02E74"/>
    <w:rsid w:val="00B253EE"/>
    <w:rsid w:val="00B51054"/>
    <w:rsid w:val="00B53A9D"/>
    <w:rsid w:val="00B64A44"/>
    <w:rsid w:val="00BE1129"/>
    <w:rsid w:val="00BE3C72"/>
    <w:rsid w:val="00C60999"/>
    <w:rsid w:val="00C819C6"/>
    <w:rsid w:val="00C8644D"/>
    <w:rsid w:val="00C90158"/>
    <w:rsid w:val="00C93B69"/>
    <w:rsid w:val="00CB3219"/>
    <w:rsid w:val="00CC2653"/>
    <w:rsid w:val="00CC6053"/>
    <w:rsid w:val="00CF462E"/>
    <w:rsid w:val="00D00F53"/>
    <w:rsid w:val="00D03B91"/>
    <w:rsid w:val="00D34016"/>
    <w:rsid w:val="00D71159"/>
    <w:rsid w:val="00D77423"/>
    <w:rsid w:val="00D80877"/>
    <w:rsid w:val="00D83D19"/>
    <w:rsid w:val="00DA3A4F"/>
    <w:rsid w:val="00DA4513"/>
    <w:rsid w:val="00DA6F86"/>
    <w:rsid w:val="00DE5BDD"/>
    <w:rsid w:val="00DF3CF7"/>
    <w:rsid w:val="00E0040C"/>
    <w:rsid w:val="00E03057"/>
    <w:rsid w:val="00E64338"/>
    <w:rsid w:val="00E65433"/>
    <w:rsid w:val="00E87A9B"/>
    <w:rsid w:val="00EA26BF"/>
    <w:rsid w:val="00EF5E4E"/>
    <w:rsid w:val="00F22EBD"/>
    <w:rsid w:val="00F54246"/>
    <w:rsid w:val="00F70676"/>
    <w:rsid w:val="00F870B8"/>
    <w:rsid w:val="00F910CE"/>
    <w:rsid w:val="00FA05E4"/>
    <w:rsid w:val="00FA41A0"/>
    <w:rsid w:val="00FA5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8D98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28"/>
      </w:numPr>
      <w:suppressAutoHyphens/>
      <w:spacing w:after="220"/>
      <w:jc w:val="center"/>
      <w:outlineLvl w:val="0"/>
    </w:pPr>
    <w:rPr>
      <w:b/>
      <w:caps/>
    </w:rPr>
  </w:style>
  <w:style w:type="paragraph" w:styleId="Heading2">
    <w:name w:val="heading 2"/>
    <w:basedOn w:val="Normal"/>
    <w:next w:val="ParaNum"/>
    <w:qFormat/>
    <w:pPr>
      <w:keepNext/>
      <w:numPr>
        <w:ilvl w:val="1"/>
        <w:numId w:val="28"/>
      </w:numPr>
      <w:spacing w:after="220"/>
      <w:outlineLvl w:val="1"/>
    </w:pPr>
    <w:rPr>
      <w:b/>
    </w:rPr>
  </w:style>
  <w:style w:type="paragraph" w:styleId="Heading3">
    <w:name w:val="heading 3"/>
    <w:basedOn w:val="Normal"/>
    <w:next w:val="ParaNum"/>
    <w:qFormat/>
    <w:pPr>
      <w:keepNext/>
      <w:numPr>
        <w:ilvl w:val="2"/>
        <w:numId w:val="28"/>
      </w:numPr>
      <w:spacing w:after="220"/>
      <w:outlineLvl w:val="2"/>
    </w:pPr>
    <w:rPr>
      <w:b/>
    </w:rPr>
  </w:style>
  <w:style w:type="paragraph" w:styleId="Heading4">
    <w:name w:val="heading 4"/>
    <w:basedOn w:val="Normal"/>
    <w:next w:val="ParaNum"/>
    <w:qFormat/>
    <w:pPr>
      <w:keepNext/>
      <w:numPr>
        <w:ilvl w:val="3"/>
        <w:numId w:val="28"/>
      </w:numPr>
      <w:spacing w:after="220"/>
      <w:outlineLvl w:val="3"/>
    </w:pPr>
    <w:rPr>
      <w:b/>
    </w:rPr>
  </w:style>
  <w:style w:type="paragraph" w:styleId="Heading5">
    <w:name w:val="heading 5"/>
    <w:basedOn w:val="Normal"/>
    <w:next w:val="ParaNum"/>
    <w:qFormat/>
    <w:pPr>
      <w:keepNext/>
      <w:numPr>
        <w:ilvl w:val="4"/>
        <w:numId w:val="28"/>
      </w:numPr>
      <w:tabs>
        <w:tab w:val="left" w:pos="2880"/>
      </w:tabs>
      <w:suppressAutoHyphens/>
      <w:spacing w:after="220"/>
      <w:outlineLvl w:val="4"/>
    </w:pPr>
    <w:rPr>
      <w:b/>
      <w:sz w:val="24"/>
    </w:rPr>
  </w:style>
  <w:style w:type="paragraph" w:styleId="Heading6">
    <w:name w:val="heading 6"/>
    <w:basedOn w:val="Normal"/>
    <w:next w:val="ParaNum"/>
    <w:qFormat/>
    <w:pPr>
      <w:numPr>
        <w:ilvl w:val="5"/>
        <w:numId w:val="28"/>
      </w:numPr>
      <w:tabs>
        <w:tab w:val="left" w:pos="2880"/>
      </w:tabs>
      <w:spacing w:after="220"/>
      <w:outlineLvl w:val="5"/>
    </w:pPr>
    <w:rPr>
      <w:b/>
    </w:rPr>
  </w:style>
  <w:style w:type="paragraph" w:styleId="Heading7">
    <w:name w:val="heading 7"/>
    <w:basedOn w:val="Normal"/>
    <w:next w:val="ParaNum"/>
    <w:qFormat/>
    <w:pPr>
      <w:numPr>
        <w:ilvl w:val="6"/>
        <w:numId w:val="28"/>
      </w:numPr>
      <w:spacing w:after="240"/>
      <w:outlineLvl w:val="6"/>
    </w:pPr>
    <w:rPr>
      <w:b/>
    </w:rPr>
  </w:style>
  <w:style w:type="paragraph" w:styleId="Heading8">
    <w:name w:val="heading 8"/>
    <w:basedOn w:val="Normal"/>
    <w:next w:val="ParaNum"/>
    <w:qFormat/>
    <w:pPr>
      <w:numPr>
        <w:ilvl w:val="7"/>
        <w:numId w:val="28"/>
      </w:numPr>
      <w:tabs>
        <w:tab w:val="left" w:pos="5040"/>
      </w:tabs>
      <w:spacing w:after="240"/>
      <w:outlineLvl w:val="7"/>
    </w:pPr>
    <w:rPr>
      <w:b/>
    </w:rPr>
  </w:style>
  <w:style w:type="paragraph" w:styleId="Heading9">
    <w:name w:val="heading 9"/>
    <w:basedOn w:val="Normal"/>
    <w:next w:val="ParaNum"/>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19"/>
      </w:numPr>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semiHidden/>
    <w:pPr>
      <w:tabs>
        <w:tab w:val="left" w:pos="720"/>
        <w:tab w:val="left" w:pos="1440"/>
      </w:tabs>
      <w:spacing w:after="200"/>
      <w:ind w:right="144"/>
    </w:pPr>
  </w:style>
  <w:style w:type="character" w:styleId="FootnoteReference">
    <w:name w:val="footnote reference"/>
    <w:aliases w:val="Style 12,(NECG) Footnote Reference,Style 13,Appel note de bas de p,Style 124,fr,o,Style 3,FR,Style 17,Footnote Reference/,Style 6,Style 7"/>
    <w:semiHidden/>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pBdr>
        <w:bottom w:val="single" w:sz="12" w:space="1" w:color="auto"/>
      </w:pBdr>
      <w:tabs>
        <w:tab w:val="center" w:pos="4680"/>
        <w:tab w:val="right" w:pos="9360"/>
      </w:tabs>
    </w:pPr>
    <w:rPr>
      <w:b/>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Caption">
    <w:name w:val="caption"/>
    <w:basedOn w:val="Normal"/>
    <w:next w:val="Normal"/>
    <w:qFormat/>
    <w:pPr>
      <w:jc w:val="center"/>
    </w:pPr>
    <w:rPr>
      <w:b/>
      <w:spacing w:val="-2"/>
    </w:rPr>
  </w:style>
  <w:style w:type="paragraph" w:customStyle="1" w:styleId="Bullet">
    <w:name w:val="Bullet"/>
    <w:basedOn w:val="Normal"/>
    <w:pPr>
      <w:numPr>
        <w:numId w:val="27"/>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Title">
    <w:name w:val="Title"/>
    <w:basedOn w:val="Normal"/>
    <w:qFormat/>
    <w:pPr>
      <w:spacing w:before="240" w:after="60"/>
      <w:jc w:val="center"/>
      <w:outlineLvl w:val="0"/>
    </w:pPr>
    <w:rPr>
      <w:rFonts w:ascii="Arial" w:hAnsi="Arial"/>
      <w:b/>
      <w:sz w:val="32"/>
    </w:r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Arial" w:hAnsi="Arial"/>
      <w:sz w:val="24"/>
    </w:rPr>
  </w:style>
  <w:style w:type="paragraph" w:styleId="BodyText">
    <w:name w:val="Body Text"/>
    <w:basedOn w:val="Normal"/>
    <w:pPr>
      <w:spacing w:after="120"/>
    </w:pPr>
  </w:style>
  <w:style w:type="paragraph" w:customStyle="1" w:styleId="Byline">
    <w:name w:val="Byline"/>
    <w:basedOn w:val="BodyText"/>
  </w:style>
  <w:style w:type="paragraph" w:customStyle="1" w:styleId="Style0">
    <w:name w:val="Style0"/>
    <w:rPr>
      <w:rFonts w:ascii="Arial" w:hAnsi="Arial"/>
      <w:snapToGrid w:val="0"/>
      <w:sz w:val="24"/>
    </w:rPr>
  </w:style>
  <w:style w:type="paragraph" w:styleId="PlainText">
    <w:name w:val="Plain Text"/>
    <w:basedOn w:val="Normal"/>
    <w:pPr>
      <w:widowControl/>
      <w:jc w:val="left"/>
    </w:pPr>
    <w:rPr>
      <w:rFonts w:ascii="Courier New" w:hAnsi="Courier New" w:cs="Courier New"/>
      <w:snapToGrid/>
      <w:kern w:val="0"/>
      <w:sz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sid w:val="00146799"/>
    <w:rPr>
      <w:sz w:val="16"/>
      <w:szCs w:val="16"/>
    </w:rPr>
  </w:style>
  <w:style w:type="paragraph" w:styleId="CommentText">
    <w:name w:val="annotation text"/>
    <w:basedOn w:val="Normal"/>
    <w:link w:val="CommentTextChar"/>
    <w:rsid w:val="00146799"/>
    <w:rPr>
      <w:sz w:val="20"/>
    </w:rPr>
  </w:style>
  <w:style w:type="character" w:customStyle="1" w:styleId="CommentTextChar">
    <w:name w:val="Comment Text Char"/>
    <w:basedOn w:val="DefaultParagraphFont"/>
    <w:link w:val="CommentText"/>
    <w:rsid w:val="00146799"/>
    <w:rPr>
      <w:snapToGrid w:val="0"/>
      <w:kern w:val="28"/>
    </w:rPr>
  </w:style>
  <w:style w:type="paragraph" w:styleId="CommentSubject">
    <w:name w:val="annotation subject"/>
    <w:basedOn w:val="CommentText"/>
    <w:next w:val="CommentText"/>
    <w:link w:val="CommentSubjectChar"/>
    <w:rsid w:val="00146799"/>
    <w:rPr>
      <w:b/>
      <w:bCs/>
    </w:rPr>
  </w:style>
  <w:style w:type="character" w:customStyle="1" w:styleId="CommentSubjectChar">
    <w:name w:val="Comment Subject Char"/>
    <w:basedOn w:val="CommentTextChar"/>
    <w:link w:val="CommentSubject"/>
    <w:rsid w:val="00146799"/>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ParaNum"/>
    <w:qFormat/>
    <w:pPr>
      <w:keepNext/>
      <w:numPr>
        <w:numId w:val="28"/>
      </w:numPr>
      <w:suppressAutoHyphens/>
      <w:spacing w:after="220"/>
      <w:jc w:val="center"/>
      <w:outlineLvl w:val="0"/>
    </w:pPr>
    <w:rPr>
      <w:b/>
      <w:caps/>
    </w:rPr>
  </w:style>
  <w:style w:type="paragraph" w:styleId="Heading2">
    <w:name w:val="heading 2"/>
    <w:basedOn w:val="Normal"/>
    <w:next w:val="ParaNum"/>
    <w:qFormat/>
    <w:pPr>
      <w:keepNext/>
      <w:numPr>
        <w:ilvl w:val="1"/>
        <w:numId w:val="28"/>
      </w:numPr>
      <w:spacing w:after="220"/>
      <w:outlineLvl w:val="1"/>
    </w:pPr>
    <w:rPr>
      <w:b/>
    </w:rPr>
  </w:style>
  <w:style w:type="paragraph" w:styleId="Heading3">
    <w:name w:val="heading 3"/>
    <w:basedOn w:val="Normal"/>
    <w:next w:val="ParaNum"/>
    <w:qFormat/>
    <w:pPr>
      <w:keepNext/>
      <w:numPr>
        <w:ilvl w:val="2"/>
        <w:numId w:val="28"/>
      </w:numPr>
      <w:spacing w:after="220"/>
      <w:outlineLvl w:val="2"/>
    </w:pPr>
    <w:rPr>
      <w:b/>
    </w:rPr>
  </w:style>
  <w:style w:type="paragraph" w:styleId="Heading4">
    <w:name w:val="heading 4"/>
    <w:basedOn w:val="Normal"/>
    <w:next w:val="ParaNum"/>
    <w:qFormat/>
    <w:pPr>
      <w:keepNext/>
      <w:numPr>
        <w:ilvl w:val="3"/>
        <w:numId w:val="28"/>
      </w:numPr>
      <w:spacing w:after="220"/>
      <w:outlineLvl w:val="3"/>
    </w:pPr>
    <w:rPr>
      <w:b/>
    </w:rPr>
  </w:style>
  <w:style w:type="paragraph" w:styleId="Heading5">
    <w:name w:val="heading 5"/>
    <w:basedOn w:val="Normal"/>
    <w:next w:val="ParaNum"/>
    <w:qFormat/>
    <w:pPr>
      <w:keepNext/>
      <w:numPr>
        <w:ilvl w:val="4"/>
        <w:numId w:val="28"/>
      </w:numPr>
      <w:tabs>
        <w:tab w:val="left" w:pos="2880"/>
      </w:tabs>
      <w:suppressAutoHyphens/>
      <w:spacing w:after="220"/>
      <w:outlineLvl w:val="4"/>
    </w:pPr>
    <w:rPr>
      <w:b/>
      <w:sz w:val="24"/>
    </w:rPr>
  </w:style>
  <w:style w:type="paragraph" w:styleId="Heading6">
    <w:name w:val="heading 6"/>
    <w:basedOn w:val="Normal"/>
    <w:next w:val="ParaNum"/>
    <w:qFormat/>
    <w:pPr>
      <w:numPr>
        <w:ilvl w:val="5"/>
        <w:numId w:val="28"/>
      </w:numPr>
      <w:tabs>
        <w:tab w:val="left" w:pos="2880"/>
      </w:tabs>
      <w:spacing w:after="220"/>
      <w:outlineLvl w:val="5"/>
    </w:pPr>
    <w:rPr>
      <w:b/>
    </w:rPr>
  </w:style>
  <w:style w:type="paragraph" w:styleId="Heading7">
    <w:name w:val="heading 7"/>
    <w:basedOn w:val="Normal"/>
    <w:next w:val="ParaNum"/>
    <w:qFormat/>
    <w:pPr>
      <w:numPr>
        <w:ilvl w:val="6"/>
        <w:numId w:val="28"/>
      </w:numPr>
      <w:spacing w:after="240"/>
      <w:outlineLvl w:val="6"/>
    </w:pPr>
    <w:rPr>
      <w:b/>
    </w:rPr>
  </w:style>
  <w:style w:type="paragraph" w:styleId="Heading8">
    <w:name w:val="heading 8"/>
    <w:basedOn w:val="Normal"/>
    <w:next w:val="ParaNum"/>
    <w:qFormat/>
    <w:pPr>
      <w:numPr>
        <w:ilvl w:val="7"/>
        <w:numId w:val="28"/>
      </w:numPr>
      <w:tabs>
        <w:tab w:val="left" w:pos="5040"/>
      </w:tabs>
      <w:spacing w:after="240"/>
      <w:outlineLvl w:val="7"/>
    </w:pPr>
    <w:rPr>
      <w:b/>
    </w:rPr>
  </w:style>
  <w:style w:type="paragraph" w:styleId="Heading9">
    <w:name w:val="heading 9"/>
    <w:basedOn w:val="Normal"/>
    <w:next w:val="ParaNum"/>
    <w:qFormat/>
    <w:pPr>
      <w:numPr>
        <w:ilvl w:val="8"/>
        <w:numId w:val="28"/>
      </w:numPr>
      <w:tabs>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19"/>
      </w:numPr>
      <w:spacing w:after="2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semiHidden/>
    <w:pPr>
      <w:tabs>
        <w:tab w:val="left" w:pos="720"/>
        <w:tab w:val="left" w:pos="1440"/>
      </w:tabs>
      <w:spacing w:after="200"/>
      <w:ind w:right="144"/>
    </w:pPr>
  </w:style>
  <w:style w:type="character" w:styleId="FootnoteReference">
    <w:name w:val="footnote reference"/>
    <w:aliases w:val="Style 12,(NECG) Footnote Reference,Style 13,Appel note de bas de p,Style 124,fr,o,Style 3,FR,Style 17,Footnote Reference/,Style 6,Style 7"/>
    <w:semiHidden/>
    <w:rPr>
      <w:rFonts w:ascii="Times New Roman" w:hAnsi="Times New Roman"/>
      <w:dstrike w:val="0"/>
      <w:color w:val="auto"/>
      <w:sz w:val="22"/>
      <w:vertAlign w:val="superscript"/>
    </w:rPr>
  </w:style>
  <w:style w:type="paragraph" w:styleId="TOC1">
    <w:name w:val="toc 1"/>
    <w:basedOn w:val="Normal"/>
    <w:next w:val="Normal"/>
    <w:semiHidden/>
    <w:pPr>
      <w:tabs>
        <w:tab w:val="right" w:leader="dot" w:pos="9360"/>
      </w:tabs>
      <w:suppressAutoHyphens/>
      <w:spacing w:before="220"/>
      <w:ind w:left="720" w:right="720" w:hanging="720"/>
    </w:pPr>
  </w:style>
  <w:style w:type="paragraph" w:styleId="TOC2">
    <w:name w:val="toc 2"/>
    <w:basedOn w:val="Normal"/>
    <w:next w:val="Normal"/>
    <w:semiHidden/>
    <w:pPr>
      <w:tabs>
        <w:tab w:val="left" w:pos="1440"/>
        <w:tab w:val="right" w:leader="dot" w:pos="9360"/>
      </w:tabs>
      <w:suppressAutoHyphens/>
      <w:spacing w:before="220"/>
      <w:ind w:left="1440" w:right="720" w:hanging="720"/>
    </w:pPr>
  </w:style>
  <w:style w:type="paragraph" w:styleId="TOC3">
    <w:name w:val="toc 3"/>
    <w:basedOn w:val="Normal"/>
    <w:next w:val="Normal"/>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pBdr>
        <w:bottom w:val="single" w:sz="12" w:space="1" w:color="auto"/>
      </w:pBdr>
      <w:tabs>
        <w:tab w:val="center" w:pos="4680"/>
        <w:tab w:val="right" w:pos="9360"/>
      </w:tabs>
    </w:pPr>
    <w:rPr>
      <w:b/>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styleId="Caption">
    <w:name w:val="caption"/>
    <w:basedOn w:val="Normal"/>
    <w:next w:val="Normal"/>
    <w:qFormat/>
    <w:pPr>
      <w:jc w:val="center"/>
    </w:pPr>
    <w:rPr>
      <w:b/>
      <w:spacing w:val="-2"/>
    </w:rPr>
  </w:style>
  <w:style w:type="paragraph" w:customStyle="1" w:styleId="Bullet">
    <w:name w:val="Bullet"/>
    <w:basedOn w:val="Normal"/>
    <w:pPr>
      <w:numPr>
        <w:numId w:val="27"/>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styleId="Title">
    <w:name w:val="Title"/>
    <w:basedOn w:val="Normal"/>
    <w:qFormat/>
    <w:pPr>
      <w:spacing w:before="240" w:after="60"/>
      <w:jc w:val="center"/>
      <w:outlineLvl w:val="0"/>
    </w:pPr>
    <w:rPr>
      <w:rFonts w:ascii="Arial" w:hAnsi="Arial"/>
      <w:b/>
      <w:sz w:val="32"/>
    </w:rPr>
  </w:style>
  <w:style w:type="paragraph" w:styleId="BodyTextIndent">
    <w:name w:val="Body Text Indent"/>
    <w:basedOn w:val="Normal"/>
    <w:pPr>
      <w:spacing w:after="120"/>
      <w:ind w:left="360"/>
    </w:pPr>
  </w:style>
  <w:style w:type="paragraph" w:styleId="Subtitle">
    <w:name w:val="Subtitle"/>
    <w:basedOn w:val="Normal"/>
    <w:qFormat/>
    <w:pPr>
      <w:spacing w:after="60"/>
      <w:jc w:val="center"/>
      <w:outlineLvl w:val="1"/>
    </w:pPr>
    <w:rPr>
      <w:rFonts w:ascii="Arial" w:hAnsi="Arial"/>
      <w:sz w:val="24"/>
    </w:rPr>
  </w:style>
  <w:style w:type="paragraph" w:styleId="BodyText">
    <w:name w:val="Body Text"/>
    <w:basedOn w:val="Normal"/>
    <w:pPr>
      <w:spacing w:after="120"/>
    </w:pPr>
  </w:style>
  <w:style w:type="paragraph" w:customStyle="1" w:styleId="Byline">
    <w:name w:val="Byline"/>
    <w:basedOn w:val="BodyText"/>
  </w:style>
  <w:style w:type="paragraph" w:customStyle="1" w:styleId="Style0">
    <w:name w:val="Style0"/>
    <w:rPr>
      <w:rFonts w:ascii="Arial" w:hAnsi="Arial"/>
      <w:snapToGrid w:val="0"/>
      <w:sz w:val="24"/>
    </w:rPr>
  </w:style>
  <w:style w:type="paragraph" w:styleId="PlainText">
    <w:name w:val="Plain Text"/>
    <w:basedOn w:val="Normal"/>
    <w:pPr>
      <w:widowControl/>
      <w:jc w:val="left"/>
    </w:pPr>
    <w:rPr>
      <w:rFonts w:ascii="Courier New" w:hAnsi="Courier New" w:cs="Courier New"/>
      <w:snapToGrid/>
      <w:kern w:val="0"/>
      <w:sz w:val="20"/>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sid w:val="00146799"/>
    <w:rPr>
      <w:sz w:val="16"/>
      <w:szCs w:val="16"/>
    </w:rPr>
  </w:style>
  <w:style w:type="paragraph" w:styleId="CommentText">
    <w:name w:val="annotation text"/>
    <w:basedOn w:val="Normal"/>
    <w:link w:val="CommentTextChar"/>
    <w:rsid w:val="00146799"/>
    <w:rPr>
      <w:sz w:val="20"/>
    </w:rPr>
  </w:style>
  <w:style w:type="character" w:customStyle="1" w:styleId="CommentTextChar">
    <w:name w:val="Comment Text Char"/>
    <w:basedOn w:val="DefaultParagraphFont"/>
    <w:link w:val="CommentText"/>
    <w:rsid w:val="00146799"/>
    <w:rPr>
      <w:snapToGrid w:val="0"/>
      <w:kern w:val="28"/>
    </w:rPr>
  </w:style>
  <w:style w:type="paragraph" w:styleId="CommentSubject">
    <w:name w:val="annotation subject"/>
    <w:basedOn w:val="CommentText"/>
    <w:next w:val="CommentText"/>
    <w:link w:val="CommentSubjectChar"/>
    <w:rsid w:val="00146799"/>
    <w:rPr>
      <w:b/>
      <w:bCs/>
    </w:rPr>
  </w:style>
  <w:style w:type="character" w:customStyle="1" w:styleId="CommentSubjectChar">
    <w:name w:val="Comment Subject Char"/>
    <w:basedOn w:val="CommentTextChar"/>
    <w:link w:val="CommentSubject"/>
    <w:rsid w:val="00146799"/>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875606">
      <w:bodyDiv w:val="1"/>
      <w:marLeft w:val="0"/>
      <w:marRight w:val="0"/>
      <w:marTop w:val="0"/>
      <w:marBottom w:val="0"/>
      <w:divBdr>
        <w:top w:val="none" w:sz="0" w:space="0" w:color="auto"/>
        <w:left w:val="none" w:sz="0" w:space="0" w:color="auto"/>
        <w:bottom w:val="none" w:sz="0" w:space="0" w:color="auto"/>
        <w:right w:val="none" w:sz="0" w:space="0" w:color="auto"/>
      </w:divBdr>
    </w:div>
    <w:div w:id="1865901516">
      <w:bodyDiv w:val="1"/>
      <w:marLeft w:val="0"/>
      <w:marRight w:val="0"/>
      <w:marTop w:val="0"/>
      <w:marBottom w:val="0"/>
      <w:divBdr>
        <w:top w:val="none" w:sz="0" w:space="0" w:color="auto"/>
        <w:left w:val="none" w:sz="0" w:space="0" w:color="auto"/>
        <w:bottom w:val="none" w:sz="0" w:space="0" w:color="auto"/>
        <w:right w:val="none" w:sz="0" w:space="0" w:color="auto"/>
      </w:divBdr>
    </w:div>
    <w:div w:id="1902248269">
      <w:bodyDiv w:val="1"/>
      <w:marLeft w:val="0"/>
      <w:marRight w:val="0"/>
      <w:marTop w:val="0"/>
      <w:marBottom w:val="0"/>
      <w:divBdr>
        <w:top w:val="none" w:sz="0" w:space="0" w:color="auto"/>
        <w:left w:val="none" w:sz="0" w:space="0" w:color="auto"/>
        <w:bottom w:val="none" w:sz="0" w:space="0" w:color="auto"/>
        <w:right w:val="none" w:sz="0" w:space="0" w:color="auto"/>
      </w:divBdr>
    </w:div>
    <w:div w:id="192271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3539</Characters>
  <Application>Microsoft Office Word</Application>
  <DocSecurity>0</DocSecurity>
  <Lines>72</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4187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2010-03-30T18:30:00Z</cp:lastPrinted>
  <dcterms:created xsi:type="dcterms:W3CDTF">2016-12-16T17:33:00Z</dcterms:created>
  <dcterms:modified xsi:type="dcterms:W3CDTF">2016-12-16T17:33:00Z</dcterms:modified>
  <cp:category> </cp:category>
  <cp:contentStatus> </cp:contentStatus>
</cp:coreProperties>
</file>