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1914DD" w:rsidRDefault="001D4BD0" w:rsidP="001914DD">
      <w:pPr>
        <w:jc w:val="right"/>
        <w:rPr>
          <w:b/>
          <w:sz w:val="24"/>
          <w:szCs w:val="24"/>
        </w:rPr>
      </w:pPr>
      <w:r>
        <w:rPr>
          <w:b/>
          <w:sz w:val="24"/>
          <w:szCs w:val="24"/>
        </w:rPr>
        <w:lastRenderedPageBreak/>
        <w:t>DA 16-1400</w:t>
      </w:r>
    </w:p>
    <w:p w:rsidR="001914DD" w:rsidRPr="00CB544C" w:rsidRDefault="001D4BD0" w:rsidP="001914DD">
      <w:pPr>
        <w:spacing w:before="60"/>
        <w:jc w:val="right"/>
        <w:rPr>
          <w:b/>
          <w:sz w:val="24"/>
          <w:szCs w:val="24"/>
        </w:rPr>
      </w:pPr>
      <w:r>
        <w:rPr>
          <w:b/>
          <w:sz w:val="24"/>
          <w:szCs w:val="24"/>
        </w:rPr>
        <w:t>December 16</w:t>
      </w:r>
      <w:r w:rsidR="001914DD" w:rsidRPr="00CB544C">
        <w:rPr>
          <w:b/>
          <w:sz w:val="24"/>
          <w:szCs w:val="24"/>
        </w:rPr>
        <w:t>, 2016</w:t>
      </w:r>
    </w:p>
    <w:p w:rsidR="001914DD" w:rsidRDefault="001914DD" w:rsidP="001914DD">
      <w:pPr>
        <w:jc w:val="right"/>
        <w:rPr>
          <w:sz w:val="24"/>
        </w:rPr>
      </w:pPr>
    </w:p>
    <w:p w:rsidR="001914DD" w:rsidRDefault="001914DD" w:rsidP="001914DD">
      <w:pPr>
        <w:jc w:val="center"/>
        <w:rPr>
          <w:b/>
          <w:sz w:val="24"/>
        </w:rPr>
      </w:pPr>
    </w:p>
    <w:p w:rsidR="001914DD" w:rsidRDefault="001914DD" w:rsidP="001914DD">
      <w:pPr>
        <w:jc w:val="center"/>
        <w:rPr>
          <w:b/>
          <w:sz w:val="24"/>
        </w:rPr>
      </w:pPr>
      <w:r>
        <w:rPr>
          <w:b/>
          <w:sz w:val="24"/>
        </w:rPr>
        <w:t>Notice of OMB Approval of the 2015 Enhancements to the Open Internet Transparency Requirements</w:t>
      </w:r>
    </w:p>
    <w:p w:rsidR="001914DD" w:rsidRDefault="001914DD" w:rsidP="001914DD">
      <w:pPr>
        <w:jc w:val="center"/>
        <w:rPr>
          <w:b/>
          <w:sz w:val="24"/>
        </w:rPr>
      </w:pPr>
    </w:p>
    <w:p w:rsidR="001914DD" w:rsidRDefault="001914DD" w:rsidP="001914DD">
      <w:pPr>
        <w:jc w:val="center"/>
        <w:rPr>
          <w:b/>
          <w:sz w:val="24"/>
        </w:rPr>
      </w:pPr>
    </w:p>
    <w:p w:rsidR="001914DD" w:rsidRDefault="001914DD" w:rsidP="001914DD">
      <w:pPr>
        <w:jc w:val="center"/>
        <w:rPr>
          <w:b/>
          <w:sz w:val="24"/>
        </w:rPr>
      </w:pPr>
      <w:r>
        <w:rPr>
          <w:b/>
          <w:sz w:val="24"/>
        </w:rPr>
        <w:t>GN Docket No. 14-28</w:t>
      </w:r>
    </w:p>
    <w:p w:rsidR="001914DD" w:rsidRDefault="001914DD" w:rsidP="001914DD">
      <w:pPr>
        <w:jc w:val="center"/>
        <w:rPr>
          <w:sz w:val="24"/>
        </w:rPr>
      </w:pPr>
    </w:p>
    <w:p w:rsidR="001914DD" w:rsidRDefault="001914DD" w:rsidP="001914DD">
      <w:pPr>
        <w:spacing w:before="120" w:after="240"/>
        <w:ind w:firstLine="720"/>
        <w:rPr>
          <w:sz w:val="24"/>
        </w:rPr>
      </w:pPr>
      <w:r>
        <w:rPr>
          <w:sz w:val="24"/>
        </w:rPr>
        <w:t xml:space="preserve">In the </w:t>
      </w:r>
      <w:r>
        <w:rPr>
          <w:i/>
          <w:sz w:val="24"/>
        </w:rPr>
        <w:t>2015 Open Internet Order</w:t>
      </w:r>
      <w:r>
        <w:rPr>
          <w:sz w:val="24"/>
        </w:rPr>
        <w:t>,</w:t>
      </w:r>
      <w:r>
        <w:rPr>
          <w:rStyle w:val="FootnoteReference"/>
          <w:sz w:val="24"/>
        </w:rPr>
        <w:footnoteReference w:id="1"/>
      </w:r>
      <w:r>
        <w:rPr>
          <w:sz w:val="24"/>
        </w:rPr>
        <w:t xml:space="preserve"> the Commission </w:t>
      </w:r>
      <w:r w:rsidRPr="00EB2A76">
        <w:rPr>
          <w:sz w:val="24"/>
        </w:rPr>
        <w:t>adopt</w:t>
      </w:r>
      <w:r>
        <w:rPr>
          <w:sz w:val="24"/>
        </w:rPr>
        <w:t>ed</w:t>
      </w:r>
      <w:r w:rsidRPr="00EB2A76">
        <w:rPr>
          <w:sz w:val="24"/>
        </w:rPr>
        <w:t xml:space="preserve"> enhancements to the </w:t>
      </w:r>
      <w:r>
        <w:rPr>
          <w:sz w:val="24"/>
        </w:rPr>
        <w:t>T</w:t>
      </w:r>
      <w:r w:rsidRPr="00EB2A76">
        <w:rPr>
          <w:sz w:val="24"/>
        </w:rPr>
        <w:t xml:space="preserve">ransparency </w:t>
      </w:r>
      <w:r>
        <w:rPr>
          <w:sz w:val="24"/>
        </w:rPr>
        <w:t>R</w:t>
      </w:r>
      <w:r w:rsidRPr="00EB2A76">
        <w:rPr>
          <w:sz w:val="24"/>
        </w:rPr>
        <w:t>ule, which covers</w:t>
      </w:r>
      <w:r>
        <w:rPr>
          <w:sz w:val="24"/>
        </w:rPr>
        <w:t xml:space="preserve"> </w:t>
      </w:r>
      <w:r w:rsidRPr="00EB2A76">
        <w:rPr>
          <w:sz w:val="24"/>
        </w:rPr>
        <w:t>both content and format of disclosures by providers of broadband Internet access service</w:t>
      </w:r>
      <w:r>
        <w:rPr>
          <w:sz w:val="24"/>
        </w:rPr>
        <w:t>.</w:t>
      </w:r>
      <w:r w:rsidDel="00EB2A76">
        <w:rPr>
          <w:sz w:val="24"/>
        </w:rPr>
        <w:t xml:space="preserve"> </w:t>
      </w:r>
      <w:r>
        <w:rPr>
          <w:rStyle w:val="FootnoteReference"/>
          <w:sz w:val="24"/>
        </w:rPr>
        <w:footnoteReference w:id="2"/>
      </w:r>
      <w:r>
        <w:rPr>
          <w:sz w:val="24"/>
        </w:rPr>
        <w:t xml:space="preserve">  The Commission stated that it would announce an effective date for these enhanced disclosures in the </w:t>
      </w:r>
      <w:r w:rsidRPr="006028E1">
        <w:rPr>
          <w:i/>
          <w:sz w:val="24"/>
        </w:rPr>
        <w:t>Federal Register</w:t>
      </w:r>
      <w:r>
        <w:rPr>
          <w:sz w:val="24"/>
        </w:rPr>
        <w:t xml:space="preserve"> following information collection approval of the enhancements by the Office of Management and Budget (OMB).</w:t>
      </w:r>
      <w:r>
        <w:rPr>
          <w:rStyle w:val="FootnoteReference"/>
          <w:sz w:val="24"/>
        </w:rPr>
        <w:footnoteReference w:id="3"/>
      </w:r>
      <w:r>
        <w:rPr>
          <w:sz w:val="24"/>
        </w:rPr>
        <w:t xml:space="preserve">  </w:t>
      </w:r>
    </w:p>
    <w:p w:rsidR="001914DD" w:rsidRDefault="001914DD" w:rsidP="001914DD">
      <w:pPr>
        <w:spacing w:before="120" w:after="240"/>
        <w:ind w:firstLine="720"/>
        <w:rPr>
          <w:sz w:val="24"/>
        </w:rPr>
      </w:pPr>
      <w:r>
        <w:rPr>
          <w:sz w:val="24"/>
        </w:rPr>
        <w:t>On December 15, 2016, OMB approved the enhanced disclosures adopted by the Commission in 2015 (Control No. 3060-1158 for fixed broadband Internet access service and Control No. 3060-1220 for mobile broadband Internet access service).</w:t>
      </w:r>
      <w:r>
        <w:rPr>
          <w:rStyle w:val="FootnoteReference"/>
          <w:sz w:val="24"/>
        </w:rPr>
        <w:footnoteReference w:id="4"/>
      </w:r>
      <w:r>
        <w:rPr>
          <w:sz w:val="24"/>
        </w:rPr>
        <w:t xml:space="preserve">  </w:t>
      </w:r>
      <w:r w:rsidDel="00914976">
        <w:rPr>
          <w:sz w:val="24"/>
        </w:rPr>
        <w:t xml:space="preserve"> </w:t>
      </w:r>
      <w:r>
        <w:rPr>
          <w:sz w:val="24"/>
        </w:rPr>
        <w:t xml:space="preserve">The Commission has </w:t>
      </w:r>
      <w:r>
        <w:rPr>
          <w:sz w:val="24"/>
        </w:rPr>
        <w:lastRenderedPageBreak/>
        <w:t xml:space="preserve">sent a notice to the </w:t>
      </w:r>
      <w:r>
        <w:rPr>
          <w:i/>
          <w:sz w:val="24"/>
        </w:rPr>
        <w:t>Federal Register</w:t>
      </w:r>
      <w:r>
        <w:rPr>
          <w:sz w:val="24"/>
        </w:rPr>
        <w:t xml:space="preserve"> for publication, announcing OMB approval and an effective date of January 17, 2017, for the enhanced disclosure requirements.</w:t>
      </w:r>
      <w:r>
        <w:rPr>
          <w:rStyle w:val="FootnoteReference"/>
          <w:sz w:val="24"/>
        </w:rPr>
        <w:footnoteReference w:id="5"/>
      </w:r>
      <w:r>
        <w:rPr>
          <w:sz w:val="24"/>
        </w:rPr>
        <w:t xml:space="preserve">  </w:t>
      </w:r>
    </w:p>
    <w:p w:rsidR="001914DD" w:rsidRPr="006028E1" w:rsidRDefault="001914DD" w:rsidP="001914DD">
      <w:pPr>
        <w:spacing w:before="120" w:after="240"/>
        <w:ind w:firstLine="720"/>
        <w:rPr>
          <w:sz w:val="24"/>
        </w:rPr>
      </w:pPr>
      <w:r>
        <w:rPr>
          <w:sz w:val="24"/>
        </w:rPr>
        <w:t xml:space="preserve">For further information on this proceeding, contact John B. Adams, </w:t>
      </w:r>
      <w:hyperlink r:id="rId14" w:history="1">
        <w:r w:rsidRPr="00461589">
          <w:rPr>
            <w:rStyle w:val="Hyperlink"/>
            <w:sz w:val="24"/>
          </w:rPr>
          <w:t>JohnB.Adams@fcc.gov</w:t>
        </w:r>
      </w:hyperlink>
      <w:r>
        <w:rPr>
          <w:sz w:val="24"/>
        </w:rPr>
        <w:t xml:space="preserve">, 202-418-2854. Press Inquiries: Shannon Gilson, </w:t>
      </w:r>
      <w:hyperlink r:id="rId15" w:history="1">
        <w:r w:rsidRPr="00632EAD">
          <w:rPr>
            <w:rStyle w:val="Hyperlink"/>
            <w:sz w:val="24"/>
          </w:rPr>
          <w:t>Shannon.Gilson@fcc.gov</w:t>
        </w:r>
      </w:hyperlink>
      <w:r>
        <w:rPr>
          <w:sz w:val="24"/>
        </w:rPr>
        <w:t>, 202-418-0505.</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20" w:rsidRDefault="009C3620">
      <w:r>
        <w:separator/>
      </w:r>
    </w:p>
  </w:endnote>
  <w:endnote w:type="continuationSeparator" w:id="0">
    <w:p w:rsidR="009C3620" w:rsidRDefault="009C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6" w:rsidRDefault="00714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6" w:rsidRDefault="00714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6" w:rsidRDefault="0071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20" w:rsidRDefault="009C3620">
      <w:r>
        <w:separator/>
      </w:r>
    </w:p>
  </w:footnote>
  <w:footnote w:type="continuationSeparator" w:id="0">
    <w:p w:rsidR="009C3620" w:rsidRDefault="009C3620">
      <w:r>
        <w:continuationSeparator/>
      </w:r>
    </w:p>
  </w:footnote>
  <w:footnote w:id="1">
    <w:p w:rsidR="001914DD" w:rsidRDefault="001914DD" w:rsidP="001914DD">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5669-5682, paras. 154-185 (</w:t>
      </w:r>
      <w:r>
        <w:rPr>
          <w:i/>
        </w:rPr>
        <w:t>2015 Open Internet Order</w:t>
      </w:r>
      <w:r>
        <w:t>).</w:t>
      </w:r>
    </w:p>
  </w:footnote>
  <w:footnote w:id="2">
    <w:p w:rsidR="001914DD" w:rsidRDefault="001914DD" w:rsidP="001914DD">
      <w:pPr>
        <w:pStyle w:val="FootnoteText"/>
      </w:pPr>
      <w:r>
        <w:rPr>
          <w:rStyle w:val="FootnoteReference"/>
        </w:rPr>
        <w:footnoteRef/>
      </w:r>
      <w:r>
        <w:t xml:space="preserve"> 47 C.F.R. § 8.3. </w:t>
      </w:r>
    </w:p>
  </w:footnote>
  <w:footnote w:id="3">
    <w:p w:rsidR="001914DD" w:rsidRPr="006028E1" w:rsidRDefault="001914DD" w:rsidP="001914DD">
      <w:pPr>
        <w:pStyle w:val="FootnoteText"/>
      </w:pPr>
      <w:r>
        <w:rPr>
          <w:rStyle w:val="FootnoteReference"/>
        </w:rPr>
        <w:footnoteRef/>
      </w:r>
      <w:r>
        <w:t xml:space="preserve"> </w:t>
      </w:r>
      <w:r>
        <w:rPr>
          <w:i/>
        </w:rPr>
        <w:t>2015 Open Internet Order</w:t>
      </w:r>
      <w:r>
        <w:t xml:space="preserve">, </w:t>
      </w:r>
      <w:r w:rsidRPr="009D7FA0">
        <w:t>30 FCC Rcd</w:t>
      </w:r>
      <w:r>
        <w:t xml:space="preserve"> at 5881, para. 585.</w:t>
      </w:r>
    </w:p>
  </w:footnote>
  <w:footnote w:id="4">
    <w:p w:rsidR="001914DD" w:rsidRPr="00512A05" w:rsidRDefault="001914DD" w:rsidP="001914DD">
      <w:pPr>
        <w:pStyle w:val="FootnoteText"/>
        <w:rPr>
          <w:szCs w:val="22"/>
        </w:rPr>
      </w:pPr>
      <w:r w:rsidRPr="00AE4798">
        <w:rPr>
          <w:rStyle w:val="FootnoteReference"/>
        </w:rPr>
        <w:footnoteRef/>
      </w:r>
      <w:r w:rsidRPr="00AE4798">
        <w:t xml:space="preserve"> </w:t>
      </w:r>
      <w:r w:rsidRPr="00512A05">
        <w:rPr>
          <w:i/>
          <w:szCs w:val="22"/>
        </w:rPr>
        <w:t xml:space="preserve">See </w:t>
      </w:r>
      <w:r w:rsidRPr="00512A05">
        <w:rPr>
          <w:szCs w:val="22"/>
        </w:rPr>
        <w:t xml:space="preserve">Notice of Office of Management and Budget Action, OMB Control No. 3060-1158 (approved Dec. 15, 2016), </w:t>
      </w:r>
      <w:r w:rsidRPr="00512A05">
        <w:rPr>
          <w:i/>
          <w:szCs w:val="22"/>
        </w:rPr>
        <w:t xml:space="preserve">available at </w:t>
      </w:r>
      <w:hyperlink r:id="rId1" w:history="1">
        <w:r w:rsidRPr="00512A05">
          <w:rPr>
            <w:rStyle w:val="Hyperlink"/>
            <w:szCs w:val="22"/>
          </w:rPr>
          <w:t>https://www.reginfo.gov/public/do/PRAViewICR?ref_nbr=201608-3060-005</w:t>
        </w:r>
      </w:hyperlink>
      <w:r w:rsidRPr="00512A05">
        <w:rPr>
          <w:szCs w:val="22"/>
        </w:rPr>
        <w:t xml:space="preserve">; Notice of Office of Management and Budget Action, OMB Control No. 3060-1220 (approved Dec. 15, 2016), </w:t>
      </w:r>
      <w:r w:rsidRPr="00512A05">
        <w:rPr>
          <w:i/>
          <w:szCs w:val="22"/>
        </w:rPr>
        <w:t xml:space="preserve">available at </w:t>
      </w:r>
      <w:hyperlink r:id="rId2" w:history="1">
        <w:r w:rsidRPr="00512A05">
          <w:rPr>
            <w:color w:val="0000FF"/>
            <w:szCs w:val="22"/>
            <w:u w:val="single"/>
          </w:rPr>
          <w:t>https://www.reginfo.gov/public/do/PRAViewICR?ref_nbr=201612-3060-012</w:t>
        </w:r>
      </w:hyperlink>
      <w:r w:rsidRPr="00512A05">
        <w:rPr>
          <w:szCs w:val="22"/>
        </w:rPr>
        <w:t>.</w:t>
      </w:r>
      <w:r w:rsidRPr="00512A05" w:rsidDel="009D7FA0">
        <w:rPr>
          <w:szCs w:val="22"/>
        </w:rPr>
        <w:t xml:space="preserve"> </w:t>
      </w:r>
      <w:r w:rsidRPr="00512A05">
        <w:rPr>
          <w:szCs w:val="22"/>
        </w:rPr>
        <w:t xml:space="preserve"> </w:t>
      </w:r>
      <w:r w:rsidRPr="00402F69">
        <w:rPr>
          <w:szCs w:val="22"/>
        </w:rPr>
        <w:t>The requirement that mobile BIAS providers disclose packet loss will not become effective as OMB has not approved that requirement at this time.  OMB has also not approved designation of the Measuring Broadband America program as a safe harbor for mobile BIAS providers at this time.</w:t>
      </w:r>
    </w:p>
  </w:footnote>
  <w:footnote w:id="5">
    <w:p w:rsidR="001914DD" w:rsidRDefault="001914DD" w:rsidP="001914DD">
      <w:pPr>
        <w:pStyle w:val="FootnoteText"/>
      </w:pPr>
      <w:r>
        <w:rPr>
          <w:rStyle w:val="FootnoteReference"/>
        </w:rPr>
        <w:footnoteRef/>
      </w:r>
      <w:r>
        <w:t xml:space="preserve"> </w:t>
      </w:r>
      <w:r w:rsidRPr="00AE4798">
        <w:rPr>
          <w:i/>
        </w:rPr>
        <w:t>See</w:t>
      </w:r>
      <w:r>
        <w:t xml:space="preserve"> </w:t>
      </w:r>
      <w:r w:rsidRPr="00AE4798">
        <w:rPr>
          <w:i/>
        </w:rPr>
        <w:t>supra</w:t>
      </w:r>
      <w:r>
        <w:t xml:space="preserve"> n. 3 and accompanying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6" w:rsidRDefault="00714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D6" w:rsidRDefault="00714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5014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5014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E65A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DD"/>
    <w:rsid w:val="000265AE"/>
    <w:rsid w:val="000F63CC"/>
    <w:rsid w:val="001914DD"/>
    <w:rsid w:val="001D4BD0"/>
    <w:rsid w:val="00602577"/>
    <w:rsid w:val="007140D6"/>
    <w:rsid w:val="009C3620"/>
    <w:rsid w:val="00CE3803"/>
    <w:rsid w:val="00D17DC0"/>
    <w:rsid w:val="00D60EFF"/>
    <w:rsid w:val="00E5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nnon.Gilson@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hnB.Adams@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PRAViewICR?ref_nbr=201612-3060-012" TargetMode="External"/><Relationship Id="rId1" Type="http://schemas.openxmlformats.org/officeDocument/2006/relationships/hyperlink" Target="https://www.reginfo.gov/public/do/PRAViewICR?ref_nbr=201608-3060-0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165</Words>
  <Characters>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2016-12-16T18:46:00Z</dcterms:created>
  <dcterms:modified xsi:type="dcterms:W3CDTF">2016-12-16T18:46:00Z</dcterms:modified>
  <cp:category> </cp:category>
  <cp:contentStatus> </cp:contentStatus>
</cp:coreProperties>
</file>