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CF" w:rsidRDefault="00B03ECF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B03ECF" w:rsidRDefault="00B03ECF">
      <w:pPr>
        <w:jc w:val="center"/>
        <w:outlineLvl w:val="0"/>
        <w:rPr>
          <w:b/>
        </w:rPr>
      </w:pPr>
      <w:r>
        <w:rPr>
          <w:b/>
        </w:rPr>
        <w:t>Federal Communications Commission</w:t>
      </w:r>
    </w:p>
    <w:p w:rsidR="00B03ECF" w:rsidRDefault="00B03ECF">
      <w:pPr>
        <w:jc w:val="center"/>
        <w:outlineLvl w:val="0"/>
        <w:rPr>
          <w:b/>
        </w:rPr>
      </w:pPr>
      <w:r>
        <w:rPr>
          <w:b/>
        </w:rPr>
        <w:t>Washington, D.C. 20554</w:t>
      </w:r>
    </w:p>
    <w:p w:rsidR="00B03ECF" w:rsidRDefault="00B03ECF"/>
    <w:p w:rsidR="00B03ECF" w:rsidRDefault="00B03EC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B03ECF">
        <w:tc>
          <w:tcPr>
            <w:tcW w:w="4698" w:type="dxa"/>
          </w:tcPr>
          <w:p w:rsidR="00B03ECF" w:rsidRDefault="00DA1170">
            <w:pPr>
              <w:ind w:right="-18"/>
            </w:pPr>
            <w:r>
              <w:t>In the M</w:t>
            </w:r>
            <w:r w:rsidR="00B03ECF">
              <w:t>atter of</w:t>
            </w:r>
          </w:p>
          <w:p w:rsidR="00B03ECF" w:rsidRDefault="00B03ECF">
            <w:pPr>
              <w:ind w:right="-18"/>
            </w:pPr>
          </w:p>
          <w:p w:rsidR="00B03ECF" w:rsidRDefault="00B03ECF">
            <w:pPr>
              <w:ind w:right="-18"/>
            </w:pPr>
            <w:r>
              <w:t xml:space="preserve">Promoting Diversification in the </w:t>
            </w:r>
          </w:p>
          <w:p w:rsidR="00B03ECF" w:rsidRDefault="00B03ECF">
            <w:pPr>
              <w:ind w:right="-18"/>
            </w:pPr>
            <w:r>
              <w:t>Broadcasting Services</w:t>
            </w:r>
          </w:p>
          <w:p w:rsidR="00B03ECF" w:rsidRDefault="00B03ECF">
            <w:pPr>
              <w:ind w:right="-18"/>
            </w:pPr>
          </w:p>
          <w:p w:rsidR="00B03ECF" w:rsidRDefault="00DA1170">
            <w:pPr>
              <w:ind w:right="-18"/>
            </w:pPr>
            <w:r>
              <w:t>Amendment of Part 1</w:t>
            </w:r>
            <w:r w:rsidRPr="00C465FC">
              <w:rPr>
                <w:spacing w:val="-2"/>
                <w:szCs w:val="22"/>
              </w:rPr>
              <w:t xml:space="preserve"> of the Commission’s Rules, Concerning Practice and Procedure, Amendment of CORES Registration System</w:t>
            </w:r>
          </w:p>
        </w:tc>
        <w:tc>
          <w:tcPr>
            <w:tcW w:w="720" w:type="dxa"/>
          </w:tcPr>
          <w:p w:rsidR="00B03ECF" w:rsidRDefault="00B03EC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B03ECF" w:rsidRDefault="00B03EC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B03ECF" w:rsidRDefault="00B03EC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B03ECF" w:rsidRDefault="00B03EC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B03ECF" w:rsidRDefault="00B03EC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B03ECF" w:rsidRDefault="00B03EC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B03ECF" w:rsidRDefault="00B03EC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B03ECF" w:rsidRDefault="00B03EC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B03ECF" w:rsidRDefault="00B03ECF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230" w:type="dxa"/>
          </w:tcPr>
          <w:p w:rsidR="00B03ECF" w:rsidRDefault="00B03ECF"/>
          <w:p w:rsidR="00B03ECF" w:rsidRDefault="00B03ECF"/>
          <w:p w:rsidR="00B03ECF" w:rsidRDefault="00B03ECF">
            <w:r>
              <w:t>MB Docket No. 07-294</w:t>
            </w:r>
          </w:p>
          <w:p w:rsidR="00B03ECF" w:rsidRDefault="00B03ECF">
            <w:pPr>
              <w:rPr>
                <w:spacing w:val="-2"/>
              </w:rPr>
            </w:pPr>
          </w:p>
          <w:p w:rsidR="00B03ECF" w:rsidRDefault="00B03ECF">
            <w:pPr>
              <w:rPr>
                <w:spacing w:val="-2"/>
              </w:rPr>
            </w:pPr>
          </w:p>
          <w:p w:rsidR="00B03ECF" w:rsidRDefault="00B03ECF">
            <w:pPr>
              <w:rPr>
                <w:spacing w:val="-2"/>
              </w:rPr>
            </w:pPr>
            <w:r>
              <w:rPr>
                <w:spacing w:val="-2"/>
              </w:rPr>
              <w:t>M</w:t>
            </w:r>
            <w:r w:rsidR="00DA1170">
              <w:rPr>
                <w:spacing w:val="-2"/>
              </w:rPr>
              <w:t>D</w:t>
            </w:r>
            <w:r>
              <w:rPr>
                <w:spacing w:val="-2"/>
              </w:rPr>
              <w:t xml:space="preserve"> Docket No. </w:t>
            </w:r>
            <w:r w:rsidR="00DA1170">
              <w:rPr>
                <w:spacing w:val="-2"/>
              </w:rPr>
              <w:t>10-234</w:t>
            </w:r>
          </w:p>
          <w:p w:rsidR="00B03ECF" w:rsidRDefault="00B03ECF">
            <w:pPr>
              <w:rPr>
                <w:spacing w:val="-2"/>
              </w:rPr>
            </w:pPr>
          </w:p>
          <w:p w:rsidR="00B03ECF" w:rsidRDefault="00B03ECF">
            <w:pPr>
              <w:rPr>
                <w:spacing w:val="-2"/>
              </w:rPr>
            </w:pPr>
          </w:p>
          <w:p w:rsidR="00B03ECF" w:rsidRDefault="00B03ECF">
            <w:pPr>
              <w:rPr>
                <w:spacing w:val="-2"/>
              </w:rPr>
            </w:pPr>
          </w:p>
          <w:p w:rsidR="00B03ECF" w:rsidRDefault="00B03ECF">
            <w:pPr>
              <w:rPr>
                <w:spacing w:val="-2"/>
              </w:rPr>
            </w:pPr>
          </w:p>
          <w:p w:rsidR="00B03ECF" w:rsidRDefault="00B03ECF"/>
        </w:tc>
      </w:tr>
    </w:tbl>
    <w:p w:rsidR="00B03ECF" w:rsidRDefault="00B03ECF">
      <w:pPr>
        <w:spacing w:before="120"/>
        <w:jc w:val="center"/>
        <w:outlineLvl w:val="0"/>
        <w:rPr>
          <w:b/>
          <w:caps/>
        </w:rPr>
      </w:pPr>
      <w:r>
        <w:rPr>
          <w:b/>
          <w:caps/>
          <w:spacing w:val="-2"/>
        </w:rPr>
        <w:t>Order</w:t>
      </w:r>
    </w:p>
    <w:p w:rsidR="00B03ECF" w:rsidRDefault="00B03ECF"/>
    <w:p w:rsidR="00B03ECF" w:rsidRDefault="00B03ECF">
      <w:pPr>
        <w:tabs>
          <w:tab w:val="left" w:pos="5760"/>
        </w:tabs>
        <w:rPr>
          <w:b/>
        </w:rPr>
      </w:pPr>
      <w:r>
        <w:rPr>
          <w:b/>
        </w:rPr>
        <w:t xml:space="preserve">Adopted:  </w:t>
      </w:r>
      <w:r w:rsidR="00C20A9F">
        <w:rPr>
          <w:b/>
        </w:rPr>
        <w:t>December</w:t>
      </w:r>
      <w:r>
        <w:rPr>
          <w:b/>
        </w:rPr>
        <w:t xml:space="preserve"> </w:t>
      </w:r>
      <w:r w:rsidR="00982A05">
        <w:rPr>
          <w:b/>
        </w:rPr>
        <w:t>20</w:t>
      </w:r>
      <w:r>
        <w:rPr>
          <w:b/>
        </w:rPr>
        <w:t>, 20</w:t>
      </w:r>
      <w:r w:rsidR="00C20A9F">
        <w:rPr>
          <w:b/>
        </w:rPr>
        <w:t>16</w:t>
      </w:r>
      <w:r w:rsidR="00C20A9F">
        <w:rPr>
          <w:b/>
        </w:rPr>
        <w:tab/>
        <w:t xml:space="preserve">            </w:t>
      </w:r>
      <w:r>
        <w:rPr>
          <w:b/>
        </w:rPr>
        <w:t xml:space="preserve">Released:  </w:t>
      </w:r>
      <w:r w:rsidR="00C20A9F">
        <w:rPr>
          <w:b/>
        </w:rPr>
        <w:t xml:space="preserve">December </w:t>
      </w:r>
      <w:r w:rsidR="00982A05">
        <w:rPr>
          <w:b/>
        </w:rPr>
        <w:t>20</w:t>
      </w:r>
      <w:r w:rsidR="00C20A9F">
        <w:rPr>
          <w:b/>
        </w:rPr>
        <w:t>, 2016</w:t>
      </w:r>
    </w:p>
    <w:p w:rsidR="00B03ECF" w:rsidRDefault="00B03ECF">
      <w:pPr>
        <w:tabs>
          <w:tab w:val="left" w:pos="5760"/>
        </w:tabs>
        <w:rPr>
          <w:b/>
        </w:rPr>
      </w:pPr>
    </w:p>
    <w:p w:rsidR="00B03ECF" w:rsidRDefault="00B03ECF">
      <w:pPr>
        <w:tabs>
          <w:tab w:val="left" w:pos="5760"/>
        </w:tabs>
      </w:pPr>
      <w:r>
        <w:t>By the Chief, Media Bureau: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D0479C" w:rsidRDefault="00B03ECF" w:rsidP="008D7AA4">
      <w:pPr>
        <w:pStyle w:val="ParaNum"/>
      </w:pPr>
      <w:r>
        <w:t xml:space="preserve">On </w:t>
      </w:r>
      <w:r w:rsidR="008D7AA4">
        <w:t>January 8, 2016</w:t>
      </w:r>
      <w:r>
        <w:t xml:space="preserve">, the Commission adopted a </w:t>
      </w:r>
      <w:r w:rsidR="008D7AA4">
        <w:rPr>
          <w:i/>
        </w:rPr>
        <w:t>Report and Order, Second Report and Order, and Order on Reconsideration</w:t>
      </w:r>
      <w:r>
        <w:t xml:space="preserve"> </w:t>
      </w:r>
      <w:r w:rsidR="00350688">
        <w:t>(</w:t>
      </w:r>
      <w:r w:rsidR="00350688">
        <w:rPr>
          <w:i/>
        </w:rPr>
        <w:t xml:space="preserve">Report and </w:t>
      </w:r>
      <w:r w:rsidR="00350688" w:rsidRPr="00350688">
        <w:rPr>
          <w:i/>
        </w:rPr>
        <w:t>Order</w:t>
      </w:r>
      <w:r w:rsidR="00350688">
        <w:t xml:space="preserve">) </w:t>
      </w:r>
      <w:r w:rsidRPr="00350688">
        <w:t>in</w:t>
      </w:r>
      <w:r>
        <w:t xml:space="preserve"> the above-captioned proceeding</w:t>
      </w:r>
      <w:r w:rsidR="006E50A3">
        <w:t>s</w:t>
      </w:r>
      <w:r>
        <w:t>.</w:t>
      </w:r>
      <w:r>
        <w:rPr>
          <w:rStyle w:val="FootnoteReference"/>
        </w:rPr>
        <w:footnoteReference w:id="2"/>
      </w:r>
      <w:r>
        <w:t xml:space="preserve">  </w:t>
      </w:r>
      <w:r w:rsidR="00E64F18">
        <w:t>In pertinent part</w:t>
      </w:r>
      <w:r w:rsidR="00D0479C">
        <w:t xml:space="preserve">, the </w:t>
      </w:r>
      <w:r w:rsidR="00D0479C">
        <w:rPr>
          <w:i/>
        </w:rPr>
        <w:t xml:space="preserve">Report and Order </w:t>
      </w:r>
      <w:r w:rsidR="004055B5">
        <w:t>adopted</w:t>
      </w:r>
      <w:r w:rsidR="00D0479C">
        <w:t xml:space="preserve"> revisions to FCC Form 323-E, Ownership Report for Noncommercial Broadcast Stations,</w:t>
      </w:r>
      <w:r w:rsidR="004055B5">
        <w:t xml:space="preserve"> and the </w:t>
      </w:r>
      <w:r w:rsidR="00450CD7">
        <w:t xml:space="preserve">relevant </w:t>
      </w:r>
      <w:r w:rsidR="004055B5">
        <w:t>Comm</w:t>
      </w:r>
      <w:r w:rsidR="00450CD7">
        <w:t>ission</w:t>
      </w:r>
      <w:r w:rsidR="004055B5">
        <w:t xml:space="preserve"> rules</w:t>
      </w:r>
      <w:r w:rsidR="00D0479C">
        <w:t xml:space="preserve"> </w:t>
      </w:r>
      <w:r w:rsidR="00E64F18">
        <w:t>to</w:t>
      </w:r>
      <w:r w:rsidR="00D0479C">
        <w:t xml:space="preserve"> conform the</w:t>
      </w:r>
      <w:r w:rsidR="004055B5">
        <w:t xml:space="preserve"> ownership</w:t>
      </w:r>
      <w:r w:rsidR="00D0479C">
        <w:t xml:space="preserve"> reporting requirements for noncommercial educational (NCE) broadcast stations more closely to those for commercial broadcast stations.</w:t>
      </w:r>
      <w:r w:rsidR="001D1538">
        <w:rPr>
          <w:rStyle w:val="FootnoteReference"/>
        </w:rPr>
        <w:footnoteReference w:id="3"/>
      </w:r>
      <w:r w:rsidR="00D0479C">
        <w:t xml:space="preserve">  Those changes included </w:t>
      </w:r>
      <w:r w:rsidR="00125641">
        <w:t>substituting a uniform biennial filing deadline for the current system of rolling filing deadlines tied to a station’s renewal anniversary.</w:t>
      </w:r>
      <w:r w:rsidR="001D1538">
        <w:rPr>
          <w:rStyle w:val="FootnoteReference"/>
        </w:rPr>
        <w:footnoteReference w:id="4"/>
      </w:r>
      <w:r w:rsidR="00D0479C">
        <w:t xml:space="preserve"> </w:t>
      </w:r>
      <w:r w:rsidR="00125641">
        <w:t xml:space="preserve"> Pursuant to the </w:t>
      </w:r>
      <w:r w:rsidR="004055B5">
        <w:t xml:space="preserve">revised </w:t>
      </w:r>
      <w:r w:rsidR="00C91A49">
        <w:t xml:space="preserve">reporting </w:t>
      </w:r>
      <w:r w:rsidR="004055B5">
        <w:t xml:space="preserve">requirements, </w:t>
      </w:r>
      <w:r w:rsidR="00C91A49">
        <w:t>licensees of NCE stations and entities with attributable interests</w:t>
      </w:r>
      <w:r w:rsidR="0025522A">
        <w:t xml:space="preserve"> in such stations</w:t>
      </w:r>
      <w:r w:rsidR="004055B5">
        <w:t xml:space="preserve"> will be required to file</w:t>
      </w:r>
      <w:r w:rsidR="0025522A">
        <w:t xml:space="preserve"> biennial ownership reports on</w:t>
      </w:r>
      <w:r w:rsidR="004055B5">
        <w:t xml:space="preserve"> </w:t>
      </w:r>
      <w:r w:rsidR="00E82DD2">
        <w:t>the revised version of Form 323-E—</w:t>
      </w:r>
      <w:r w:rsidR="0025522A">
        <w:t>FCC Form 2100, Schedule 323-E—</w:t>
      </w:r>
      <w:r w:rsidR="004055B5">
        <w:t>on or before December 1, 2017, with information current as of October 1, 2017, and to file biennially thereafter.</w:t>
      </w:r>
      <w:r w:rsidR="00F157E7">
        <w:rPr>
          <w:rStyle w:val="FootnoteReference"/>
        </w:rPr>
        <w:footnoteReference w:id="5"/>
      </w:r>
    </w:p>
    <w:p w:rsidR="002E4E40" w:rsidRDefault="002E4E40" w:rsidP="008D7AA4">
      <w:pPr>
        <w:pStyle w:val="ParaNum"/>
      </w:pPr>
      <w:r>
        <w:t xml:space="preserve">On our own motion, we are suspending the </w:t>
      </w:r>
      <w:r w:rsidR="003E020B">
        <w:t xml:space="preserve">existing </w:t>
      </w:r>
      <w:r w:rsidR="0025522A">
        <w:t xml:space="preserve">biennial </w:t>
      </w:r>
      <w:r>
        <w:t xml:space="preserve">filing requirement for </w:t>
      </w:r>
      <w:r w:rsidR="009D4E6F">
        <w:t xml:space="preserve">NCE </w:t>
      </w:r>
      <w:r>
        <w:t xml:space="preserve">licensees </w:t>
      </w:r>
      <w:r w:rsidR="009D4E6F">
        <w:t>and entities that</w:t>
      </w:r>
      <w:r>
        <w:t xml:space="preserve"> would otherwise be required to file </w:t>
      </w:r>
      <w:r w:rsidR="003E020B">
        <w:t xml:space="preserve">biennial ownership reports on Form 323-E </w:t>
      </w:r>
      <w:r>
        <w:lastRenderedPageBreak/>
        <w:t xml:space="preserve">between the date of this Order and </w:t>
      </w:r>
      <w:r w:rsidR="00E82DD2">
        <w:t xml:space="preserve">the deadline for filing biennial ownership reports on </w:t>
      </w:r>
      <w:r w:rsidR="00D12400">
        <w:t>Form 2100, Schedule 323-E</w:t>
      </w:r>
      <w:r w:rsidR="003205E0">
        <w:t>.</w:t>
      </w:r>
      <w:r w:rsidR="00A35485">
        <w:rPr>
          <w:rStyle w:val="FootnoteReference"/>
        </w:rPr>
        <w:footnoteReference w:id="6"/>
      </w:r>
      <w:r w:rsidR="003205E0">
        <w:t xml:space="preserve">  Accordingly, NCE licensees and other filing entities are not required to </w:t>
      </w:r>
      <w:r w:rsidR="00EC4982">
        <w:t xml:space="preserve">biennially </w:t>
      </w:r>
      <w:r w:rsidR="003205E0">
        <w:t xml:space="preserve">file </w:t>
      </w:r>
      <w:r w:rsidR="00EC4982">
        <w:t xml:space="preserve">the existing </w:t>
      </w:r>
      <w:r w:rsidR="003205E0">
        <w:t xml:space="preserve">Form 323-E </w:t>
      </w:r>
      <w:r w:rsidR="00EC4982">
        <w:t xml:space="preserve">on February 1, April 1, June 1, August 1, </w:t>
      </w:r>
      <w:r w:rsidR="006857D1">
        <w:t>or</w:t>
      </w:r>
      <w:r w:rsidR="00EC4982">
        <w:t xml:space="preserve"> October 1</w:t>
      </w:r>
      <w:r>
        <w:t>.</w:t>
      </w:r>
      <w:r w:rsidR="00456757">
        <w:rPr>
          <w:rStyle w:val="FootnoteReference"/>
        </w:rPr>
        <w:footnoteReference w:id="7"/>
      </w:r>
      <w:r w:rsidR="00D12400">
        <w:t xml:space="preserve">  We believe that it is in the public interest to relieve filers </w:t>
      </w:r>
      <w:r w:rsidR="00304CBA">
        <w:t xml:space="preserve">of </w:t>
      </w:r>
      <w:r w:rsidR="00D12400">
        <w:t>the burden of filing</w:t>
      </w:r>
      <w:r w:rsidR="003E020B">
        <w:t xml:space="preserve"> biennial ownership reports on</w:t>
      </w:r>
      <w:r w:rsidR="00D12400">
        <w:t xml:space="preserve"> the existing Form 323-E within the year prior to the new December 1 filing requirement.  On balance, we believe that the burden of requiring licensees and other entities to file </w:t>
      </w:r>
      <w:r w:rsidR="003E020B">
        <w:t xml:space="preserve">biennial reports </w:t>
      </w:r>
      <w:r w:rsidR="00B00356">
        <w:t xml:space="preserve">twice within </w:t>
      </w:r>
      <w:r w:rsidR="006E50A3">
        <w:t xml:space="preserve">the same year </w:t>
      </w:r>
      <w:r w:rsidR="00B00356">
        <w:t>outweighs the benefit of receiving the</w:t>
      </w:r>
      <w:r w:rsidR="003E020B">
        <w:t xml:space="preserve"> biennial</w:t>
      </w:r>
      <w:r w:rsidR="00B00356">
        <w:t xml:space="preserve"> ownership information.  </w:t>
      </w:r>
    </w:p>
    <w:p w:rsidR="00B00356" w:rsidRDefault="00B00356" w:rsidP="00B00356">
      <w:pPr>
        <w:pStyle w:val="ParaNum"/>
      </w:pPr>
      <w:r>
        <w:rPr>
          <w:szCs w:val="22"/>
        </w:rPr>
        <w:t>Accordingly, IT IS ORDERED, that</w:t>
      </w:r>
      <w:r w:rsidR="002B7E55">
        <w:rPr>
          <w:szCs w:val="22"/>
        </w:rPr>
        <w:t>,</w:t>
      </w:r>
      <w:r>
        <w:rPr>
          <w:szCs w:val="22"/>
        </w:rPr>
        <w:t xml:space="preserve"> </w:t>
      </w:r>
      <w:r>
        <w:t>pursuant to Sections 4(i) and 303(r) of the Communications Act of 1934, as amended, 47 U.S.C. §§ 154</w:t>
      </w:r>
      <w:r w:rsidR="00325AFD">
        <w:t>(i)</w:t>
      </w:r>
      <w:r>
        <w:t xml:space="preserve"> and 303(r)</w:t>
      </w:r>
      <w:r w:rsidR="00325AFD">
        <w:t>,</w:t>
      </w:r>
      <w:r>
        <w:t xml:space="preserve"> and authority delegated to the Media Bureau pursuant to Sections 0.204 and 0.283 of the Commission’s rules, 47 CFR §§ 0.204, 0.283, a suspension of the filing requirements as described above IS GRANTED, </w:t>
      </w:r>
      <w:r>
        <w:rPr>
          <w:i/>
        </w:rPr>
        <w:t>sua sponte</w:t>
      </w:r>
      <w:r>
        <w:t>.</w:t>
      </w:r>
      <w:r>
        <w:rPr>
          <w:szCs w:val="22"/>
        </w:rPr>
        <w:t xml:space="preserve"> </w:t>
      </w:r>
    </w:p>
    <w:p w:rsidR="00B03ECF" w:rsidRDefault="00B00356">
      <w:pPr>
        <w:pStyle w:val="ParaNum"/>
      </w:pPr>
      <w:r w:rsidRPr="00C547CC">
        <w:rPr>
          <w:szCs w:val="22"/>
        </w:rPr>
        <w:t>For additional information, please contact</w:t>
      </w:r>
      <w:r w:rsidR="00754EE5">
        <w:rPr>
          <w:szCs w:val="22"/>
        </w:rPr>
        <w:t xml:space="preserve"> Christopher Clark</w:t>
      </w:r>
      <w:r w:rsidRPr="00C547CC">
        <w:rPr>
          <w:szCs w:val="22"/>
        </w:rPr>
        <w:t>, Industry Analysis Division, Media Bureau, at (202) 418-2330</w:t>
      </w:r>
      <w:bookmarkStart w:id="1" w:name="_Ref183339322"/>
      <w:r w:rsidR="00B03ECF" w:rsidRPr="00C547CC">
        <w:rPr>
          <w:szCs w:val="22"/>
        </w:rPr>
        <w:t>.</w:t>
      </w:r>
      <w:bookmarkEnd w:id="1"/>
    </w:p>
    <w:p w:rsidR="00B03ECF" w:rsidRDefault="00B03ECF">
      <w:pPr>
        <w:pStyle w:val="ParaNum"/>
        <w:numPr>
          <w:ilvl w:val="0"/>
          <w:numId w:val="0"/>
        </w:numPr>
        <w:ind w:left="2880" w:firstLine="720"/>
      </w:pPr>
    </w:p>
    <w:p w:rsidR="00B03ECF" w:rsidRDefault="00B03ECF">
      <w:pPr>
        <w:pStyle w:val="ParaNum"/>
        <w:numPr>
          <w:ilvl w:val="0"/>
          <w:numId w:val="0"/>
        </w:numPr>
        <w:ind w:left="2880" w:firstLine="720"/>
      </w:pPr>
      <w:r>
        <w:t>FEDERAL COMMUNICATIONS COMMISSION</w:t>
      </w:r>
    </w:p>
    <w:p w:rsidR="00B03ECF" w:rsidRDefault="00B03ECF">
      <w:pPr>
        <w:pStyle w:val="ParaNum"/>
        <w:numPr>
          <w:ilvl w:val="0"/>
          <w:numId w:val="0"/>
        </w:numPr>
        <w:ind w:left="2880" w:firstLine="720"/>
      </w:pPr>
    </w:p>
    <w:p w:rsidR="00B03ECF" w:rsidRDefault="00B03ECF">
      <w:pPr>
        <w:pStyle w:val="ParaNum"/>
        <w:numPr>
          <w:ilvl w:val="0"/>
          <w:numId w:val="0"/>
        </w:numPr>
      </w:pPr>
    </w:p>
    <w:p w:rsidR="00B03ECF" w:rsidRDefault="00C547CC">
      <w:pPr>
        <w:ind w:left="3600"/>
        <w:rPr>
          <w:szCs w:val="22"/>
        </w:rPr>
      </w:pPr>
      <w:r>
        <w:rPr>
          <w:szCs w:val="22"/>
        </w:rPr>
        <w:t>William T. Lake</w:t>
      </w:r>
    </w:p>
    <w:p w:rsidR="00B03ECF" w:rsidRDefault="00B03ECF">
      <w:pPr>
        <w:pStyle w:val="ParaNum"/>
        <w:numPr>
          <w:ilvl w:val="0"/>
          <w:numId w:val="0"/>
        </w:numPr>
        <w:ind w:left="2880" w:firstLine="720"/>
      </w:pPr>
      <w:r>
        <w:t>Chief, Media Bureau</w:t>
      </w:r>
      <w:bookmarkStart w:id="2" w:name="Document1zzSDUNumber2"/>
      <w:bookmarkStart w:id="3" w:name="Document1zzSP_1184000067914"/>
      <w:bookmarkStart w:id="4" w:name="Document1zzSP_a33d0000ae914"/>
      <w:bookmarkStart w:id="5" w:name="Document1zzSP_741b000048aa5"/>
      <w:bookmarkStart w:id="6" w:name="Document1zzSP_4b250000f9dd6"/>
      <w:bookmarkStart w:id="7" w:name="SDU_371"/>
      <w:bookmarkEnd w:id="2"/>
      <w:bookmarkEnd w:id="3"/>
      <w:bookmarkEnd w:id="4"/>
      <w:bookmarkEnd w:id="5"/>
      <w:bookmarkEnd w:id="6"/>
      <w:bookmarkEnd w:id="7"/>
    </w:p>
    <w:p w:rsidR="00B03ECF" w:rsidRDefault="00B03ECF">
      <w:pPr>
        <w:pStyle w:val="ParaNum"/>
        <w:numPr>
          <w:ilvl w:val="0"/>
          <w:numId w:val="0"/>
        </w:numPr>
        <w:ind w:firstLine="720"/>
      </w:pPr>
    </w:p>
    <w:sectPr w:rsidR="00B03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40" w:rsidRDefault="00524C40">
      <w:r>
        <w:separator/>
      </w:r>
    </w:p>
  </w:endnote>
  <w:endnote w:type="continuationSeparator" w:id="0">
    <w:p w:rsidR="00524C40" w:rsidRDefault="0052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F0" w:rsidRDefault="00510D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CF" w:rsidRDefault="00B03EC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38F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F0" w:rsidRDefault="00510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40" w:rsidRDefault="00524C40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524C40" w:rsidRDefault="00524C40">
      <w:pPr>
        <w:rPr>
          <w:sz w:val="20"/>
        </w:rPr>
      </w:pPr>
      <w:r>
        <w:rPr>
          <w:sz w:val="20"/>
        </w:rPr>
        <w:separator/>
      </w:r>
    </w:p>
    <w:p w:rsidR="00524C40" w:rsidRDefault="00524C40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524C40" w:rsidRDefault="00524C40">
      <w:pPr>
        <w:jc w:val="right"/>
        <w:rPr>
          <w:sz w:val="20"/>
        </w:rPr>
      </w:pPr>
      <w:r>
        <w:rPr>
          <w:sz w:val="20"/>
        </w:rPr>
        <w:t>(continued....)</w:t>
      </w:r>
    </w:p>
  </w:footnote>
  <w:footnote w:id="2">
    <w:p w:rsidR="00B03ECF" w:rsidRDefault="00B03E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50688">
        <w:rPr>
          <w:i/>
        </w:rPr>
        <w:t>Promoting Diversification of Ownership in the Broadcasting Services</w:t>
      </w:r>
      <w:r w:rsidR="00350688">
        <w:t xml:space="preserve">, Report and Order, Second Report and Order, and Order on Reconsideration, 31 FCC Rcd 398 (2016) </w:t>
      </w:r>
      <w:r w:rsidR="00450CD7">
        <w:t>(</w:t>
      </w:r>
      <w:r>
        <w:rPr>
          <w:i/>
        </w:rPr>
        <w:t>Report and Order</w:t>
      </w:r>
      <w:r>
        <w:t>).</w:t>
      </w:r>
    </w:p>
  </w:footnote>
  <w:footnote w:id="3">
    <w:p w:rsidR="001D1538" w:rsidRPr="00740497" w:rsidRDefault="001D15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12FE9">
        <w:rPr>
          <w:i/>
        </w:rPr>
        <w:t>Id.</w:t>
      </w:r>
      <w:r w:rsidR="00740497">
        <w:rPr>
          <w:i/>
        </w:rPr>
        <w:t xml:space="preserve"> </w:t>
      </w:r>
      <w:r w:rsidR="00740497">
        <w:t>at 420-28, 432-33, paras. 43-55, 66.</w:t>
      </w:r>
      <w:r w:rsidR="00512FE9">
        <w:t xml:space="preserve">  </w:t>
      </w:r>
      <w:r w:rsidR="00077607">
        <w:t xml:space="preserve">In addition to revising </w:t>
      </w:r>
      <w:r w:rsidR="00814993">
        <w:t>the reporting requirements for NCE stations</w:t>
      </w:r>
      <w:r w:rsidR="00077607">
        <w:t xml:space="preserve">, </w:t>
      </w:r>
      <w:r w:rsidR="00450CD7">
        <w:t xml:space="preserve">the </w:t>
      </w:r>
      <w:r w:rsidR="00450CD7">
        <w:rPr>
          <w:i/>
        </w:rPr>
        <w:t xml:space="preserve">Report and Order </w:t>
      </w:r>
      <w:r w:rsidR="00077607">
        <w:t xml:space="preserve">also revised </w:t>
      </w:r>
      <w:r w:rsidR="00814993">
        <w:t xml:space="preserve">FCC </w:t>
      </w:r>
      <w:r w:rsidR="00077607">
        <w:t>Form 323, Ownership Report for Commercial Stations</w:t>
      </w:r>
      <w:r w:rsidR="00814993">
        <w:t xml:space="preserve">, </w:t>
      </w:r>
      <w:r w:rsidR="002B3C23">
        <w:t xml:space="preserve">and the relevant Commission rules </w:t>
      </w:r>
      <w:r w:rsidR="00814993">
        <w:t xml:space="preserve">to improve the ownership information that </w:t>
      </w:r>
      <w:r w:rsidR="00450CD7">
        <w:t>the Commission</w:t>
      </w:r>
      <w:r w:rsidR="00814993">
        <w:t xml:space="preserve"> collects from commercial broadcast stations</w:t>
      </w:r>
      <w:r w:rsidR="00816121">
        <w:t xml:space="preserve">.  </w:t>
      </w:r>
      <w:r w:rsidR="00740497">
        <w:rPr>
          <w:i/>
        </w:rPr>
        <w:t>Id.</w:t>
      </w:r>
      <w:r w:rsidR="00740497">
        <w:t xml:space="preserve"> at 412-20</w:t>
      </w:r>
      <w:r w:rsidR="00C758B5">
        <w:t>, 428-39</w:t>
      </w:r>
      <w:r w:rsidR="00740497">
        <w:t>, paras. 25-42</w:t>
      </w:r>
      <w:r w:rsidR="00C758B5">
        <w:t>, 56-84</w:t>
      </w:r>
      <w:r w:rsidR="00740497">
        <w:t>.</w:t>
      </w:r>
    </w:p>
  </w:footnote>
  <w:footnote w:id="4">
    <w:p w:rsidR="001D1538" w:rsidRPr="0043439F" w:rsidRDefault="001D15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16121">
        <w:t xml:space="preserve">The </w:t>
      </w:r>
      <w:r w:rsidR="00077607">
        <w:t>Commission</w:t>
      </w:r>
      <w:r w:rsidR="00816121">
        <w:rPr>
          <w:i/>
        </w:rPr>
        <w:t xml:space="preserve"> </w:t>
      </w:r>
      <w:r w:rsidR="00816121">
        <w:t>also adopted a number of other significant revisions to Form 323-E</w:t>
      </w:r>
      <w:r w:rsidR="0043439F">
        <w:t xml:space="preserve">, as set forth in the </w:t>
      </w:r>
      <w:r w:rsidR="0043439F">
        <w:rPr>
          <w:i/>
        </w:rPr>
        <w:t>Report and Order</w:t>
      </w:r>
      <w:r w:rsidR="00816121">
        <w:t>.</w:t>
      </w:r>
      <w:r w:rsidR="0043439F">
        <w:t xml:space="preserve">  </w:t>
      </w:r>
      <w:r w:rsidR="0043439F">
        <w:rPr>
          <w:i/>
        </w:rPr>
        <w:t>Id.</w:t>
      </w:r>
      <w:r w:rsidR="0043439F">
        <w:t xml:space="preserve"> at 420-28, 432-</w:t>
      </w:r>
      <w:r w:rsidR="00F157E7">
        <w:t>38</w:t>
      </w:r>
      <w:r w:rsidR="0043439F">
        <w:t xml:space="preserve">, paras. 43-55, </w:t>
      </w:r>
      <w:r w:rsidR="00F157E7">
        <w:t>66-79</w:t>
      </w:r>
      <w:r w:rsidR="0043439F">
        <w:t>.</w:t>
      </w:r>
    </w:p>
  </w:footnote>
  <w:footnote w:id="5">
    <w:p w:rsidR="00F157E7" w:rsidRPr="006736C2" w:rsidRDefault="00F157E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47 CFR § 73.3615(d)</w:t>
      </w:r>
      <w:r w:rsidR="00AD2ED5">
        <w:t>.</w:t>
      </w:r>
      <w:r w:rsidR="0080271F">
        <w:t xml:space="preserve">  The Commission released a draft of Form 2100, Schedule 323-E</w:t>
      </w:r>
      <w:r w:rsidR="00DA3650">
        <w:t>,</w:t>
      </w:r>
      <w:r w:rsidR="0054677D">
        <w:t xml:space="preserve"> </w:t>
      </w:r>
      <w:r w:rsidR="000B38EC">
        <w:t xml:space="preserve">as Appendix E </w:t>
      </w:r>
      <w:r w:rsidR="00F404C6">
        <w:t>of</w:t>
      </w:r>
      <w:r w:rsidR="0054677D">
        <w:t xml:space="preserve"> the </w:t>
      </w:r>
      <w:r w:rsidR="0054677D">
        <w:rPr>
          <w:i/>
        </w:rPr>
        <w:t>Report and Order</w:t>
      </w:r>
      <w:r w:rsidR="0054677D">
        <w:t>.</w:t>
      </w:r>
      <w:r w:rsidR="000B38EC">
        <w:t xml:space="preserve">  </w:t>
      </w:r>
      <w:r w:rsidR="006E50A3">
        <w:t>OMB has approved the revised form, and w</w:t>
      </w:r>
      <w:r w:rsidR="0080271F">
        <w:t xml:space="preserve">e will announce the </w:t>
      </w:r>
      <w:r w:rsidR="006E50A3">
        <w:t>effective date</w:t>
      </w:r>
      <w:r w:rsidR="0080271F">
        <w:t xml:space="preserve"> o</w:t>
      </w:r>
      <w:r w:rsidR="00F404C6">
        <w:t>f FCC Form 2100, Schedule 323-E</w:t>
      </w:r>
      <w:r w:rsidR="00BA27E0">
        <w:t>—and the associated rule sections—</w:t>
      </w:r>
      <w:r w:rsidR="00F404C6">
        <w:t xml:space="preserve">once </w:t>
      </w:r>
      <w:r w:rsidR="009D4E6F">
        <w:t>the form</w:t>
      </w:r>
      <w:r w:rsidR="00F404C6">
        <w:t xml:space="preserve"> is online.</w:t>
      </w:r>
      <w:r w:rsidR="00DA3650">
        <w:t xml:space="preserve">  </w:t>
      </w:r>
      <w:r w:rsidR="00DA3650">
        <w:rPr>
          <w:i/>
        </w:rPr>
        <w:t xml:space="preserve">See </w:t>
      </w:r>
      <w:r w:rsidR="00DA3650" w:rsidRPr="006736C2">
        <w:t xml:space="preserve">Office of Management and Budget, Notice of Office of Management and Budget Action, ICR Reference No. 201609-3060-006, OMB Control No. 3060-0084 (Nov. 25, 2016), </w:t>
      </w:r>
      <w:hyperlink r:id="rId1" w:history="1">
        <w:r w:rsidR="00DA3650" w:rsidRPr="006736C2">
          <w:rPr>
            <w:rStyle w:val="Hyperlink"/>
          </w:rPr>
          <w:t>https://www.reginfo.gov/public/do/PRAViewICR?ref_nbr=201609-3060-006#</w:t>
        </w:r>
      </w:hyperlink>
      <w:r w:rsidR="00DA3650" w:rsidRPr="006736C2">
        <w:t xml:space="preserve"> (select the “Retrieve Notice of Action (NOA)” hyperlink)</w:t>
      </w:r>
      <w:r w:rsidR="00DA3650" w:rsidRPr="00DA3650">
        <w:rPr>
          <w:i/>
        </w:rPr>
        <w:t>.</w:t>
      </w:r>
    </w:p>
  </w:footnote>
  <w:footnote w:id="6">
    <w:p w:rsidR="00A35485" w:rsidRDefault="00A35485">
      <w:pPr>
        <w:pStyle w:val="FootnoteText"/>
      </w:pPr>
      <w:r>
        <w:rPr>
          <w:rStyle w:val="FootnoteReference"/>
        </w:rPr>
        <w:footnoteRef/>
      </w:r>
      <w:r>
        <w:t xml:space="preserve"> This suspension applies only to biennial filings of the existing Form 323-E and does not apply to any other required filings of the existing Form 323-E or to any required filings of Form 323.</w:t>
      </w:r>
    </w:p>
  </w:footnote>
  <w:footnote w:id="7">
    <w:p w:rsidR="00456757" w:rsidRDefault="004567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23CAC">
        <w:t xml:space="preserve">These are the renewal anniversary dates </w:t>
      </w:r>
      <w:r w:rsidR="00A31CC1">
        <w:t xml:space="preserve">that fall between the date of this Order and </w:t>
      </w:r>
      <w:r w:rsidR="00DA3650">
        <w:t xml:space="preserve">the </w:t>
      </w:r>
      <w:r w:rsidR="00A31CC1">
        <w:t>December 1</w:t>
      </w:r>
      <w:r w:rsidR="00DA3650">
        <w:t>, 2017,</w:t>
      </w:r>
      <w:r w:rsidR="00A31CC1">
        <w:t xml:space="preserve"> deadline for filing biennial ownership reports under the revised </w:t>
      </w:r>
      <w:r w:rsidR="00E90A35">
        <w:t>reporting requirements</w:t>
      </w:r>
      <w:r w:rsidR="007C1D1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F0" w:rsidRDefault="00510D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CF" w:rsidRPr="00FB2AAE" w:rsidRDefault="006736C2" w:rsidP="00FB2AAE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17B8E41" id="Rectangle 3" o:spid="_x0000_s1026" style="position:absolute;margin-left:.6pt;margin-top:12.65pt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mV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CfxGZX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FB2AAE" w:rsidRPr="00FB2AAE">
      <w:rPr>
        <w:b/>
      </w:rPr>
      <w:tab/>
      <w:t>Federal Communications Commission</w:t>
    </w:r>
    <w:r w:rsidR="00FB2AAE" w:rsidRPr="00FB2AAE">
      <w:rPr>
        <w:b/>
      </w:rPr>
      <w:tab/>
    </w:r>
    <w:r w:rsidR="00FB2AAE" w:rsidRPr="00FB2AAE">
      <w:rPr>
        <w:b/>
        <w:spacing w:val="-2"/>
      </w:rPr>
      <w:t xml:space="preserve">DA </w:t>
    </w:r>
    <w:r w:rsidR="00FB2AAE">
      <w:rPr>
        <w:b/>
        <w:spacing w:val="-2"/>
      </w:rPr>
      <w:t>16</w:t>
    </w:r>
    <w:r w:rsidR="00FB2AAE" w:rsidRPr="00FB2AAE">
      <w:rPr>
        <w:b/>
        <w:spacing w:val="-2"/>
      </w:rPr>
      <w:t>-</w:t>
    </w:r>
    <w:r w:rsidR="00ED0D0F">
      <w:rPr>
        <w:b/>
        <w:spacing w:val="-2"/>
      </w:rPr>
      <w:t>1407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CF" w:rsidRPr="00C547CC" w:rsidRDefault="006736C2" w:rsidP="00C547CC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8603E9E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C547CC" w:rsidRPr="00C547CC">
      <w:rPr>
        <w:b/>
      </w:rPr>
      <w:tab/>
      <w:t>Federal Communications Commission</w:t>
    </w:r>
    <w:r w:rsidR="00C547CC" w:rsidRPr="00C547CC">
      <w:rPr>
        <w:b/>
      </w:rPr>
      <w:tab/>
    </w:r>
    <w:r w:rsidR="00C547CC" w:rsidRPr="00C547CC">
      <w:rPr>
        <w:b/>
        <w:spacing w:val="-2"/>
      </w:rPr>
      <w:t xml:space="preserve">DA </w:t>
    </w:r>
    <w:r w:rsidR="00C547CC">
      <w:rPr>
        <w:b/>
        <w:spacing w:val="-2"/>
      </w:rPr>
      <w:t>16</w:t>
    </w:r>
    <w:r w:rsidR="00C547CC" w:rsidRPr="00C547CC">
      <w:rPr>
        <w:b/>
        <w:spacing w:val="-2"/>
      </w:rPr>
      <w:t>-</w:t>
    </w:r>
    <w:r w:rsidR="00982A05">
      <w:rPr>
        <w:b/>
        <w:spacing w:val="-2"/>
      </w:rPr>
      <w:t>1407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BC"/>
    <w:rsid w:val="00077607"/>
    <w:rsid w:val="00091EBC"/>
    <w:rsid w:val="000B38EC"/>
    <w:rsid w:val="00125641"/>
    <w:rsid w:val="00196724"/>
    <w:rsid w:val="001D1538"/>
    <w:rsid w:val="001D252A"/>
    <w:rsid w:val="0025522A"/>
    <w:rsid w:val="00261FEE"/>
    <w:rsid w:val="002A6562"/>
    <w:rsid w:val="002B3C23"/>
    <w:rsid w:val="002B7E55"/>
    <w:rsid w:val="002E4E40"/>
    <w:rsid w:val="00304CBA"/>
    <w:rsid w:val="003205E0"/>
    <w:rsid w:val="00325AFD"/>
    <w:rsid w:val="00350688"/>
    <w:rsid w:val="003C53C2"/>
    <w:rsid w:val="003E020B"/>
    <w:rsid w:val="004055B5"/>
    <w:rsid w:val="00406DCE"/>
    <w:rsid w:val="004241CA"/>
    <w:rsid w:val="00430A9F"/>
    <w:rsid w:val="0043439F"/>
    <w:rsid w:val="00450CD7"/>
    <w:rsid w:val="00456757"/>
    <w:rsid w:val="004C5142"/>
    <w:rsid w:val="00510DF0"/>
    <w:rsid w:val="00512FE9"/>
    <w:rsid w:val="005141FE"/>
    <w:rsid w:val="00524C40"/>
    <w:rsid w:val="0054677D"/>
    <w:rsid w:val="00595762"/>
    <w:rsid w:val="006058B4"/>
    <w:rsid w:val="006736C2"/>
    <w:rsid w:val="006857D1"/>
    <w:rsid w:val="006E50A3"/>
    <w:rsid w:val="006F50FF"/>
    <w:rsid w:val="007356ED"/>
    <w:rsid w:val="00740497"/>
    <w:rsid w:val="00754EE5"/>
    <w:rsid w:val="007C1D13"/>
    <w:rsid w:val="0080271F"/>
    <w:rsid w:val="00814993"/>
    <w:rsid w:val="00816121"/>
    <w:rsid w:val="008D7AA4"/>
    <w:rsid w:val="008F29C1"/>
    <w:rsid w:val="008F4E67"/>
    <w:rsid w:val="0092013E"/>
    <w:rsid w:val="00982A05"/>
    <w:rsid w:val="009D4E6F"/>
    <w:rsid w:val="00A31CC1"/>
    <w:rsid w:val="00A35485"/>
    <w:rsid w:val="00A42812"/>
    <w:rsid w:val="00A723CD"/>
    <w:rsid w:val="00A83E3C"/>
    <w:rsid w:val="00AD2ED5"/>
    <w:rsid w:val="00B00356"/>
    <w:rsid w:val="00B03ECF"/>
    <w:rsid w:val="00B0590F"/>
    <w:rsid w:val="00B61D74"/>
    <w:rsid w:val="00B638FA"/>
    <w:rsid w:val="00B70333"/>
    <w:rsid w:val="00BA27E0"/>
    <w:rsid w:val="00C07571"/>
    <w:rsid w:val="00C20A9F"/>
    <w:rsid w:val="00C23CAC"/>
    <w:rsid w:val="00C547CC"/>
    <w:rsid w:val="00C60EDE"/>
    <w:rsid w:val="00C758B5"/>
    <w:rsid w:val="00C9151C"/>
    <w:rsid w:val="00C91A49"/>
    <w:rsid w:val="00D0479C"/>
    <w:rsid w:val="00D07644"/>
    <w:rsid w:val="00D12400"/>
    <w:rsid w:val="00D60672"/>
    <w:rsid w:val="00DA1170"/>
    <w:rsid w:val="00DA3650"/>
    <w:rsid w:val="00DA507A"/>
    <w:rsid w:val="00DE1807"/>
    <w:rsid w:val="00E64F18"/>
    <w:rsid w:val="00E82DD2"/>
    <w:rsid w:val="00E90A35"/>
    <w:rsid w:val="00EC4982"/>
    <w:rsid w:val="00ED0D0F"/>
    <w:rsid w:val="00ED71E2"/>
    <w:rsid w:val="00F157E7"/>
    <w:rsid w:val="00F404C6"/>
    <w:rsid w:val="00F62843"/>
    <w:rsid w:val="00F84612"/>
    <w:rsid w:val="00F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F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B638FA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B638FA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638FA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B638FA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B638FA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B638FA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B638FA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B638FA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B638FA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B638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38FA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B638FA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B638FA"/>
    <w:pPr>
      <w:spacing w:after="120"/>
    </w:pPr>
  </w:style>
  <w:style w:type="paragraph" w:customStyle="1" w:styleId="Bullet">
    <w:name w:val="Bullet"/>
    <w:basedOn w:val="Normal"/>
    <w:rsid w:val="00B638FA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B638FA"/>
    <w:pPr>
      <w:spacing w:after="240"/>
      <w:ind w:left="1440" w:right="1440"/>
    </w:pPr>
  </w:style>
  <w:style w:type="paragraph" w:customStyle="1" w:styleId="TableFormat">
    <w:name w:val="TableFormat"/>
    <w:basedOn w:val="Bullet"/>
    <w:rsid w:val="00B638FA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B638FA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B638FA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B638FA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B638F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B638F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B638F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B638F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B638F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B638F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B638F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B638F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B638F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B638FA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msoins0">
    <w:name w:val="msoins"/>
    <w:basedOn w:val="DefaultParagraphFont"/>
  </w:style>
  <w:style w:type="paragraph" w:styleId="EndnoteText">
    <w:name w:val="endnote text"/>
    <w:basedOn w:val="Normal"/>
    <w:link w:val="EndnoteTextChar"/>
    <w:rsid w:val="00B638FA"/>
    <w:rPr>
      <w:sz w:val="20"/>
    </w:rPr>
  </w:style>
  <w:style w:type="character" w:customStyle="1" w:styleId="EndnoteTextChar">
    <w:name w:val="Endnote Text Char"/>
    <w:link w:val="EndnoteText"/>
    <w:rsid w:val="00C60EDE"/>
    <w:rPr>
      <w:snapToGrid w:val="0"/>
      <w:kern w:val="28"/>
    </w:rPr>
  </w:style>
  <w:style w:type="character" w:styleId="EndnoteReference">
    <w:name w:val="endnote reference"/>
    <w:rsid w:val="00B638FA"/>
    <w:rPr>
      <w:vertAlign w:val="superscript"/>
    </w:rPr>
  </w:style>
  <w:style w:type="paragraph" w:styleId="TOAHeading">
    <w:name w:val="toa heading"/>
    <w:basedOn w:val="Normal"/>
    <w:next w:val="Normal"/>
    <w:rsid w:val="00B638F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B638FA"/>
  </w:style>
  <w:style w:type="paragraph" w:customStyle="1" w:styleId="Paratitle">
    <w:name w:val="Para title"/>
    <w:basedOn w:val="Normal"/>
    <w:rsid w:val="00B638FA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B638F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B638F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B638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3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3650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F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B638FA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B638FA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638FA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B638FA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B638FA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B638FA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B638FA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B638FA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B638FA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B638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38FA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B638FA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B638FA"/>
    <w:pPr>
      <w:spacing w:after="120"/>
    </w:pPr>
  </w:style>
  <w:style w:type="paragraph" w:customStyle="1" w:styleId="Bullet">
    <w:name w:val="Bullet"/>
    <w:basedOn w:val="Normal"/>
    <w:rsid w:val="00B638FA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B638FA"/>
    <w:pPr>
      <w:spacing w:after="240"/>
      <w:ind w:left="1440" w:right="1440"/>
    </w:pPr>
  </w:style>
  <w:style w:type="paragraph" w:customStyle="1" w:styleId="TableFormat">
    <w:name w:val="TableFormat"/>
    <w:basedOn w:val="Bullet"/>
    <w:rsid w:val="00B638FA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B638FA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B638FA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B638FA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B638F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B638F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B638F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B638F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B638F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B638F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B638F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B638F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B638F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B638FA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msoins0">
    <w:name w:val="msoins"/>
    <w:basedOn w:val="DefaultParagraphFont"/>
  </w:style>
  <w:style w:type="paragraph" w:styleId="EndnoteText">
    <w:name w:val="endnote text"/>
    <w:basedOn w:val="Normal"/>
    <w:link w:val="EndnoteTextChar"/>
    <w:rsid w:val="00B638FA"/>
    <w:rPr>
      <w:sz w:val="20"/>
    </w:rPr>
  </w:style>
  <w:style w:type="character" w:customStyle="1" w:styleId="EndnoteTextChar">
    <w:name w:val="Endnote Text Char"/>
    <w:link w:val="EndnoteText"/>
    <w:rsid w:val="00C60EDE"/>
    <w:rPr>
      <w:snapToGrid w:val="0"/>
      <w:kern w:val="28"/>
    </w:rPr>
  </w:style>
  <w:style w:type="character" w:styleId="EndnoteReference">
    <w:name w:val="endnote reference"/>
    <w:rsid w:val="00B638FA"/>
    <w:rPr>
      <w:vertAlign w:val="superscript"/>
    </w:rPr>
  </w:style>
  <w:style w:type="paragraph" w:styleId="TOAHeading">
    <w:name w:val="toa heading"/>
    <w:basedOn w:val="Normal"/>
    <w:next w:val="Normal"/>
    <w:rsid w:val="00B638F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B638FA"/>
  </w:style>
  <w:style w:type="paragraph" w:customStyle="1" w:styleId="Paratitle">
    <w:name w:val="Para title"/>
    <w:basedOn w:val="Normal"/>
    <w:rsid w:val="00B638FA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B638F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B638F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B638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3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3650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nfo.gov/public/do/PRAViewICR?ref_nbr=201609-3060-00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2</Pages>
  <Words>449</Words>
  <Characters>2450</Characters>
  <Application>Microsoft Office Word</Application>
  <DocSecurity>0</DocSecurity>
  <Lines>71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2902</CharactersWithSpaces>
  <SharedDoc>false</SharedDoc>
  <HyperlinkBase> </HyperlinkBase>
  <HLinks>
    <vt:vector size="6" baseType="variant">
      <vt:variant>
        <vt:i4>1507439</vt:i4>
      </vt:variant>
      <vt:variant>
        <vt:i4>0</vt:i4>
      </vt:variant>
      <vt:variant>
        <vt:i4>0</vt:i4>
      </vt:variant>
      <vt:variant>
        <vt:i4>5</vt:i4>
      </vt:variant>
      <vt:variant>
        <vt:lpwstr>https://www.reginfo.gov/public/do/PRAViewICR?ref_nbr=201609-3060-006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2009-05-29T22:14:00Z</cp:lastPrinted>
  <dcterms:created xsi:type="dcterms:W3CDTF">2016-12-21T15:29:00Z</dcterms:created>
  <dcterms:modified xsi:type="dcterms:W3CDTF">2016-12-21T15:29:00Z</dcterms:modified>
  <cp:category> </cp:category>
  <cp:contentStatus> </cp:contentStatus>
</cp:coreProperties>
</file>