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B81D9" w14:textId="643CBFBB" w:rsidR="00750150" w:rsidRPr="00B20363" w:rsidRDefault="00750150" w:rsidP="00907575">
      <w:pPr>
        <w:spacing w:before="120" w:after="120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16-</w:t>
      </w:r>
      <w:r w:rsidR="00F853D2">
        <w:rPr>
          <w:b/>
          <w:sz w:val="24"/>
        </w:rPr>
        <w:t>1410</w:t>
      </w:r>
    </w:p>
    <w:p w14:paraId="65611634" w14:textId="2DE85188" w:rsidR="00750150" w:rsidRPr="00B20363" w:rsidRDefault="00E777DA" w:rsidP="00907575">
      <w:pPr>
        <w:spacing w:before="120" w:after="12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9978A6">
        <w:rPr>
          <w:b/>
          <w:sz w:val="24"/>
        </w:rPr>
        <w:t>Dec</w:t>
      </w:r>
      <w:r>
        <w:rPr>
          <w:b/>
          <w:sz w:val="24"/>
        </w:rPr>
        <w:t>em</w:t>
      </w:r>
      <w:r w:rsidR="00750150">
        <w:rPr>
          <w:b/>
          <w:sz w:val="24"/>
        </w:rPr>
        <w:t xml:space="preserve">ber </w:t>
      </w:r>
      <w:r w:rsidR="00F853D2">
        <w:rPr>
          <w:b/>
          <w:sz w:val="24"/>
        </w:rPr>
        <w:t>19</w:t>
      </w:r>
      <w:r w:rsidR="00750150">
        <w:rPr>
          <w:b/>
          <w:sz w:val="24"/>
        </w:rPr>
        <w:t>, 2016</w:t>
      </w:r>
    </w:p>
    <w:p w14:paraId="38079197" w14:textId="43337A42" w:rsidR="00750150" w:rsidRPr="00F00661" w:rsidRDefault="00750150" w:rsidP="00907575">
      <w:pPr>
        <w:spacing w:before="120" w:after="12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the incentive auction task force </w:t>
      </w:r>
      <w:r w:rsidR="005641CE">
        <w:rPr>
          <w:rFonts w:ascii="Times New Roman Bold" w:hAnsi="Times New Roman Bold"/>
          <w:b/>
          <w:caps/>
          <w:sz w:val="24"/>
        </w:rPr>
        <w:t>ANNOUNCES</w:t>
      </w:r>
      <w:r w:rsidR="00F55729">
        <w:rPr>
          <w:rFonts w:ascii="Times New Roman Bold" w:hAnsi="Times New Roman Bold"/>
          <w:b/>
          <w:caps/>
          <w:sz w:val="24"/>
        </w:rPr>
        <w:t xml:space="preserve"> AN </w:t>
      </w:r>
      <w:r w:rsidR="009978A6">
        <w:rPr>
          <w:rFonts w:ascii="Times New Roman Bold" w:hAnsi="Times New Roman Bold"/>
          <w:b/>
          <w:caps/>
          <w:sz w:val="24"/>
        </w:rPr>
        <w:t>ONLINE TUTORIAL</w:t>
      </w:r>
      <w:r>
        <w:rPr>
          <w:rFonts w:ascii="Times New Roman Bold" w:hAnsi="Times New Roman Bold"/>
          <w:b/>
          <w:caps/>
          <w:sz w:val="24"/>
        </w:rPr>
        <w:t xml:space="preserve"> </w:t>
      </w:r>
      <w:r w:rsidR="00E67CF1">
        <w:rPr>
          <w:rFonts w:ascii="Times New Roman Bold" w:hAnsi="Times New Roman Bold"/>
          <w:b/>
          <w:caps/>
          <w:sz w:val="24"/>
        </w:rPr>
        <w:t xml:space="preserve">FOR </w:t>
      </w:r>
      <w:r w:rsidR="00152FB4">
        <w:rPr>
          <w:rFonts w:ascii="Times New Roman Bold" w:hAnsi="Times New Roman Bold"/>
          <w:b/>
          <w:caps/>
          <w:sz w:val="24"/>
        </w:rPr>
        <w:t xml:space="preserve">FULL POWER AND CLASS A </w:t>
      </w:r>
      <w:r w:rsidR="00E67CF1">
        <w:rPr>
          <w:rFonts w:ascii="Times New Roman Bold" w:hAnsi="Times New Roman Bold"/>
          <w:b/>
          <w:caps/>
          <w:sz w:val="24"/>
        </w:rPr>
        <w:t xml:space="preserve">BROADCASTERS AND MULTICHANNEL VIDEO PROGRAMMING PROVIDERS </w:t>
      </w:r>
      <w:r w:rsidR="005641CE">
        <w:rPr>
          <w:rFonts w:ascii="Times New Roman Bold" w:hAnsi="Times New Roman Bold"/>
          <w:b/>
          <w:caps/>
          <w:sz w:val="24"/>
        </w:rPr>
        <w:t>on preparing to receive post-auction payments</w:t>
      </w:r>
    </w:p>
    <w:p w14:paraId="7D13959E" w14:textId="306F9C48" w:rsidR="00750150" w:rsidRPr="005D4529" w:rsidRDefault="00572F53" w:rsidP="00907575">
      <w:pPr>
        <w:spacing w:before="120" w:after="120"/>
        <w:jc w:val="center"/>
        <w:rPr>
          <w:szCs w:val="22"/>
        </w:rPr>
      </w:pPr>
      <w:r>
        <w:rPr>
          <w:b/>
          <w:sz w:val="24"/>
        </w:rPr>
        <w:t>GN Docket No. 12-268</w:t>
      </w:r>
      <w:r>
        <w:rPr>
          <w:b/>
          <w:sz w:val="24"/>
        </w:rPr>
        <w:br/>
      </w:r>
      <w:r w:rsidR="00750150">
        <w:rPr>
          <w:b/>
          <w:sz w:val="24"/>
        </w:rPr>
        <w:t>MB Docket No. 16-306</w:t>
      </w:r>
    </w:p>
    <w:p w14:paraId="364C683D" w14:textId="7DF88B46" w:rsidR="001A7A39" w:rsidRDefault="00A961E2" w:rsidP="00907575">
      <w:pPr>
        <w:autoSpaceDE w:val="0"/>
        <w:autoSpaceDN w:val="0"/>
        <w:spacing w:before="120" w:after="120"/>
        <w:ind w:firstLine="720"/>
        <w:rPr>
          <w:szCs w:val="22"/>
        </w:rPr>
      </w:pPr>
      <w:r>
        <w:rPr>
          <w:szCs w:val="22"/>
        </w:rPr>
        <w:t>Th</w:t>
      </w:r>
      <w:r w:rsidR="00750150" w:rsidRPr="005D4529">
        <w:rPr>
          <w:szCs w:val="22"/>
        </w:rPr>
        <w:t xml:space="preserve">e Federal Communications Commission’s (Commission) Incentive Auction Task Force, in conjunction with </w:t>
      </w:r>
      <w:r w:rsidR="009370AA">
        <w:rPr>
          <w:szCs w:val="22"/>
        </w:rPr>
        <w:t xml:space="preserve">the Office of Managing Director and </w:t>
      </w:r>
      <w:r w:rsidR="00750150" w:rsidRPr="005D4529">
        <w:rPr>
          <w:szCs w:val="22"/>
        </w:rPr>
        <w:t>the Media Bureau</w:t>
      </w:r>
      <w:r w:rsidR="00C362FF">
        <w:rPr>
          <w:szCs w:val="22"/>
        </w:rPr>
        <w:t>,</w:t>
      </w:r>
      <w:r w:rsidR="00750150" w:rsidRPr="005D4529">
        <w:rPr>
          <w:szCs w:val="22"/>
        </w:rPr>
        <w:t xml:space="preserve"> </w:t>
      </w:r>
      <w:r w:rsidR="00572F53">
        <w:rPr>
          <w:szCs w:val="22"/>
        </w:rPr>
        <w:t>announce</w:t>
      </w:r>
      <w:r w:rsidR="00126653">
        <w:rPr>
          <w:szCs w:val="22"/>
        </w:rPr>
        <w:t>s</w:t>
      </w:r>
      <w:r w:rsidR="00572F53">
        <w:rPr>
          <w:szCs w:val="22"/>
        </w:rPr>
        <w:t xml:space="preserve"> the</w:t>
      </w:r>
      <w:r w:rsidR="00873CFB">
        <w:rPr>
          <w:szCs w:val="22"/>
        </w:rPr>
        <w:t xml:space="preserve"> </w:t>
      </w:r>
      <w:r w:rsidR="00572F53">
        <w:rPr>
          <w:szCs w:val="22"/>
        </w:rPr>
        <w:t>availability of an</w:t>
      </w:r>
      <w:r w:rsidR="009978A6">
        <w:rPr>
          <w:szCs w:val="22"/>
        </w:rPr>
        <w:t xml:space="preserve"> online tutorial</w:t>
      </w:r>
      <w:r w:rsidR="00750150">
        <w:rPr>
          <w:szCs w:val="22"/>
        </w:rPr>
        <w:t xml:space="preserve"> </w:t>
      </w:r>
      <w:r w:rsidR="00C63397">
        <w:rPr>
          <w:szCs w:val="22"/>
        </w:rPr>
        <w:t xml:space="preserve">for full power and Class A broadcasters and multichannel video programming distributors who anticipate receiving </w:t>
      </w:r>
      <w:r w:rsidR="0044282A">
        <w:rPr>
          <w:szCs w:val="22"/>
        </w:rPr>
        <w:t>winning bid</w:t>
      </w:r>
      <w:r w:rsidR="00C63397">
        <w:rPr>
          <w:szCs w:val="22"/>
        </w:rPr>
        <w:t xml:space="preserve"> and/or reimbursement payment(s) from the Commission following the </w:t>
      </w:r>
      <w:r w:rsidR="000A7447">
        <w:rPr>
          <w:szCs w:val="22"/>
        </w:rPr>
        <w:t>i</w:t>
      </w:r>
      <w:r w:rsidR="00C63397">
        <w:rPr>
          <w:szCs w:val="22"/>
        </w:rPr>
        <w:t xml:space="preserve">ncentive </w:t>
      </w:r>
      <w:r w:rsidR="000A7447">
        <w:rPr>
          <w:szCs w:val="22"/>
        </w:rPr>
        <w:t>a</w:t>
      </w:r>
      <w:r w:rsidR="00C63397">
        <w:rPr>
          <w:szCs w:val="22"/>
        </w:rPr>
        <w:t>uction.</w:t>
      </w:r>
      <w:r w:rsidR="000A7447">
        <w:rPr>
          <w:szCs w:val="22"/>
        </w:rPr>
        <w:t xml:space="preserve"> </w:t>
      </w:r>
      <w:r w:rsidR="00C63397">
        <w:rPr>
          <w:szCs w:val="22"/>
        </w:rPr>
        <w:t xml:space="preserve"> The tutorial </w:t>
      </w:r>
      <w:r w:rsidR="00750150">
        <w:rPr>
          <w:szCs w:val="22"/>
        </w:rPr>
        <w:t>de</w:t>
      </w:r>
      <w:r w:rsidR="00E67CF1">
        <w:rPr>
          <w:szCs w:val="22"/>
        </w:rPr>
        <w:t>scrib</w:t>
      </w:r>
      <w:r w:rsidR="00C63397">
        <w:rPr>
          <w:szCs w:val="22"/>
        </w:rPr>
        <w:t xml:space="preserve">es how </w:t>
      </w:r>
      <w:r w:rsidR="00367CB6">
        <w:rPr>
          <w:szCs w:val="22"/>
        </w:rPr>
        <w:t>to make changes</w:t>
      </w:r>
      <w:r w:rsidR="00537D03" w:rsidRPr="00537D03">
        <w:rPr>
          <w:szCs w:val="22"/>
        </w:rPr>
        <w:t xml:space="preserve"> </w:t>
      </w:r>
      <w:r w:rsidR="0018745C">
        <w:rPr>
          <w:szCs w:val="22"/>
        </w:rPr>
        <w:t>in</w:t>
      </w:r>
      <w:r w:rsidR="0018745C" w:rsidRPr="00537D03">
        <w:rPr>
          <w:szCs w:val="22"/>
        </w:rPr>
        <w:t xml:space="preserve"> </w:t>
      </w:r>
      <w:r w:rsidR="00537D03" w:rsidRPr="00537D03">
        <w:rPr>
          <w:szCs w:val="22"/>
        </w:rPr>
        <w:t xml:space="preserve">the </w:t>
      </w:r>
      <w:hyperlink r:id="rId8" w:history="1">
        <w:r w:rsidR="00537D03" w:rsidRPr="00C55888">
          <w:rPr>
            <w:rStyle w:val="Hyperlink"/>
            <w:szCs w:val="22"/>
          </w:rPr>
          <w:t>updated version</w:t>
        </w:r>
      </w:hyperlink>
      <w:r w:rsidR="00537D03" w:rsidRPr="00C55888">
        <w:rPr>
          <w:szCs w:val="22"/>
        </w:rPr>
        <w:t xml:space="preserve"> of the Commission Registration System (CORES)</w:t>
      </w:r>
      <w:r w:rsidR="0018745C">
        <w:rPr>
          <w:rStyle w:val="FootnoteReference"/>
          <w:szCs w:val="22"/>
        </w:rPr>
        <w:footnoteReference w:id="2"/>
      </w:r>
      <w:r w:rsidR="00537D03" w:rsidRPr="00C55888">
        <w:rPr>
          <w:szCs w:val="22"/>
        </w:rPr>
        <w:t xml:space="preserve"> </w:t>
      </w:r>
      <w:r w:rsidR="001A7A39" w:rsidRPr="002E269C">
        <w:rPr>
          <w:szCs w:val="22"/>
        </w:rPr>
        <w:t xml:space="preserve">in order to have the appropriate point of contact for payment and banking inquiries.  </w:t>
      </w:r>
      <w:r w:rsidR="00541081">
        <w:rPr>
          <w:szCs w:val="22"/>
        </w:rPr>
        <w:t>As stated below, e</w:t>
      </w:r>
      <w:r w:rsidR="001A7A39" w:rsidRPr="002E269C">
        <w:rPr>
          <w:szCs w:val="22"/>
        </w:rPr>
        <w:t>ntities that expect to receive payment</w:t>
      </w:r>
      <w:r w:rsidR="000C7E58">
        <w:rPr>
          <w:szCs w:val="22"/>
        </w:rPr>
        <w:t>(s)</w:t>
      </w:r>
      <w:r w:rsidR="001A7A39" w:rsidRPr="002E269C">
        <w:rPr>
          <w:szCs w:val="22"/>
        </w:rPr>
        <w:t xml:space="preserve"> from the Commission following the </w:t>
      </w:r>
      <w:r w:rsidR="000A7447">
        <w:rPr>
          <w:szCs w:val="22"/>
        </w:rPr>
        <w:t>i</w:t>
      </w:r>
      <w:r w:rsidR="001A7A39" w:rsidRPr="002E269C">
        <w:rPr>
          <w:szCs w:val="22"/>
        </w:rPr>
        <w:t xml:space="preserve">ncentive </w:t>
      </w:r>
      <w:r w:rsidR="000A7447">
        <w:rPr>
          <w:szCs w:val="22"/>
        </w:rPr>
        <w:t>a</w:t>
      </w:r>
      <w:r w:rsidR="001A7A39" w:rsidRPr="002E269C">
        <w:rPr>
          <w:szCs w:val="22"/>
        </w:rPr>
        <w:t xml:space="preserve">uction will </w:t>
      </w:r>
      <w:r w:rsidR="00991198">
        <w:rPr>
          <w:szCs w:val="22"/>
        </w:rPr>
        <w:t xml:space="preserve">also </w:t>
      </w:r>
      <w:r w:rsidR="00E67CF1">
        <w:rPr>
          <w:szCs w:val="22"/>
        </w:rPr>
        <w:t xml:space="preserve">be required </w:t>
      </w:r>
      <w:r w:rsidR="001A7A39" w:rsidRPr="002E269C">
        <w:rPr>
          <w:szCs w:val="22"/>
        </w:rPr>
        <w:t>submit additional information, including bank account information, after they take these initial steps to update their records in CORES.</w:t>
      </w:r>
    </w:p>
    <w:p w14:paraId="6C4897B8" w14:textId="4558F6DC" w:rsidR="00537D03" w:rsidRPr="00537D03" w:rsidRDefault="00BF0D31" w:rsidP="00907575">
      <w:pPr>
        <w:autoSpaceDE w:val="0"/>
        <w:autoSpaceDN w:val="0"/>
        <w:spacing w:before="120" w:after="120"/>
        <w:ind w:firstLine="720"/>
        <w:rPr>
          <w:szCs w:val="22"/>
        </w:rPr>
      </w:pPr>
      <w:r w:rsidRPr="00BF0D31">
        <w:rPr>
          <w:szCs w:val="22"/>
        </w:rPr>
        <w:t>The</w:t>
      </w:r>
      <w:r w:rsidR="00C55888">
        <w:rPr>
          <w:szCs w:val="22"/>
        </w:rPr>
        <w:t xml:space="preserve"> changes</w:t>
      </w:r>
      <w:r w:rsidR="00537D03" w:rsidRPr="00C55888">
        <w:rPr>
          <w:szCs w:val="22"/>
        </w:rPr>
        <w:t xml:space="preserve"> </w:t>
      </w:r>
      <w:r w:rsidR="00294D0B">
        <w:rPr>
          <w:szCs w:val="22"/>
        </w:rPr>
        <w:t xml:space="preserve">to CORES </w:t>
      </w:r>
      <w:r w:rsidR="00C55888" w:rsidRPr="00C55888">
        <w:rPr>
          <w:szCs w:val="22"/>
        </w:rPr>
        <w:t>are designed to strengthen the security of records, improve the usability of the system, and improve the Commission</w:t>
      </w:r>
      <w:r w:rsidR="00E62421">
        <w:rPr>
          <w:szCs w:val="22"/>
        </w:rPr>
        <w:t>’s</w:t>
      </w:r>
      <w:r w:rsidR="00C55888" w:rsidRPr="00C55888">
        <w:rPr>
          <w:szCs w:val="22"/>
        </w:rPr>
        <w:t xml:space="preserve"> compliance with various statutes that govern debt collection and the collection of personal information.</w:t>
      </w:r>
      <w:r w:rsidR="00C55888">
        <w:rPr>
          <w:szCs w:val="22"/>
        </w:rPr>
        <w:t xml:space="preserve">  The</w:t>
      </w:r>
      <w:r w:rsidR="00294D0B">
        <w:rPr>
          <w:szCs w:val="22"/>
        </w:rPr>
        <w:t>se</w:t>
      </w:r>
      <w:r w:rsidR="00C55888">
        <w:rPr>
          <w:szCs w:val="22"/>
        </w:rPr>
        <w:t xml:space="preserve"> </w:t>
      </w:r>
      <w:r w:rsidR="00152FB4">
        <w:rPr>
          <w:szCs w:val="22"/>
        </w:rPr>
        <w:t xml:space="preserve">required </w:t>
      </w:r>
      <w:r w:rsidR="00C55888">
        <w:rPr>
          <w:szCs w:val="22"/>
        </w:rPr>
        <w:t>changes</w:t>
      </w:r>
      <w:r w:rsidR="00991198">
        <w:rPr>
          <w:szCs w:val="22"/>
        </w:rPr>
        <w:t xml:space="preserve"> and updates</w:t>
      </w:r>
      <w:r w:rsidR="00C55888">
        <w:rPr>
          <w:szCs w:val="22"/>
        </w:rPr>
        <w:t xml:space="preserve"> include:  </w:t>
      </w:r>
      <w:r>
        <w:rPr>
          <w:szCs w:val="22"/>
        </w:rPr>
        <w:t>(1)</w:t>
      </w:r>
      <w:r w:rsidR="00537D03" w:rsidRPr="00C55888">
        <w:rPr>
          <w:szCs w:val="22"/>
        </w:rPr>
        <w:t xml:space="preserve"> </w:t>
      </w:r>
      <w:r w:rsidRPr="00BF0D31">
        <w:rPr>
          <w:szCs w:val="22"/>
        </w:rPr>
        <w:t>designating</w:t>
      </w:r>
      <w:r w:rsidR="00537D03" w:rsidRPr="00C55888">
        <w:rPr>
          <w:szCs w:val="22"/>
        </w:rPr>
        <w:t xml:space="preserve"> </w:t>
      </w:r>
      <w:r w:rsidR="00152FB4">
        <w:rPr>
          <w:szCs w:val="22"/>
        </w:rPr>
        <w:t xml:space="preserve">specific </w:t>
      </w:r>
      <w:r w:rsidR="00537D03" w:rsidRPr="00C55888">
        <w:rPr>
          <w:szCs w:val="22"/>
        </w:rPr>
        <w:t>FCC Usernames to access FCC Registration Numbers (FRNs) and related records</w:t>
      </w:r>
      <w:r w:rsidR="00152FB4">
        <w:rPr>
          <w:szCs w:val="22"/>
        </w:rPr>
        <w:t xml:space="preserve"> (</w:t>
      </w:r>
      <w:r w:rsidR="00537D03" w:rsidRPr="00C55888">
        <w:rPr>
          <w:szCs w:val="22"/>
        </w:rPr>
        <w:t xml:space="preserve">multiple </w:t>
      </w:r>
      <w:r w:rsidR="000A7447">
        <w:rPr>
          <w:szCs w:val="22"/>
        </w:rPr>
        <w:t>u</w:t>
      </w:r>
      <w:r w:rsidR="00537D03" w:rsidRPr="00C55888">
        <w:rPr>
          <w:szCs w:val="22"/>
        </w:rPr>
        <w:t>sernames for each FRN with different levels of access</w:t>
      </w:r>
      <w:r w:rsidR="00152FB4">
        <w:rPr>
          <w:szCs w:val="22"/>
        </w:rPr>
        <w:t xml:space="preserve"> are permitted)</w:t>
      </w:r>
      <w:r w:rsidR="00537D03" w:rsidRPr="00C55888">
        <w:rPr>
          <w:szCs w:val="22"/>
        </w:rPr>
        <w:t>;</w:t>
      </w:r>
      <w:r>
        <w:rPr>
          <w:szCs w:val="22"/>
        </w:rPr>
        <w:t xml:space="preserve"> (</w:t>
      </w:r>
      <w:r w:rsidR="00152FB4">
        <w:rPr>
          <w:szCs w:val="22"/>
        </w:rPr>
        <w:t>2</w:t>
      </w:r>
      <w:r>
        <w:rPr>
          <w:szCs w:val="22"/>
        </w:rPr>
        <w:t>) r</w:t>
      </w:r>
      <w:r w:rsidRPr="00BF0D31">
        <w:rPr>
          <w:szCs w:val="22"/>
        </w:rPr>
        <w:t xml:space="preserve">equiring </w:t>
      </w:r>
      <w:r>
        <w:rPr>
          <w:szCs w:val="22"/>
        </w:rPr>
        <w:t>v</w:t>
      </w:r>
      <w:r w:rsidR="00537D03" w:rsidRPr="00C55888">
        <w:rPr>
          <w:szCs w:val="22"/>
        </w:rPr>
        <w:t>alid email address</w:t>
      </w:r>
      <w:r w:rsidR="00991198">
        <w:rPr>
          <w:szCs w:val="22"/>
        </w:rPr>
        <w:t>es</w:t>
      </w:r>
      <w:r w:rsidR="00537D03" w:rsidRPr="00C55888">
        <w:rPr>
          <w:szCs w:val="22"/>
        </w:rPr>
        <w:t xml:space="preserve"> for online access to the system; and</w:t>
      </w:r>
      <w:r>
        <w:rPr>
          <w:szCs w:val="22"/>
        </w:rPr>
        <w:t xml:space="preserve"> (</w:t>
      </w:r>
      <w:r w:rsidR="00152FB4">
        <w:rPr>
          <w:szCs w:val="22"/>
        </w:rPr>
        <w:t>3</w:t>
      </w:r>
      <w:r>
        <w:rPr>
          <w:szCs w:val="22"/>
        </w:rPr>
        <w:t>) e</w:t>
      </w:r>
      <w:r w:rsidR="00537D03" w:rsidRPr="00C55888">
        <w:rPr>
          <w:szCs w:val="22"/>
        </w:rPr>
        <w:t>stablish</w:t>
      </w:r>
      <w:r>
        <w:rPr>
          <w:szCs w:val="22"/>
        </w:rPr>
        <w:t>ing</w:t>
      </w:r>
      <w:r w:rsidR="00537D03" w:rsidRPr="00C55888">
        <w:rPr>
          <w:szCs w:val="22"/>
        </w:rPr>
        <w:t xml:space="preserve"> password-recovery security questions specific to each </w:t>
      </w:r>
      <w:r w:rsidR="00991198">
        <w:rPr>
          <w:szCs w:val="22"/>
        </w:rPr>
        <w:t>U</w:t>
      </w:r>
      <w:r w:rsidR="00537D03" w:rsidRPr="00C55888">
        <w:rPr>
          <w:szCs w:val="22"/>
        </w:rPr>
        <w:t>ser</w:t>
      </w:r>
      <w:r w:rsidR="00991198">
        <w:rPr>
          <w:szCs w:val="22"/>
        </w:rPr>
        <w:t>name</w:t>
      </w:r>
      <w:r w:rsidR="00537D03" w:rsidRPr="00C55888">
        <w:rPr>
          <w:szCs w:val="22"/>
        </w:rPr>
        <w:t>.</w:t>
      </w:r>
      <w:r w:rsidR="003526FB">
        <w:rPr>
          <w:rStyle w:val="FootnoteReference"/>
          <w:szCs w:val="22"/>
        </w:rPr>
        <w:footnoteReference w:id="3"/>
      </w:r>
      <w:r w:rsidR="00537D03" w:rsidRPr="00C55888">
        <w:rPr>
          <w:szCs w:val="22"/>
        </w:rPr>
        <w:t xml:space="preserve">  </w:t>
      </w:r>
      <w:r w:rsidR="00267F85">
        <w:rPr>
          <w:szCs w:val="22"/>
        </w:rPr>
        <w:t>All entities doing business with the FCC are required to update their information in CORES.</w:t>
      </w:r>
    </w:p>
    <w:p w14:paraId="735FD604" w14:textId="66D73CE7" w:rsidR="00962833" w:rsidRDefault="009978A6" w:rsidP="00907575">
      <w:pPr>
        <w:spacing w:before="120" w:after="120"/>
        <w:ind w:firstLine="720"/>
        <w:rPr>
          <w:szCs w:val="22"/>
        </w:rPr>
      </w:pPr>
      <w:r>
        <w:rPr>
          <w:szCs w:val="22"/>
        </w:rPr>
        <w:t>V</w:t>
      </w:r>
      <w:r w:rsidR="00873CFB">
        <w:rPr>
          <w:szCs w:val="22"/>
        </w:rPr>
        <w:t>iewers</w:t>
      </w:r>
      <w:r w:rsidR="00537D03" w:rsidRPr="002E269C">
        <w:rPr>
          <w:szCs w:val="22"/>
        </w:rPr>
        <w:t xml:space="preserve"> </w:t>
      </w:r>
      <w:r>
        <w:rPr>
          <w:szCs w:val="22"/>
        </w:rPr>
        <w:t xml:space="preserve">of the online tutorial </w:t>
      </w:r>
      <w:r w:rsidR="00537D03" w:rsidRPr="002E269C">
        <w:rPr>
          <w:szCs w:val="22"/>
        </w:rPr>
        <w:t xml:space="preserve">will be shown how to </w:t>
      </w:r>
      <w:r w:rsidR="00376AC6" w:rsidRPr="002E269C">
        <w:rPr>
          <w:szCs w:val="22"/>
        </w:rPr>
        <w:t xml:space="preserve">update their </w:t>
      </w:r>
      <w:r w:rsidR="00962833" w:rsidRPr="002E269C">
        <w:rPr>
          <w:szCs w:val="22"/>
        </w:rPr>
        <w:t>FRN</w:t>
      </w:r>
      <w:r w:rsidR="00376AC6" w:rsidRPr="002E269C">
        <w:rPr>
          <w:szCs w:val="22"/>
        </w:rPr>
        <w:t xml:space="preserve"> point of contact information </w:t>
      </w:r>
      <w:r w:rsidR="00537D03" w:rsidRPr="002E269C">
        <w:rPr>
          <w:szCs w:val="22"/>
        </w:rPr>
        <w:t>as well as</w:t>
      </w:r>
      <w:r w:rsidR="00B16EFD" w:rsidRPr="002E269C">
        <w:rPr>
          <w:szCs w:val="22"/>
        </w:rPr>
        <w:t xml:space="preserve"> how</w:t>
      </w:r>
      <w:r w:rsidR="00537D03" w:rsidRPr="002E269C">
        <w:rPr>
          <w:szCs w:val="22"/>
        </w:rPr>
        <w:t xml:space="preserve"> to </w:t>
      </w:r>
      <w:r w:rsidR="00532DA8" w:rsidRPr="002E269C">
        <w:rPr>
          <w:szCs w:val="22"/>
        </w:rPr>
        <w:t xml:space="preserve">register </w:t>
      </w:r>
      <w:r w:rsidR="00367CB6">
        <w:rPr>
          <w:szCs w:val="22"/>
        </w:rPr>
        <w:t xml:space="preserve">for </w:t>
      </w:r>
      <w:r w:rsidR="00532DA8" w:rsidRPr="002E269C">
        <w:rPr>
          <w:szCs w:val="22"/>
        </w:rPr>
        <w:t>a new FCC Username Account</w:t>
      </w:r>
      <w:r w:rsidR="00267F85">
        <w:rPr>
          <w:szCs w:val="22"/>
        </w:rPr>
        <w:t>;</w:t>
      </w:r>
      <w:r w:rsidR="00532DA8" w:rsidRPr="002E269C">
        <w:rPr>
          <w:szCs w:val="22"/>
        </w:rPr>
        <w:t xml:space="preserve"> register for a new FRN</w:t>
      </w:r>
      <w:r w:rsidR="00267F85">
        <w:rPr>
          <w:szCs w:val="22"/>
        </w:rPr>
        <w:t>;</w:t>
      </w:r>
      <w:r w:rsidR="00532DA8" w:rsidRPr="002E269C">
        <w:rPr>
          <w:szCs w:val="22"/>
        </w:rPr>
        <w:t xml:space="preserve"> associate a Username to an existing FRN</w:t>
      </w:r>
      <w:r w:rsidR="00267F85">
        <w:rPr>
          <w:szCs w:val="22"/>
        </w:rPr>
        <w:t>;</w:t>
      </w:r>
      <w:r w:rsidR="00532DA8" w:rsidRPr="002E269C">
        <w:rPr>
          <w:szCs w:val="22"/>
        </w:rPr>
        <w:t xml:space="preserve"> reset a Username-Password</w:t>
      </w:r>
      <w:r w:rsidR="00267F85">
        <w:rPr>
          <w:szCs w:val="22"/>
        </w:rPr>
        <w:t>;</w:t>
      </w:r>
      <w:r w:rsidR="00532DA8" w:rsidRPr="002E269C">
        <w:rPr>
          <w:szCs w:val="22"/>
        </w:rPr>
        <w:t xml:space="preserve"> approve or reject an FRN Association Request</w:t>
      </w:r>
      <w:r w:rsidR="00267F85">
        <w:rPr>
          <w:szCs w:val="22"/>
        </w:rPr>
        <w:t>;</w:t>
      </w:r>
      <w:r w:rsidR="00532DA8" w:rsidRPr="002E269C">
        <w:rPr>
          <w:szCs w:val="22"/>
        </w:rPr>
        <w:t xml:space="preserve"> update FRN information</w:t>
      </w:r>
      <w:r w:rsidR="00267F85">
        <w:rPr>
          <w:szCs w:val="22"/>
        </w:rPr>
        <w:t>;</w:t>
      </w:r>
      <w:r w:rsidR="00532DA8" w:rsidRPr="002E269C">
        <w:rPr>
          <w:szCs w:val="22"/>
        </w:rPr>
        <w:t xml:space="preserve"> and administer a View FRN Financial Info Permission</w:t>
      </w:r>
      <w:r w:rsidR="00962833" w:rsidRPr="002E269C">
        <w:rPr>
          <w:szCs w:val="22"/>
        </w:rPr>
        <w:t xml:space="preserve"> in CORES</w:t>
      </w:r>
      <w:r w:rsidR="00532DA8" w:rsidRPr="002E269C">
        <w:rPr>
          <w:szCs w:val="22"/>
        </w:rPr>
        <w:t xml:space="preserve"> and the new FCC User Registration System</w:t>
      </w:r>
      <w:r w:rsidR="00537D03" w:rsidRPr="002E269C">
        <w:rPr>
          <w:szCs w:val="22"/>
        </w:rPr>
        <w:t xml:space="preserve">.  </w:t>
      </w:r>
      <w:r w:rsidR="00541081" w:rsidRPr="002E269C">
        <w:rPr>
          <w:szCs w:val="22"/>
        </w:rPr>
        <w:t>It is critical that the Commission have complete and accurate CORES information for all entities that will receive payment as a result of the</w:t>
      </w:r>
      <w:r w:rsidR="00541081">
        <w:rPr>
          <w:szCs w:val="22"/>
        </w:rPr>
        <w:t xml:space="preserve"> </w:t>
      </w:r>
      <w:r w:rsidR="000A7447">
        <w:rPr>
          <w:szCs w:val="22"/>
        </w:rPr>
        <w:t>i</w:t>
      </w:r>
      <w:r w:rsidR="00541081">
        <w:rPr>
          <w:szCs w:val="22"/>
        </w:rPr>
        <w:t xml:space="preserve">ncentive </w:t>
      </w:r>
      <w:r w:rsidR="000A7447">
        <w:rPr>
          <w:szCs w:val="22"/>
        </w:rPr>
        <w:t>a</w:t>
      </w:r>
      <w:r w:rsidR="00541081" w:rsidRPr="002E269C">
        <w:rPr>
          <w:szCs w:val="22"/>
        </w:rPr>
        <w:t>uction</w:t>
      </w:r>
      <w:r w:rsidR="00541081">
        <w:rPr>
          <w:szCs w:val="22"/>
        </w:rPr>
        <w:t>.</w:t>
      </w:r>
      <w:r w:rsidR="000A7447">
        <w:rPr>
          <w:szCs w:val="22"/>
        </w:rPr>
        <w:t xml:space="preserve"> </w:t>
      </w:r>
      <w:r w:rsidR="00541081">
        <w:rPr>
          <w:szCs w:val="22"/>
        </w:rPr>
        <w:t xml:space="preserve"> </w:t>
      </w:r>
      <w:r w:rsidR="00991198">
        <w:rPr>
          <w:szCs w:val="22"/>
        </w:rPr>
        <w:t>Affected e</w:t>
      </w:r>
      <w:r w:rsidR="00367CB6">
        <w:rPr>
          <w:szCs w:val="22"/>
        </w:rPr>
        <w:t>nti</w:t>
      </w:r>
      <w:r w:rsidR="00D776F5">
        <w:rPr>
          <w:szCs w:val="22"/>
        </w:rPr>
        <w:t>ties</w:t>
      </w:r>
      <w:r w:rsidR="00367CB6">
        <w:rPr>
          <w:szCs w:val="22"/>
        </w:rPr>
        <w:t xml:space="preserve"> should </w:t>
      </w:r>
      <w:r w:rsidR="00541081">
        <w:rPr>
          <w:szCs w:val="22"/>
        </w:rPr>
        <w:t xml:space="preserve">therefore </w:t>
      </w:r>
      <w:r w:rsidR="00C57CEB">
        <w:rPr>
          <w:szCs w:val="22"/>
        </w:rPr>
        <w:t>follow the pro</w:t>
      </w:r>
      <w:r w:rsidR="00367CB6">
        <w:rPr>
          <w:szCs w:val="22"/>
        </w:rPr>
        <w:t xml:space="preserve">cedures </w:t>
      </w:r>
      <w:r w:rsidR="00C57CEB">
        <w:rPr>
          <w:szCs w:val="22"/>
        </w:rPr>
        <w:t xml:space="preserve">in the tutorial </w:t>
      </w:r>
      <w:r w:rsidR="00367CB6">
        <w:rPr>
          <w:szCs w:val="22"/>
        </w:rPr>
        <w:t xml:space="preserve">to </w:t>
      </w:r>
      <w:r w:rsidR="00541081">
        <w:rPr>
          <w:szCs w:val="22"/>
        </w:rPr>
        <w:t xml:space="preserve">assure that their CORES information is up to date in the </w:t>
      </w:r>
      <w:hyperlink r:id="rId9" w:history="1">
        <w:r w:rsidR="00541081" w:rsidRPr="00C55888">
          <w:rPr>
            <w:rStyle w:val="Hyperlink"/>
            <w:szCs w:val="22"/>
          </w:rPr>
          <w:t>updated version</w:t>
        </w:r>
      </w:hyperlink>
      <w:r w:rsidR="00541081">
        <w:rPr>
          <w:rStyle w:val="Hyperlink"/>
          <w:szCs w:val="22"/>
        </w:rPr>
        <w:t xml:space="preserve"> </w:t>
      </w:r>
      <w:r w:rsidR="00541081">
        <w:rPr>
          <w:szCs w:val="22"/>
        </w:rPr>
        <w:t xml:space="preserve">of CORES in preparation </w:t>
      </w:r>
      <w:r w:rsidR="009370AA" w:rsidRPr="002E269C">
        <w:rPr>
          <w:szCs w:val="22"/>
        </w:rPr>
        <w:t xml:space="preserve">for the potential payment of auction </w:t>
      </w:r>
      <w:r w:rsidR="000A7447">
        <w:rPr>
          <w:szCs w:val="22"/>
        </w:rPr>
        <w:t xml:space="preserve">winning bid </w:t>
      </w:r>
      <w:r w:rsidR="009370AA" w:rsidRPr="002E269C">
        <w:rPr>
          <w:szCs w:val="22"/>
        </w:rPr>
        <w:t>or reimbursement funds during the post-</w:t>
      </w:r>
      <w:r w:rsidR="000A7447">
        <w:rPr>
          <w:szCs w:val="22"/>
        </w:rPr>
        <w:t>i</w:t>
      </w:r>
      <w:r w:rsidR="009370AA" w:rsidRPr="002E269C">
        <w:rPr>
          <w:szCs w:val="22"/>
        </w:rPr>
        <w:t xml:space="preserve">ncentive </w:t>
      </w:r>
      <w:r w:rsidR="000A7447">
        <w:rPr>
          <w:szCs w:val="22"/>
        </w:rPr>
        <w:t>a</w:t>
      </w:r>
      <w:r w:rsidR="009370AA" w:rsidRPr="002E269C">
        <w:rPr>
          <w:szCs w:val="22"/>
        </w:rPr>
        <w:t>uction period</w:t>
      </w:r>
      <w:r w:rsidR="00537D03" w:rsidRPr="002E269C">
        <w:rPr>
          <w:szCs w:val="22"/>
        </w:rPr>
        <w:t xml:space="preserve">, which </w:t>
      </w:r>
      <w:r w:rsidR="00541081">
        <w:rPr>
          <w:szCs w:val="22"/>
        </w:rPr>
        <w:t xml:space="preserve">payment processes </w:t>
      </w:r>
      <w:r w:rsidR="00537D03" w:rsidRPr="002E269C">
        <w:rPr>
          <w:szCs w:val="22"/>
        </w:rPr>
        <w:t>will be the subject of an additional webinar in the future</w:t>
      </w:r>
      <w:r w:rsidR="00376AC6" w:rsidRPr="002E269C">
        <w:rPr>
          <w:szCs w:val="22"/>
        </w:rPr>
        <w:t>.</w:t>
      </w:r>
      <w:r w:rsidR="00406684" w:rsidRPr="002E269C">
        <w:rPr>
          <w:szCs w:val="22"/>
        </w:rPr>
        <w:t xml:space="preserve">  </w:t>
      </w:r>
      <w:r w:rsidR="00962833" w:rsidRPr="002E269C">
        <w:rPr>
          <w:szCs w:val="22"/>
        </w:rPr>
        <w:t xml:space="preserve">  </w:t>
      </w:r>
    </w:p>
    <w:p w14:paraId="78F34294" w14:textId="3E22F649" w:rsidR="008D3C76" w:rsidRPr="005D4529" w:rsidRDefault="002E269C" w:rsidP="00907575">
      <w:pPr>
        <w:spacing w:before="120" w:after="120"/>
        <w:ind w:firstLine="720"/>
        <w:rPr>
          <w:szCs w:val="22"/>
        </w:rPr>
      </w:pPr>
      <w:r>
        <w:rPr>
          <w:szCs w:val="22"/>
        </w:rPr>
        <w:lastRenderedPageBreak/>
        <w:t xml:space="preserve">The </w:t>
      </w:r>
      <w:r w:rsidR="009978A6">
        <w:rPr>
          <w:szCs w:val="22"/>
        </w:rPr>
        <w:t>tutorial</w:t>
      </w:r>
      <w:r w:rsidR="001A7A39">
        <w:rPr>
          <w:szCs w:val="22"/>
        </w:rPr>
        <w:t xml:space="preserve"> is </w:t>
      </w:r>
      <w:r w:rsidR="00873CFB">
        <w:rPr>
          <w:szCs w:val="22"/>
        </w:rPr>
        <w:t xml:space="preserve">now available for </w:t>
      </w:r>
      <w:r w:rsidR="009978A6">
        <w:rPr>
          <w:szCs w:val="22"/>
        </w:rPr>
        <w:t xml:space="preserve">online </w:t>
      </w:r>
      <w:r w:rsidR="00D776F5">
        <w:rPr>
          <w:szCs w:val="22"/>
        </w:rPr>
        <w:t>viewing on the Education tab of the Auction 1001 website (</w:t>
      </w:r>
      <w:hyperlink r:id="rId10" w:history="1">
        <w:r w:rsidR="00D776F5" w:rsidRPr="003021C4">
          <w:rPr>
            <w:rStyle w:val="Hyperlink"/>
            <w:szCs w:val="22"/>
          </w:rPr>
          <w:t>www.fcc.gov/auctions/1001</w:t>
        </w:r>
      </w:hyperlink>
      <w:r w:rsidR="00D776F5">
        <w:rPr>
          <w:szCs w:val="22"/>
        </w:rPr>
        <w:t>)</w:t>
      </w:r>
      <w:r w:rsidR="00873CFB">
        <w:rPr>
          <w:szCs w:val="22"/>
        </w:rPr>
        <w:t xml:space="preserve">.  </w:t>
      </w:r>
    </w:p>
    <w:p w14:paraId="630DD5B0" w14:textId="15B6D188" w:rsidR="00750150" w:rsidRPr="002E269C" w:rsidRDefault="00013F69" w:rsidP="00907575">
      <w:pPr>
        <w:spacing w:before="120" w:after="120"/>
        <w:ind w:firstLine="720"/>
        <w:rPr>
          <w:color w:val="1F497D"/>
          <w:szCs w:val="22"/>
        </w:rPr>
      </w:pPr>
      <w:r w:rsidRPr="002E269C">
        <w:rPr>
          <w:szCs w:val="22"/>
        </w:rPr>
        <w:t xml:space="preserve">Additional details about </w:t>
      </w:r>
      <w:r w:rsidR="001A7A39">
        <w:rPr>
          <w:szCs w:val="22"/>
        </w:rPr>
        <w:t>CORES</w:t>
      </w:r>
      <w:r w:rsidRPr="002E269C">
        <w:rPr>
          <w:szCs w:val="22"/>
        </w:rPr>
        <w:t xml:space="preserve"> modifications can be found on the updated CORES website on the </w:t>
      </w:r>
      <w:hyperlink r:id="rId11" w:history="1">
        <w:r w:rsidRPr="002E269C">
          <w:rPr>
            <w:rStyle w:val="Hyperlink"/>
            <w:szCs w:val="22"/>
          </w:rPr>
          <w:t>FCC Registration Help page</w:t>
        </w:r>
      </w:hyperlink>
      <w:r w:rsidRPr="002E269C">
        <w:rPr>
          <w:szCs w:val="22"/>
        </w:rPr>
        <w:t xml:space="preserve">, </w:t>
      </w:r>
      <w:r w:rsidRPr="009A51DE">
        <w:rPr>
          <w:rStyle w:val="Hyperlink"/>
          <w:color w:val="auto"/>
          <w:szCs w:val="22"/>
          <w:u w:val="none"/>
        </w:rPr>
        <w:t>which provides guidance for how to</w:t>
      </w:r>
      <w:r w:rsidRPr="002E269C">
        <w:rPr>
          <w:szCs w:val="22"/>
        </w:rPr>
        <w:t xml:space="preserve"> register a new FCC Username Account, register for a new FRN, associate a Username to an existing FRN, reset a Username-Password, approve or reject an FRN Association Request, update FRN information, and administer a View FRN Financial Info Permission.  </w:t>
      </w:r>
      <w:r w:rsidR="00750150" w:rsidRPr="002E269C">
        <w:rPr>
          <w:szCs w:val="22"/>
        </w:rPr>
        <w:t xml:space="preserve">For further information, contact </w:t>
      </w:r>
      <w:r w:rsidR="00EB4FAD" w:rsidRPr="002E269C">
        <w:rPr>
          <w:szCs w:val="22"/>
        </w:rPr>
        <w:t>Financial Systems Operations,</w:t>
      </w:r>
      <w:r w:rsidR="00EB4FAD" w:rsidRPr="002E269C">
        <w:rPr>
          <w:color w:val="1F497D"/>
          <w:szCs w:val="22"/>
        </w:rPr>
        <w:t xml:space="preserve"> </w:t>
      </w:r>
      <w:hyperlink r:id="rId12" w:history="1">
        <w:r w:rsidR="00EB4FAD" w:rsidRPr="002E269C">
          <w:rPr>
            <w:rStyle w:val="Hyperlink"/>
            <w:szCs w:val="22"/>
          </w:rPr>
          <w:t>CORESPilot@fcc.gov</w:t>
        </w:r>
      </w:hyperlink>
      <w:r w:rsidR="00EB4FAD" w:rsidRPr="002E269C">
        <w:rPr>
          <w:color w:val="1F497D"/>
          <w:szCs w:val="22"/>
        </w:rPr>
        <w:t>, (</w:t>
      </w:r>
      <w:r w:rsidR="00EB4FAD" w:rsidRPr="002E269C">
        <w:rPr>
          <w:color w:val="1A1A1A"/>
          <w:szCs w:val="22"/>
        </w:rPr>
        <w:t>202 418-4120)</w:t>
      </w:r>
      <w:r w:rsidR="00F3180E" w:rsidRPr="002E269C">
        <w:rPr>
          <w:szCs w:val="22"/>
        </w:rPr>
        <w:t>.  P</w:t>
      </w:r>
      <w:r w:rsidR="00750150" w:rsidRPr="002E269C">
        <w:rPr>
          <w:szCs w:val="22"/>
        </w:rPr>
        <w:t xml:space="preserve">ress Inquiries: Charles Meisch, </w:t>
      </w:r>
      <w:hyperlink r:id="rId13" w:history="1">
        <w:r w:rsidR="00750150" w:rsidRPr="002E269C">
          <w:rPr>
            <w:rStyle w:val="Hyperlink"/>
            <w:szCs w:val="22"/>
          </w:rPr>
          <w:t>Charles.Meisch@fcc.gov</w:t>
        </w:r>
      </w:hyperlink>
      <w:r w:rsidR="00750150" w:rsidRPr="002E269C">
        <w:rPr>
          <w:szCs w:val="22"/>
        </w:rPr>
        <w:t>, (202 418-2943</w:t>
      </w:r>
      <w:r w:rsidR="004A494C" w:rsidRPr="002E269C">
        <w:rPr>
          <w:szCs w:val="22"/>
        </w:rPr>
        <w:t>), of the Incentive Auction Task Force</w:t>
      </w:r>
      <w:r w:rsidR="00750150" w:rsidRPr="002E269C">
        <w:rPr>
          <w:szCs w:val="22"/>
        </w:rPr>
        <w:t xml:space="preserve">.  </w:t>
      </w:r>
      <w:r w:rsidR="00750150" w:rsidRPr="002E269C">
        <w:rPr>
          <w:color w:val="000000"/>
          <w:szCs w:val="22"/>
        </w:rPr>
        <w:t xml:space="preserve">For more </w:t>
      </w:r>
      <w:r w:rsidR="00750150" w:rsidRPr="002E269C">
        <w:rPr>
          <w:szCs w:val="22"/>
        </w:rPr>
        <w:t>information</w:t>
      </w:r>
      <w:r w:rsidR="00750150" w:rsidRPr="002E269C">
        <w:rPr>
          <w:color w:val="000000"/>
          <w:szCs w:val="22"/>
        </w:rPr>
        <w:t xml:space="preserve"> about the incentive auction, visit </w:t>
      </w:r>
      <w:hyperlink r:id="rId14" w:history="1">
        <w:r w:rsidR="002E269C" w:rsidRPr="008F6B82">
          <w:rPr>
            <w:rStyle w:val="Hyperlink"/>
            <w:szCs w:val="22"/>
          </w:rPr>
          <w:t>www.fcc.gov/incentiveauctions</w:t>
        </w:r>
      </w:hyperlink>
      <w:r w:rsidR="00750150" w:rsidRPr="002E269C">
        <w:rPr>
          <w:color w:val="367FFF"/>
          <w:szCs w:val="22"/>
        </w:rPr>
        <w:t>.</w:t>
      </w:r>
    </w:p>
    <w:p w14:paraId="24CBA8CA" w14:textId="77777777" w:rsidR="00A961E2" w:rsidRDefault="00A961E2" w:rsidP="00907575">
      <w:pPr>
        <w:spacing w:before="120" w:after="120"/>
        <w:ind w:firstLine="720"/>
        <w:rPr>
          <w:szCs w:val="22"/>
        </w:rPr>
      </w:pPr>
    </w:p>
    <w:p w14:paraId="34171DC8" w14:textId="3F585864" w:rsidR="00750150" w:rsidRPr="002E269C" w:rsidRDefault="00131455" w:rsidP="00907575">
      <w:pPr>
        <w:spacing w:before="120" w:after="120"/>
        <w:jc w:val="center"/>
      </w:pPr>
      <w:r w:rsidRPr="002E269C">
        <w:t>–</w:t>
      </w:r>
      <w:r w:rsidR="00750150" w:rsidRPr="002E269C">
        <w:t xml:space="preserve"> FCC </w:t>
      </w:r>
      <w:r w:rsidR="00537D03" w:rsidRPr="002E269C">
        <w:t>–</w:t>
      </w:r>
      <w:r w:rsidR="00750150" w:rsidRPr="002E269C">
        <w:t xml:space="preserve"> </w:t>
      </w:r>
    </w:p>
    <w:p w14:paraId="146CEFA5" w14:textId="77777777" w:rsidR="00537D03" w:rsidRDefault="00537D03" w:rsidP="00907575">
      <w:pPr>
        <w:spacing w:before="120" w:after="120"/>
        <w:jc w:val="center"/>
        <w:rPr>
          <w:b/>
        </w:rPr>
      </w:pPr>
    </w:p>
    <w:p w14:paraId="2EC7DEB4" w14:textId="77777777" w:rsidR="00537D03" w:rsidRDefault="00537D03" w:rsidP="00907575">
      <w:pPr>
        <w:spacing w:before="120" w:after="120"/>
        <w:jc w:val="center"/>
        <w:rPr>
          <w:b/>
        </w:rPr>
      </w:pPr>
    </w:p>
    <w:p w14:paraId="44B766B9" w14:textId="77777777" w:rsidR="00537D03" w:rsidRDefault="00537D03" w:rsidP="00907575">
      <w:pPr>
        <w:spacing w:before="120" w:after="120"/>
        <w:jc w:val="center"/>
        <w:rPr>
          <w:b/>
        </w:rPr>
      </w:pPr>
    </w:p>
    <w:p w14:paraId="75F30874" w14:textId="668E0ADD" w:rsidR="00537D03" w:rsidRDefault="00537D03" w:rsidP="00907575">
      <w:pPr>
        <w:spacing w:before="120" w:after="120"/>
        <w:ind w:firstLine="720"/>
        <w:rPr>
          <w:szCs w:val="22"/>
        </w:rPr>
      </w:pPr>
    </w:p>
    <w:p w14:paraId="4AEC9E0C" w14:textId="77777777" w:rsidR="00537D03" w:rsidRPr="00750150" w:rsidRDefault="00537D03" w:rsidP="00907575">
      <w:pPr>
        <w:spacing w:before="120" w:after="120"/>
        <w:jc w:val="center"/>
      </w:pPr>
    </w:p>
    <w:sectPr w:rsidR="00537D03" w:rsidRPr="00750150" w:rsidSect="005561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87862" w14:textId="77777777" w:rsidR="00676A2A" w:rsidRDefault="00676A2A">
      <w:pPr>
        <w:spacing w:line="20" w:lineRule="exact"/>
      </w:pPr>
    </w:p>
  </w:endnote>
  <w:endnote w:type="continuationSeparator" w:id="0">
    <w:p w14:paraId="597B129E" w14:textId="77777777" w:rsidR="00676A2A" w:rsidRDefault="00676A2A">
      <w:r>
        <w:t xml:space="preserve"> </w:t>
      </w:r>
    </w:p>
  </w:endnote>
  <w:endnote w:type="continuationNotice" w:id="1">
    <w:p w14:paraId="6EE2E7BE" w14:textId="77777777" w:rsidR="00676A2A" w:rsidRDefault="00676A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D77BC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9975E5C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B996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25811">
      <w:rPr>
        <w:noProof/>
      </w:rPr>
      <w:t>2</w:t>
    </w:r>
    <w:r>
      <w:fldChar w:fldCharType="end"/>
    </w:r>
  </w:p>
  <w:p w14:paraId="39667241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51FA" w14:textId="77777777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4B914" w14:textId="77777777" w:rsidR="00676A2A" w:rsidRDefault="00676A2A">
      <w:r>
        <w:separator/>
      </w:r>
    </w:p>
  </w:footnote>
  <w:footnote w:type="continuationSeparator" w:id="0">
    <w:p w14:paraId="41A7E5F9" w14:textId="77777777" w:rsidR="00676A2A" w:rsidRDefault="00676A2A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4C73CD22" w14:textId="77777777" w:rsidR="00676A2A" w:rsidRDefault="00676A2A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245517FF" w14:textId="43068CF2" w:rsidR="0018745C" w:rsidRDefault="0018745C">
      <w:pPr>
        <w:pStyle w:val="FootnoteText"/>
      </w:pPr>
      <w:r>
        <w:rPr>
          <w:rStyle w:val="FootnoteReference"/>
        </w:rPr>
        <w:footnoteRef/>
      </w:r>
      <w:r>
        <w:t xml:space="preserve"> The updated version of CORES b</w:t>
      </w:r>
      <w:r w:rsidRPr="00C55888">
        <w:rPr>
          <w:szCs w:val="22"/>
        </w:rPr>
        <w:t>ecame available to the public on September 1, 2016</w:t>
      </w:r>
      <w:r>
        <w:rPr>
          <w:szCs w:val="22"/>
        </w:rPr>
        <w:t xml:space="preserve">. </w:t>
      </w:r>
      <w:r w:rsidRPr="00991002">
        <w:rPr>
          <w:i/>
          <w:color w:val="212121"/>
        </w:rPr>
        <w:t>Office of Managing Director Announces New User-Specific ID Requirements to Access the Commission Registration System (CORES)</w:t>
      </w:r>
      <w:r w:rsidRPr="00991002">
        <w:rPr>
          <w:color w:val="212121"/>
        </w:rPr>
        <w:t>, MD Docket No. 10-234, Public Notice, 31 FCC Rcd 3831 (OMD 2016).</w:t>
      </w:r>
    </w:p>
  </w:footnote>
  <w:footnote w:id="3">
    <w:p w14:paraId="3AB91A9B" w14:textId="0F352FE6" w:rsidR="003526FB" w:rsidRDefault="003526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26FB">
        <w:rPr>
          <w:i/>
        </w:rPr>
        <w:t>Id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29269" w14:textId="77777777" w:rsidR="006E4B23" w:rsidRDefault="006E4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AED68" w14:textId="5A575AA1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6A0217">
      <w:t>DA 16-</w:t>
    </w:r>
    <w:r w:rsidR="00F853D2">
      <w:t>1410</w:t>
    </w:r>
  </w:p>
  <w:p w14:paraId="6AC26E65" w14:textId="77777777" w:rsidR="00D25FB5" w:rsidRDefault="00F06C1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5AED8C1" wp14:editId="5FBE37C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E90F64E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4011FAB3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BB4B" w14:textId="77777777" w:rsidR="00750150" w:rsidRPr="00BA6E7A" w:rsidRDefault="00F06C1E" w:rsidP="00750150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6FD5EB" wp14:editId="206E6A6B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C615D" w14:textId="77777777" w:rsidR="00750150" w:rsidRDefault="00750150" w:rsidP="00750150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br/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br/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F6FD5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" o:allowincell="f" stroked="f">
              <v:textbox>
                <w:txbxContent>
                  <w:p w14:paraId="0BAC615D" w14:textId="77777777" w:rsidR="00750150" w:rsidRDefault="00750150" w:rsidP="00750150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  <w:r>
                      <w:rPr>
                        <w:rFonts w:ascii="Arial" w:hAnsi="Arial"/>
                        <w:b/>
                      </w:rPr>
                      <w:br/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</w:t>
                    </w:r>
                    <w:proofErr w:type="gramStart"/>
                    <w:r>
                      <w:rPr>
                        <w:rFonts w:ascii="Arial" w:hAnsi="Arial"/>
                        <w:b/>
                      </w:rPr>
                      <w:t>.</w:t>
                    </w:r>
                    <w:proofErr w:type="gramEnd"/>
                    <w:r>
                      <w:rPr>
                        <w:rFonts w:ascii="Arial" w:hAnsi="Arial"/>
                        <w:b/>
                      </w:rPr>
                      <w:br/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  <w:snapToGrid/>
        <w:sz w:val="24"/>
      </w:rPr>
      <w:drawing>
        <wp:inline distT="0" distB="0" distL="0" distR="0" wp14:anchorId="46F560BD" wp14:editId="4E8D12A5">
          <wp:extent cx="525780" cy="525780"/>
          <wp:effectExtent l="0" t="0" r="7620" b="7620"/>
          <wp:docPr id="1" name="Picture 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150" w:rsidRPr="00BA6E7A">
      <w:rPr>
        <w:rFonts w:ascii="Arial" w:hAnsi="Arial" w:cs="Arial"/>
        <w:b/>
        <w:sz w:val="96"/>
      </w:rPr>
      <w:t xml:space="preserve"> PUBLIC NOTICE</w:t>
    </w:r>
  </w:p>
  <w:p w14:paraId="45B6D3CF" w14:textId="77777777" w:rsidR="00750150" w:rsidRPr="005068D8" w:rsidRDefault="00F06C1E" w:rsidP="00750150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15111192" wp14:editId="4ADBC868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E01E69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7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5E+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rgK+/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A42AB9" wp14:editId="7107FF74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15BB" w14:textId="446268B6" w:rsidR="00750150" w:rsidRDefault="00750150" w:rsidP="00750150">
                          <w:pPr>
                            <w:spacing w:before="40"/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Information: 202-418-0500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br/>
                            <w:t xml:space="preserve">Internet: </w:t>
                          </w:r>
                          <w:hyperlink r:id="rId2" w:history="1">
                            <w:r w:rsidRPr="00967716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www.fcc.gov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br/>
                            <w:t>TTY: 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YCyO&#10;D4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14:paraId="383E15BB" w14:textId="446268B6" w:rsidR="00750150" w:rsidRDefault="00750150" w:rsidP="00750150">
                    <w:pPr>
                      <w:spacing w:before="40"/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Information: 202-418-0500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br/>
                      <w:t xml:space="preserve">Internet: </w:t>
                    </w:r>
                    <w:hyperlink r:id="rId3" w:history="1">
                      <w:r w:rsidRPr="00967716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www.fcc.gov</w:t>
                      </w:r>
                    </w:hyperlink>
                    <w:r>
                      <w:rPr>
                        <w:rFonts w:ascii="Arial" w:hAnsi="Arial"/>
                        <w:b/>
                        <w:sz w:val="16"/>
                      </w:rPr>
                      <w:br/>
                      <w:t>TTY: 888-835-5322</w:t>
                    </w:r>
                  </w:p>
                </w:txbxContent>
              </v:textbox>
            </v:shape>
          </w:pict>
        </mc:Fallback>
      </mc:AlternateContent>
    </w:r>
  </w:p>
  <w:p w14:paraId="11E88272" w14:textId="77777777" w:rsidR="00D25FB5" w:rsidRPr="00750150" w:rsidRDefault="00D25FB5" w:rsidP="00750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77CF2319"/>
    <w:multiLevelType w:val="hybridMultilevel"/>
    <w:tmpl w:val="3F0AC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50"/>
    <w:rsid w:val="00013F69"/>
    <w:rsid w:val="00036039"/>
    <w:rsid w:val="00037F90"/>
    <w:rsid w:val="000875BF"/>
    <w:rsid w:val="00096D8C"/>
    <w:rsid w:val="000A7447"/>
    <w:rsid w:val="000C0B65"/>
    <w:rsid w:val="000C7E58"/>
    <w:rsid w:val="000E05FE"/>
    <w:rsid w:val="000E3D42"/>
    <w:rsid w:val="00122BD5"/>
    <w:rsid w:val="00126653"/>
    <w:rsid w:val="00131455"/>
    <w:rsid w:val="00133F79"/>
    <w:rsid w:val="00152FB4"/>
    <w:rsid w:val="0018745C"/>
    <w:rsid w:val="00194A66"/>
    <w:rsid w:val="001A7A39"/>
    <w:rsid w:val="001D6BCF"/>
    <w:rsid w:val="001E01CA"/>
    <w:rsid w:val="002240A2"/>
    <w:rsid w:val="00264CB7"/>
    <w:rsid w:val="00267F85"/>
    <w:rsid w:val="00275CF5"/>
    <w:rsid w:val="0028301F"/>
    <w:rsid w:val="00285017"/>
    <w:rsid w:val="00294D0B"/>
    <w:rsid w:val="002A2D2E"/>
    <w:rsid w:val="002C00E8"/>
    <w:rsid w:val="002E269C"/>
    <w:rsid w:val="002F21BB"/>
    <w:rsid w:val="00343749"/>
    <w:rsid w:val="00344559"/>
    <w:rsid w:val="003526FB"/>
    <w:rsid w:val="003560C6"/>
    <w:rsid w:val="003660ED"/>
    <w:rsid w:val="00367CB6"/>
    <w:rsid w:val="00376AC6"/>
    <w:rsid w:val="003B0550"/>
    <w:rsid w:val="003B694F"/>
    <w:rsid w:val="003F171C"/>
    <w:rsid w:val="00406684"/>
    <w:rsid w:val="00412FC5"/>
    <w:rsid w:val="00422276"/>
    <w:rsid w:val="004242F1"/>
    <w:rsid w:val="0044282A"/>
    <w:rsid w:val="00445A00"/>
    <w:rsid w:val="00451B0F"/>
    <w:rsid w:val="0048454E"/>
    <w:rsid w:val="00490337"/>
    <w:rsid w:val="004A2303"/>
    <w:rsid w:val="004A494C"/>
    <w:rsid w:val="004C2EE3"/>
    <w:rsid w:val="004E4A22"/>
    <w:rsid w:val="00511968"/>
    <w:rsid w:val="00525811"/>
    <w:rsid w:val="00532DA8"/>
    <w:rsid w:val="005379A0"/>
    <w:rsid w:val="00537D03"/>
    <w:rsid w:val="00541081"/>
    <w:rsid w:val="0055614C"/>
    <w:rsid w:val="005641CE"/>
    <w:rsid w:val="00572F53"/>
    <w:rsid w:val="005E14C2"/>
    <w:rsid w:val="00604761"/>
    <w:rsid w:val="00607BA5"/>
    <w:rsid w:val="0061180A"/>
    <w:rsid w:val="00626EB6"/>
    <w:rsid w:val="0064686C"/>
    <w:rsid w:val="0065069D"/>
    <w:rsid w:val="00655D03"/>
    <w:rsid w:val="00676A2A"/>
    <w:rsid w:val="00683388"/>
    <w:rsid w:val="00683F84"/>
    <w:rsid w:val="006858CC"/>
    <w:rsid w:val="006A0217"/>
    <w:rsid w:val="006A6A81"/>
    <w:rsid w:val="006B44E8"/>
    <w:rsid w:val="006E4B23"/>
    <w:rsid w:val="006F507F"/>
    <w:rsid w:val="006F7393"/>
    <w:rsid w:val="0070224F"/>
    <w:rsid w:val="007115F7"/>
    <w:rsid w:val="00715303"/>
    <w:rsid w:val="0071712A"/>
    <w:rsid w:val="00723B12"/>
    <w:rsid w:val="00750150"/>
    <w:rsid w:val="00776A34"/>
    <w:rsid w:val="00785689"/>
    <w:rsid w:val="0079754B"/>
    <w:rsid w:val="007A1E6D"/>
    <w:rsid w:val="007B0EB2"/>
    <w:rsid w:val="007C68D6"/>
    <w:rsid w:val="007C7361"/>
    <w:rsid w:val="007F5ADD"/>
    <w:rsid w:val="00810B6F"/>
    <w:rsid w:val="00821D86"/>
    <w:rsid w:val="00822CE0"/>
    <w:rsid w:val="00841AB1"/>
    <w:rsid w:val="00873CFB"/>
    <w:rsid w:val="008C68F1"/>
    <w:rsid w:val="008D3C76"/>
    <w:rsid w:val="00900BF8"/>
    <w:rsid w:val="00907575"/>
    <w:rsid w:val="00921803"/>
    <w:rsid w:val="00926503"/>
    <w:rsid w:val="009320C1"/>
    <w:rsid w:val="009370AA"/>
    <w:rsid w:val="00962833"/>
    <w:rsid w:val="009726D8"/>
    <w:rsid w:val="00991198"/>
    <w:rsid w:val="009978A6"/>
    <w:rsid w:val="009A51DE"/>
    <w:rsid w:val="009F76DB"/>
    <w:rsid w:val="00A30EB9"/>
    <w:rsid w:val="00A32C3B"/>
    <w:rsid w:val="00A45F4F"/>
    <w:rsid w:val="00A55700"/>
    <w:rsid w:val="00A600A9"/>
    <w:rsid w:val="00A90A53"/>
    <w:rsid w:val="00A961E2"/>
    <w:rsid w:val="00AA25ED"/>
    <w:rsid w:val="00AA55B7"/>
    <w:rsid w:val="00AA5B9E"/>
    <w:rsid w:val="00AB2407"/>
    <w:rsid w:val="00AB53DF"/>
    <w:rsid w:val="00AB68E0"/>
    <w:rsid w:val="00B02D54"/>
    <w:rsid w:val="00B07E5C"/>
    <w:rsid w:val="00B16EFD"/>
    <w:rsid w:val="00B811F7"/>
    <w:rsid w:val="00BA5DC6"/>
    <w:rsid w:val="00BA6196"/>
    <w:rsid w:val="00BC6D8C"/>
    <w:rsid w:val="00BF0D31"/>
    <w:rsid w:val="00BF5A9F"/>
    <w:rsid w:val="00C04DC7"/>
    <w:rsid w:val="00C34006"/>
    <w:rsid w:val="00C362FF"/>
    <w:rsid w:val="00C426B1"/>
    <w:rsid w:val="00C46ED4"/>
    <w:rsid w:val="00C55888"/>
    <w:rsid w:val="00C57CEB"/>
    <w:rsid w:val="00C6253F"/>
    <w:rsid w:val="00C63397"/>
    <w:rsid w:val="00C66160"/>
    <w:rsid w:val="00C721AC"/>
    <w:rsid w:val="00C90D6A"/>
    <w:rsid w:val="00CA247E"/>
    <w:rsid w:val="00CC72B6"/>
    <w:rsid w:val="00D0218D"/>
    <w:rsid w:val="00D25FB5"/>
    <w:rsid w:val="00D44223"/>
    <w:rsid w:val="00D776F5"/>
    <w:rsid w:val="00DA2529"/>
    <w:rsid w:val="00DB130A"/>
    <w:rsid w:val="00DB2EBB"/>
    <w:rsid w:val="00DB3DE0"/>
    <w:rsid w:val="00DC10A1"/>
    <w:rsid w:val="00DC655F"/>
    <w:rsid w:val="00DD0B59"/>
    <w:rsid w:val="00DD7EBD"/>
    <w:rsid w:val="00DF62B6"/>
    <w:rsid w:val="00E07225"/>
    <w:rsid w:val="00E5409F"/>
    <w:rsid w:val="00E62421"/>
    <w:rsid w:val="00E67CF1"/>
    <w:rsid w:val="00E777DA"/>
    <w:rsid w:val="00EB4376"/>
    <w:rsid w:val="00EB4FAD"/>
    <w:rsid w:val="00EE6488"/>
    <w:rsid w:val="00F021FA"/>
    <w:rsid w:val="00F06C1E"/>
    <w:rsid w:val="00F207AD"/>
    <w:rsid w:val="00F2766C"/>
    <w:rsid w:val="00F3180E"/>
    <w:rsid w:val="00F55729"/>
    <w:rsid w:val="00F62E97"/>
    <w:rsid w:val="00F64209"/>
    <w:rsid w:val="00F853D2"/>
    <w:rsid w:val="00F93BF5"/>
    <w:rsid w:val="00FB36B2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C15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15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rsid w:val="00C362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2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62FF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3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2FF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C36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62FF"/>
    <w:rPr>
      <w:rFonts w:ascii="Segoe UI" w:hAnsi="Segoe UI" w:cs="Segoe UI"/>
      <w:snapToGrid w:val="0"/>
      <w:kern w:val="28"/>
      <w:sz w:val="18"/>
      <w:szCs w:val="18"/>
    </w:rPr>
  </w:style>
  <w:style w:type="character" w:styleId="FollowedHyperlink">
    <w:name w:val="FollowedHyperlink"/>
    <w:basedOn w:val="DefaultParagraphFont"/>
    <w:rsid w:val="004A49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7D03"/>
    <w:pPr>
      <w:widowControl/>
      <w:spacing w:after="160" w:line="252" w:lineRule="auto"/>
      <w:ind w:left="720"/>
      <w:contextualSpacing/>
    </w:pPr>
    <w:rPr>
      <w:rFonts w:ascii="Calibri" w:eastAsiaTheme="minorHAnsi" w:hAnsi="Calibri" w:cs="Calibri"/>
      <w:snapToGrid/>
      <w:kern w:val="0"/>
      <w:szCs w:val="22"/>
    </w:rPr>
  </w:style>
  <w:style w:type="character" w:customStyle="1" w:styleId="apple-converted-space">
    <w:name w:val="apple-converted-space"/>
    <w:basedOn w:val="DefaultParagraphFont"/>
    <w:rsid w:val="007F5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15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rsid w:val="00C362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2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62FF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3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2FF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C36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62FF"/>
    <w:rPr>
      <w:rFonts w:ascii="Segoe UI" w:hAnsi="Segoe UI" w:cs="Segoe UI"/>
      <w:snapToGrid w:val="0"/>
      <w:kern w:val="28"/>
      <w:sz w:val="18"/>
      <w:szCs w:val="18"/>
    </w:rPr>
  </w:style>
  <w:style w:type="character" w:styleId="FollowedHyperlink">
    <w:name w:val="FollowedHyperlink"/>
    <w:basedOn w:val="DefaultParagraphFont"/>
    <w:rsid w:val="004A49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7D03"/>
    <w:pPr>
      <w:widowControl/>
      <w:spacing w:after="160" w:line="252" w:lineRule="auto"/>
      <w:ind w:left="720"/>
      <w:contextualSpacing/>
    </w:pPr>
    <w:rPr>
      <w:rFonts w:ascii="Calibri" w:eastAsiaTheme="minorHAnsi" w:hAnsi="Calibri" w:cs="Calibri"/>
      <w:snapToGrid/>
      <w:kern w:val="0"/>
      <w:szCs w:val="22"/>
    </w:rPr>
  </w:style>
  <w:style w:type="character" w:customStyle="1" w:styleId="apple-converted-space">
    <w:name w:val="apple-converted-space"/>
    <w:basedOn w:val="DefaultParagraphFont"/>
    <w:rsid w:val="007F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7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5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6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1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fcc.gov/cores/userLogin.do" TargetMode="External"/><Relationship Id="rId13" Type="http://schemas.openxmlformats.org/officeDocument/2006/relationships/hyperlink" Target="mailto:Charles.Meisch@fcc.gov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RESPilot@fcc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s.fcc.gov/cores/publicHome.do?help=tru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cc.gov/auctions/100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apps.fcc.gov/cores/userLogin.do" TargetMode="External"/><Relationship Id="rId14" Type="http://schemas.openxmlformats.org/officeDocument/2006/relationships/hyperlink" Target="http://www.fcc.gov/incentiveauctions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craig.bomberger\AppData\Local\Microsoft\Windows\Temporary%20Internet%20Files\Content.Outlook\BCL5QM18\www.fcc.gov" TargetMode="External"/><Relationship Id="rId2" Type="http://schemas.openxmlformats.org/officeDocument/2006/relationships/hyperlink" Target="file:///C:\Users\craig.bomberger\AppData\Local\Microsoft\Windows\Temporary%20Internet%20Files\Content.Outlook\BCL5QM18\www.fcc.go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540</Words>
  <Characters>3128</Characters>
  <Application>Microsoft Office Word</Application>
  <DocSecurity>0</DocSecurity>
  <Lines>51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3678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2016-12-19T17:55:00Z</dcterms:created>
  <dcterms:modified xsi:type="dcterms:W3CDTF">2016-12-19T17:55:00Z</dcterms:modified>
  <cp:category> </cp:category>
  <cp:contentStatus> </cp:contentStatus>
</cp:coreProperties>
</file>