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CDF1F" w14:textId="77777777" w:rsidR="00FC1CFD" w:rsidRDefault="00FC1CFD">
      <w:pPr>
        <w:jc w:val="center"/>
        <w:rPr>
          <w:b/>
          <w:sz w:val="22"/>
          <w:szCs w:val="22"/>
        </w:rPr>
      </w:pPr>
      <w:bookmarkStart w:id="0" w:name="_GoBack"/>
      <w:bookmarkEnd w:id="0"/>
      <w:r>
        <w:rPr>
          <w:b/>
          <w:sz w:val="22"/>
          <w:szCs w:val="22"/>
        </w:rPr>
        <w:t xml:space="preserve">Before the </w:t>
      </w:r>
    </w:p>
    <w:p w14:paraId="59D85DC2" w14:textId="77777777" w:rsidR="00FC1CFD" w:rsidRDefault="00FC1CFD">
      <w:pPr>
        <w:jc w:val="center"/>
        <w:rPr>
          <w:b/>
          <w:sz w:val="22"/>
          <w:szCs w:val="22"/>
        </w:rPr>
      </w:pPr>
      <w:r>
        <w:rPr>
          <w:b/>
          <w:sz w:val="22"/>
          <w:szCs w:val="22"/>
        </w:rPr>
        <w:t>Federal Communications Commission</w:t>
      </w:r>
    </w:p>
    <w:p w14:paraId="5C91CFD7" w14:textId="77777777" w:rsidR="00FC1CFD" w:rsidRDefault="00FC1CFD">
      <w:pPr>
        <w:jc w:val="center"/>
        <w:rPr>
          <w:b/>
          <w:sz w:val="22"/>
          <w:szCs w:val="22"/>
        </w:rPr>
      </w:pPr>
      <w:r>
        <w:rPr>
          <w:b/>
          <w:sz w:val="22"/>
          <w:szCs w:val="22"/>
        </w:rPr>
        <w:t>Washington, D.C. 20554</w:t>
      </w:r>
    </w:p>
    <w:p w14:paraId="60DF4851" w14:textId="77777777" w:rsidR="00FC1CFD" w:rsidRDefault="00FC1CFD">
      <w:pPr>
        <w:rPr>
          <w:sz w:val="22"/>
          <w:szCs w:val="22"/>
        </w:rPr>
      </w:pPr>
    </w:p>
    <w:p w14:paraId="70E623C3" w14:textId="77777777" w:rsidR="00D860AB" w:rsidRDefault="00D860AB">
      <w:pPr>
        <w:rPr>
          <w:sz w:val="22"/>
          <w:szCs w:val="22"/>
        </w:rPr>
      </w:pPr>
    </w:p>
    <w:tbl>
      <w:tblPr>
        <w:tblW w:w="9648" w:type="dxa"/>
        <w:tblLayout w:type="fixed"/>
        <w:tblLook w:val="0000" w:firstRow="0" w:lastRow="0" w:firstColumn="0" w:lastColumn="0" w:noHBand="0" w:noVBand="0"/>
      </w:tblPr>
      <w:tblGrid>
        <w:gridCol w:w="4698"/>
        <w:gridCol w:w="720"/>
        <w:gridCol w:w="4230"/>
      </w:tblGrid>
      <w:tr w:rsidR="00FC1CFD" w14:paraId="15E27A7E" w14:textId="77777777">
        <w:tc>
          <w:tcPr>
            <w:tcW w:w="4698" w:type="dxa"/>
          </w:tcPr>
          <w:p w14:paraId="47F6F5F6" w14:textId="77777777" w:rsidR="00FC1CFD" w:rsidRDefault="00FC1CFD">
            <w:pPr>
              <w:ind w:right="-18"/>
              <w:rPr>
                <w:sz w:val="22"/>
                <w:szCs w:val="22"/>
              </w:rPr>
            </w:pPr>
            <w:r>
              <w:rPr>
                <w:sz w:val="22"/>
                <w:szCs w:val="22"/>
              </w:rPr>
              <w:t>In the Matter of Application of</w:t>
            </w:r>
          </w:p>
          <w:p w14:paraId="6846BD99" w14:textId="77777777" w:rsidR="00FC1CFD" w:rsidRDefault="00FC1CFD">
            <w:pPr>
              <w:ind w:right="-18"/>
              <w:rPr>
                <w:sz w:val="22"/>
                <w:szCs w:val="22"/>
              </w:rPr>
            </w:pPr>
          </w:p>
          <w:p w14:paraId="7CE4919C" w14:textId="77777777" w:rsidR="00FC1CFD" w:rsidRDefault="00FC1CFD">
            <w:pPr>
              <w:ind w:right="-18"/>
              <w:rPr>
                <w:sz w:val="22"/>
                <w:szCs w:val="22"/>
              </w:rPr>
            </w:pPr>
            <w:r>
              <w:rPr>
                <w:sz w:val="22"/>
                <w:szCs w:val="22"/>
              </w:rPr>
              <w:t xml:space="preserve">THE </w:t>
            </w:r>
            <w:r w:rsidR="003D137E">
              <w:rPr>
                <w:sz w:val="22"/>
                <w:szCs w:val="22"/>
              </w:rPr>
              <w:t>MONTEREY COUNTY SUPERINTENDENT OF SCHOOLS</w:t>
            </w:r>
          </w:p>
          <w:p w14:paraId="67B3179D" w14:textId="77777777" w:rsidR="00D860AB" w:rsidRDefault="00D860AB">
            <w:pPr>
              <w:ind w:right="-18"/>
              <w:rPr>
                <w:sz w:val="22"/>
                <w:szCs w:val="22"/>
              </w:rPr>
            </w:pPr>
          </w:p>
          <w:p w14:paraId="5C9DCB4F" w14:textId="77777777" w:rsidR="00FC1CFD" w:rsidRDefault="00FC1CFD">
            <w:pPr>
              <w:ind w:right="-198"/>
              <w:rPr>
                <w:sz w:val="22"/>
                <w:szCs w:val="22"/>
              </w:rPr>
            </w:pPr>
            <w:r>
              <w:rPr>
                <w:sz w:val="22"/>
                <w:szCs w:val="22"/>
              </w:rPr>
              <w:t xml:space="preserve">For a New Educational Broadband Service </w:t>
            </w:r>
            <w:r w:rsidR="00D6752D">
              <w:rPr>
                <w:sz w:val="22"/>
                <w:szCs w:val="22"/>
              </w:rPr>
              <w:t>Station</w:t>
            </w:r>
          </w:p>
        </w:tc>
        <w:tc>
          <w:tcPr>
            <w:tcW w:w="720" w:type="dxa"/>
          </w:tcPr>
          <w:p w14:paraId="2C8D7768" w14:textId="77777777" w:rsidR="00FC1CFD" w:rsidRDefault="00FC1CFD">
            <w:pPr>
              <w:rPr>
                <w:b/>
                <w:sz w:val="22"/>
                <w:szCs w:val="22"/>
              </w:rPr>
            </w:pPr>
            <w:r>
              <w:rPr>
                <w:b/>
                <w:sz w:val="22"/>
                <w:szCs w:val="22"/>
              </w:rPr>
              <w:t>)</w:t>
            </w:r>
          </w:p>
          <w:p w14:paraId="4A2AA53A" w14:textId="77777777" w:rsidR="00FC1CFD" w:rsidRDefault="00FC1CFD">
            <w:pPr>
              <w:rPr>
                <w:b/>
                <w:sz w:val="22"/>
                <w:szCs w:val="22"/>
              </w:rPr>
            </w:pPr>
            <w:r>
              <w:rPr>
                <w:b/>
                <w:sz w:val="22"/>
                <w:szCs w:val="22"/>
              </w:rPr>
              <w:t>)</w:t>
            </w:r>
          </w:p>
          <w:p w14:paraId="611170BE" w14:textId="77777777" w:rsidR="00FC1CFD" w:rsidRDefault="00FC1CFD">
            <w:pPr>
              <w:rPr>
                <w:b/>
                <w:sz w:val="22"/>
                <w:szCs w:val="22"/>
              </w:rPr>
            </w:pPr>
            <w:r>
              <w:rPr>
                <w:b/>
                <w:sz w:val="22"/>
                <w:szCs w:val="22"/>
              </w:rPr>
              <w:t>)</w:t>
            </w:r>
          </w:p>
          <w:p w14:paraId="751F1E95" w14:textId="77777777" w:rsidR="00FC1CFD" w:rsidRDefault="00FC1CFD">
            <w:pPr>
              <w:rPr>
                <w:b/>
                <w:sz w:val="22"/>
                <w:szCs w:val="22"/>
              </w:rPr>
            </w:pPr>
            <w:r>
              <w:rPr>
                <w:b/>
                <w:sz w:val="22"/>
                <w:szCs w:val="22"/>
              </w:rPr>
              <w:t>)</w:t>
            </w:r>
          </w:p>
          <w:p w14:paraId="45E53A1B" w14:textId="77777777" w:rsidR="00FC1CFD" w:rsidRDefault="00FC1CFD">
            <w:pPr>
              <w:rPr>
                <w:b/>
                <w:sz w:val="22"/>
                <w:szCs w:val="22"/>
              </w:rPr>
            </w:pPr>
            <w:r>
              <w:rPr>
                <w:b/>
                <w:sz w:val="22"/>
                <w:szCs w:val="22"/>
              </w:rPr>
              <w:t>)</w:t>
            </w:r>
          </w:p>
          <w:p w14:paraId="05F300F1" w14:textId="77777777" w:rsidR="00FC1CFD" w:rsidRDefault="00FC1CFD">
            <w:pPr>
              <w:rPr>
                <w:b/>
                <w:sz w:val="22"/>
                <w:szCs w:val="22"/>
              </w:rPr>
            </w:pPr>
            <w:r>
              <w:rPr>
                <w:b/>
                <w:sz w:val="22"/>
                <w:szCs w:val="22"/>
              </w:rPr>
              <w:t>)</w:t>
            </w:r>
          </w:p>
          <w:p w14:paraId="5677DCF0" w14:textId="77777777" w:rsidR="00FC1CFD" w:rsidRDefault="00FC1CFD">
            <w:pPr>
              <w:rPr>
                <w:b/>
                <w:sz w:val="22"/>
                <w:szCs w:val="22"/>
              </w:rPr>
            </w:pPr>
            <w:r>
              <w:rPr>
                <w:b/>
                <w:sz w:val="22"/>
                <w:szCs w:val="22"/>
              </w:rPr>
              <w:t>)</w:t>
            </w:r>
          </w:p>
        </w:tc>
        <w:tc>
          <w:tcPr>
            <w:tcW w:w="4230" w:type="dxa"/>
          </w:tcPr>
          <w:p w14:paraId="4F63D6A7" w14:textId="77777777" w:rsidR="00FC1CFD" w:rsidRDefault="00FC1CFD">
            <w:pPr>
              <w:rPr>
                <w:sz w:val="22"/>
                <w:szCs w:val="22"/>
              </w:rPr>
            </w:pPr>
          </w:p>
          <w:p w14:paraId="442E9AFC" w14:textId="77777777" w:rsidR="00FC1CFD" w:rsidRDefault="00FC1CFD">
            <w:pPr>
              <w:rPr>
                <w:sz w:val="22"/>
                <w:szCs w:val="22"/>
              </w:rPr>
            </w:pPr>
          </w:p>
          <w:p w14:paraId="4AFC98FA" w14:textId="77777777" w:rsidR="00FC1CFD" w:rsidRDefault="00FC1CFD">
            <w:pPr>
              <w:rPr>
                <w:spacing w:val="-2"/>
                <w:sz w:val="22"/>
                <w:szCs w:val="22"/>
              </w:rPr>
            </w:pPr>
            <w:r>
              <w:rPr>
                <w:spacing w:val="-2"/>
                <w:sz w:val="22"/>
                <w:szCs w:val="22"/>
              </w:rPr>
              <w:t xml:space="preserve">File No. </w:t>
            </w:r>
            <w:r>
              <w:rPr>
                <w:sz w:val="22"/>
                <w:szCs w:val="22"/>
              </w:rPr>
              <w:t>000</w:t>
            </w:r>
            <w:r w:rsidR="003D137E">
              <w:rPr>
                <w:sz w:val="22"/>
                <w:szCs w:val="22"/>
              </w:rPr>
              <w:t>7355697</w:t>
            </w:r>
          </w:p>
          <w:p w14:paraId="57858A15" w14:textId="77777777" w:rsidR="00FC1CFD" w:rsidRDefault="00FC1CFD">
            <w:pPr>
              <w:rPr>
                <w:sz w:val="22"/>
                <w:szCs w:val="22"/>
              </w:rPr>
            </w:pPr>
          </w:p>
          <w:p w14:paraId="390F2A9C" w14:textId="77777777" w:rsidR="00FC1CFD" w:rsidRDefault="00FC1CFD">
            <w:pPr>
              <w:rPr>
                <w:sz w:val="22"/>
                <w:szCs w:val="22"/>
              </w:rPr>
            </w:pPr>
          </w:p>
        </w:tc>
      </w:tr>
    </w:tbl>
    <w:p w14:paraId="2C81E2C1" w14:textId="77777777" w:rsidR="00FC1CFD" w:rsidRDefault="00FC1CFD">
      <w:pPr>
        <w:rPr>
          <w:sz w:val="22"/>
          <w:szCs w:val="22"/>
        </w:rPr>
      </w:pPr>
    </w:p>
    <w:p w14:paraId="0DE4DBAF" w14:textId="77777777" w:rsidR="00D860AB" w:rsidRDefault="00D860AB">
      <w:pPr>
        <w:rPr>
          <w:sz w:val="22"/>
          <w:szCs w:val="22"/>
        </w:rPr>
      </w:pPr>
    </w:p>
    <w:p w14:paraId="1FCC8CB0" w14:textId="77777777" w:rsidR="00FC1CFD" w:rsidRDefault="00FC1CFD">
      <w:pPr>
        <w:jc w:val="center"/>
        <w:rPr>
          <w:b/>
          <w:sz w:val="22"/>
          <w:szCs w:val="22"/>
        </w:rPr>
      </w:pPr>
      <w:r>
        <w:rPr>
          <w:b/>
          <w:sz w:val="22"/>
          <w:szCs w:val="22"/>
        </w:rPr>
        <w:t>MEMORANDUM OPINION AND ORDER</w:t>
      </w:r>
    </w:p>
    <w:p w14:paraId="053DF3B0" w14:textId="77777777" w:rsidR="00FC1CFD" w:rsidRDefault="00FC1CFD">
      <w:pPr>
        <w:rPr>
          <w:sz w:val="22"/>
          <w:szCs w:val="22"/>
        </w:rPr>
      </w:pPr>
    </w:p>
    <w:p w14:paraId="34BA5FCF" w14:textId="01B4BFCC" w:rsidR="00FC1CFD" w:rsidRDefault="00FC1CFD">
      <w:pPr>
        <w:tabs>
          <w:tab w:val="left" w:pos="6480"/>
        </w:tabs>
        <w:rPr>
          <w:b/>
          <w:sz w:val="22"/>
          <w:szCs w:val="22"/>
        </w:rPr>
      </w:pPr>
      <w:r>
        <w:rPr>
          <w:b/>
          <w:sz w:val="22"/>
          <w:szCs w:val="22"/>
        </w:rPr>
        <w:t xml:space="preserve">Adopted:  </w:t>
      </w:r>
      <w:r w:rsidR="007D1F4C">
        <w:rPr>
          <w:b/>
          <w:sz w:val="22"/>
          <w:szCs w:val="22"/>
        </w:rPr>
        <w:t xml:space="preserve">December </w:t>
      </w:r>
      <w:r w:rsidR="009D5069">
        <w:rPr>
          <w:b/>
          <w:sz w:val="22"/>
          <w:szCs w:val="22"/>
        </w:rPr>
        <w:t>1</w:t>
      </w:r>
      <w:r w:rsidR="00483674">
        <w:rPr>
          <w:b/>
          <w:sz w:val="22"/>
          <w:szCs w:val="22"/>
        </w:rPr>
        <w:t>9</w:t>
      </w:r>
      <w:r w:rsidR="003A1F43" w:rsidRPr="007D1F4C">
        <w:rPr>
          <w:b/>
          <w:sz w:val="22"/>
          <w:szCs w:val="22"/>
        </w:rPr>
        <w:t>, 201</w:t>
      </w:r>
      <w:r w:rsidR="003D137E" w:rsidRPr="007D1F4C">
        <w:rPr>
          <w:b/>
          <w:sz w:val="22"/>
          <w:szCs w:val="22"/>
        </w:rPr>
        <w:t>6</w:t>
      </w:r>
      <w:r>
        <w:rPr>
          <w:sz w:val="22"/>
          <w:szCs w:val="22"/>
        </w:rPr>
        <w:tab/>
      </w:r>
      <w:r>
        <w:rPr>
          <w:b/>
          <w:sz w:val="22"/>
          <w:szCs w:val="22"/>
        </w:rPr>
        <w:t xml:space="preserve">Released: </w:t>
      </w:r>
      <w:r w:rsidR="007D1F4C">
        <w:rPr>
          <w:b/>
          <w:sz w:val="22"/>
          <w:szCs w:val="22"/>
        </w:rPr>
        <w:t xml:space="preserve">December </w:t>
      </w:r>
      <w:r w:rsidR="00483674">
        <w:rPr>
          <w:b/>
          <w:sz w:val="22"/>
          <w:szCs w:val="22"/>
        </w:rPr>
        <w:t>20</w:t>
      </w:r>
      <w:r w:rsidR="003D137E" w:rsidRPr="007D1F4C">
        <w:rPr>
          <w:b/>
          <w:sz w:val="22"/>
          <w:szCs w:val="22"/>
        </w:rPr>
        <w:t>, 2016</w:t>
      </w:r>
    </w:p>
    <w:p w14:paraId="6CFA5CDE" w14:textId="77777777" w:rsidR="00FC1CFD" w:rsidRDefault="00FC1CFD">
      <w:pPr>
        <w:rPr>
          <w:b/>
          <w:sz w:val="22"/>
          <w:szCs w:val="22"/>
        </w:rPr>
      </w:pPr>
    </w:p>
    <w:p w14:paraId="5BC9943A" w14:textId="77777777" w:rsidR="00FC1CFD" w:rsidRDefault="00FC1CFD">
      <w:pPr>
        <w:rPr>
          <w:sz w:val="22"/>
          <w:szCs w:val="22"/>
        </w:rPr>
      </w:pPr>
      <w:r>
        <w:rPr>
          <w:sz w:val="22"/>
          <w:szCs w:val="22"/>
        </w:rPr>
        <w:t xml:space="preserve">By the </w:t>
      </w:r>
      <w:r w:rsidR="00A77374">
        <w:rPr>
          <w:sz w:val="22"/>
          <w:szCs w:val="22"/>
        </w:rPr>
        <w:t xml:space="preserve">Deputy </w:t>
      </w:r>
      <w:r>
        <w:rPr>
          <w:sz w:val="22"/>
          <w:szCs w:val="22"/>
        </w:rPr>
        <w:t xml:space="preserve">Chief, </w:t>
      </w:r>
      <w:r w:rsidR="003A4E96">
        <w:rPr>
          <w:sz w:val="22"/>
          <w:szCs w:val="22"/>
        </w:rPr>
        <w:t xml:space="preserve">Broadband Division, </w:t>
      </w:r>
      <w:r>
        <w:rPr>
          <w:sz w:val="22"/>
          <w:szCs w:val="22"/>
        </w:rPr>
        <w:t>Wireless Telecommunications Bureau:</w:t>
      </w:r>
    </w:p>
    <w:p w14:paraId="5F485E58" w14:textId="77777777" w:rsidR="00FC1CFD" w:rsidRDefault="00FC1CFD">
      <w:pPr>
        <w:rPr>
          <w:sz w:val="22"/>
          <w:szCs w:val="22"/>
        </w:rPr>
      </w:pPr>
    </w:p>
    <w:p w14:paraId="765837AC" w14:textId="77777777" w:rsidR="00FC1CFD" w:rsidRDefault="00FC1CFD">
      <w:pPr>
        <w:rPr>
          <w:b/>
          <w:sz w:val="22"/>
          <w:szCs w:val="22"/>
        </w:rPr>
      </w:pPr>
      <w:r>
        <w:rPr>
          <w:b/>
          <w:sz w:val="22"/>
          <w:szCs w:val="22"/>
        </w:rPr>
        <w:t>I.</w:t>
      </w:r>
      <w:r>
        <w:rPr>
          <w:b/>
          <w:sz w:val="22"/>
          <w:szCs w:val="22"/>
        </w:rPr>
        <w:tab/>
      </w:r>
      <w:r>
        <w:rPr>
          <w:rStyle w:val="Heading1Char"/>
          <w:rFonts w:ascii="Times New Roman" w:hAnsi="Times New Roman" w:cs="Times New Roman"/>
          <w:sz w:val="22"/>
          <w:szCs w:val="22"/>
        </w:rPr>
        <w:t>INTRODUCTION</w:t>
      </w:r>
    </w:p>
    <w:p w14:paraId="315CBC4B" w14:textId="77777777" w:rsidR="00FC1CFD" w:rsidRDefault="00FC1CFD">
      <w:pPr>
        <w:rPr>
          <w:sz w:val="22"/>
          <w:szCs w:val="22"/>
        </w:rPr>
      </w:pPr>
    </w:p>
    <w:p w14:paraId="4DB057FF" w14:textId="77777777" w:rsidR="002A1A73" w:rsidRDefault="003D137E" w:rsidP="00A22C36">
      <w:pPr>
        <w:numPr>
          <w:ilvl w:val="1"/>
          <w:numId w:val="16"/>
        </w:numPr>
        <w:tabs>
          <w:tab w:val="num" w:pos="1440"/>
        </w:tabs>
        <w:spacing w:after="220"/>
        <w:ind w:left="0"/>
        <w:rPr>
          <w:sz w:val="22"/>
          <w:szCs w:val="22"/>
        </w:rPr>
      </w:pPr>
      <w:r>
        <w:rPr>
          <w:sz w:val="22"/>
          <w:szCs w:val="22"/>
        </w:rPr>
        <w:t xml:space="preserve">On July 22, 2016, the </w:t>
      </w:r>
      <w:r w:rsidRPr="003D137E">
        <w:rPr>
          <w:sz w:val="22"/>
          <w:szCs w:val="22"/>
        </w:rPr>
        <w:t>Monterey County Superintendent of Schools</w:t>
      </w:r>
      <w:r>
        <w:rPr>
          <w:sz w:val="22"/>
          <w:szCs w:val="22"/>
        </w:rPr>
        <w:t xml:space="preserve"> (MCSS or Superintendent) filed an application and a waiver request in support of that application for four new Educational Broadband Service (EBS) channels in the area of Salinas, California.</w:t>
      </w:r>
      <w:r>
        <w:rPr>
          <w:rStyle w:val="FootnoteReference"/>
          <w:sz w:val="22"/>
          <w:szCs w:val="22"/>
        </w:rPr>
        <w:footnoteReference w:id="2"/>
      </w:r>
      <w:r>
        <w:rPr>
          <w:sz w:val="22"/>
          <w:szCs w:val="22"/>
        </w:rPr>
        <w:t xml:space="preserve">  In this </w:t>
      </w:r>
      <w:r w:rsidRPr="007242BD">
        <w:rPr>
          <w:i/>
          <w:sz w:val="22"/>
          <w:szCs w:val="22"/>
        </w:rPr>
        <w:t>Memorandum Opinion and Order</w:t>
      </w:r>
      <w:r>
        <w:rPr>
          <w:sz w:val="22"/>
          <w:szCs w:val="22"/>
        </w:rPr>
        <w:t>, subject to certain conditions, we grant to MCSS a waiver of the filing freeze on new EBS applications and a waiver of Section 1.913(b)</w:t>
      </w:r>
      <w:r>
        <w:rPr>
          <w:rStyle w:val="FootnoteReference"/>
          <w:sz w:val="22"/>
          <w:szCs w:val="22"/>
        </w:rPr>
        <w:footnoteReference w:id="3"/>
      </w:r>
      <w:r>
        <w:rPr>
          <w:sz w:val="22"/>
          <w:szCs w:val="22"/>
        </w:rPr>
        <w:t xml:space="preserve"> of the Commission’s rules to permit manual filing of its applications.</w:t>
      </w:r>
    </w:p>
    <w:p w14:paraId="012CA7CF" w14:textId="77777777" w:rsidR="00FC1CFD" w:rsidRDefault="00FC1CFD">
      <w:pPr>
        <w:pStyle w:val="Heading1"/>
        <w:spacing w:before="0" w:after="220"/>
        <w:rPr>
          <w:rFonts w:ascii="Times New Roman" w:hAnsi="Times New Roman"/>
          <w:sz w:val="22"/>
        </w:rPr>
      </w:pPr>
      <w:r>
        <w:rPr>
          <w:rFonts w:ascii="Times New Roman" w:hAnsi="Times New Roman"/>
          <w:sz w:val="22"/>
        </w:rPr>
        <w:t>II.</w:t>
      </w:r>
      <w:r>
        <w:rPr>
          <w:rFonts w:ascii="Times New Roman" w:hAnsi="Times New Roman"/>
          <w:sz w:val="22"/>
        </w:rPr>
        <w:tab/>
        <w:t>BACKGROUND</w:t>
      </w:r>
    </w:p>
    <w:p w14:paraId="292E5F55" w14:textId="77777777" w:rsidR="00FC1CFD" w:rsidRDefault="00FC1CFD" w:rsidP="00A22C36">
      <w:pPr>
        <w:numPr>
          <w:ilvl w:val="1"/>
          <w:numId w:val="16"/>
        </w:numPr>
        <w:tabs>
          <w:tab w:val="num" w:pos="1440"/>
        </w:tabs>
        <w:spacing w:after="220"/>
        <w:ind w:left="0"/>
        <w:rPr>
          <w:sz w:val="22"/>
          <w:szCs w:val="22"/>
        </w:rPr>
      </w:pPr>
      <w:r>
        <w:rPr>
          <w:i/>
          <w:sz w:val="22"/>
          <w:szCs w:val="22"/>
        </w:rPr>
        <w:t>2500-2690 MHz Band Generally</w:t>
      </w:r>
      <w:r>
        <w:rPr>
          <w:sz w:val="22"/>
          <w:szCs w:val="22"/>
        </w:rPr>
        <w:t>.  In developing regulatory policies in the 2500-2690 MHz band over the last several decades, the Commission has been cognizant of this band’s potential to host a variety of services.  In 1963, the Commission established the Instructional Television Fixed Service (ITFS) in the 2500-2690 MHz band,</w:t>
      </w:r>
      <w:r>
        <w:rPr>
          <w:rStyle w:val="FootnoteReference"/>
          <w:sz w:val="22"/>
          <w:szCs w:val="22"/>
        </w:rPr>
        <w:footnoteReference w:id="4"/>
      </w:r>
      <w:r>
        <w:rPr>
          <w:sz w:val="22"/>
          <w:szCs w:val="22"/>
        </w:rPr>
        <w:t xml:space="preserve"> envisioning that it would be used for transmission of instructional material to accredited public and private schools, colleges and universities for the formal education of students.</w:t>
      </w:r>
      <w:r>
        <w:rPr>
          <w:rStyle w:val="FootnoteReference"/>
          <w:sz w:val="22"/>
          <w:szCs w:val="22"/>
        </w:rPr>
        <w:footnoteReference w:id="5"/>
      </w:r>
      <w:r>
        <w:rPr>
          <w:sz w:val="22"/>
          <w:szCs w:val="22"/>
        </w:rPr>
        <w:t xml:space="preserve">  In 1983, in response to the demand for additional spectrum for delivery of video entertainment programming to subscribers, the Commission re-allotted eight ITFS channels (the E and F channel </w:t>
      </w:r>
      <w:r>
        <w:rPr>
          <w:sz w:val="22"/>
          <w:szCs w:val="22"/>
        </w:rPr>
        <w:lastRenderedPageBreak/>
        <w:t>blocks) and associated response channels for use by the Multipoint Distribution Service (MDS).</w:t>
      </w:r>
      <w:r>
        <w:rPr>
          <w:rStyle w:val="FootnoteReference"/>
          <w:sz w:val="22"/>
          <w:szCs w:val="22"/>
        </w:rPr>
        <w:footnoteReference w:id="6"/>
      </w:r>
      <w:r>
        <w:rPr>
          <w:sz w:val="22"/>
          <w:szCs w:val="22"/>
        </w:rPr>
        <w:t xml:space="preserve"> </w:t>
      </w:r>
      <w:r w:rsidR="00A93A92">
        <w:rPr>
          <w:sz w:val="22"/>
          <w:szCs w:val="22"/>
        </w:rPr>
        <w:t xml:space="preserve"> </w:t>
      </w:r>
      <w:r>
        <w:rPr>
          <w:sz w:val="22"/>
          <w:szCs w:val="22"/>
        </w:rPr>
        <w:t>In conjunction with this re-allotment, the FCC permitted ITFS licensees to lease “excess capacity” on their facilities to commercial entities.</w:t>
      </w:r>
      <w:r>
        <w:rPr>
          <w:rStyle w:val="FootnoteReference"/>
          <w:sz w:val="22"/>
          <w:szCs w:val="22"/>
        </w:rPr>
        <w:footnoteReference w:id="7"/>
      </w:r>
    </w:p>
    <w:p w14:paraId="730BFD05" w14:textId="77777777" w:rsidR="00FC1CFD" w:rsidRDefault="00FC1CFD" w:rsidP="00A22C36">
      <w:pPr>
        <w:numPr>
          <w:ilvl w:val="1"/>
          <w:numId w:val="16"/>
        </w:numPr>
        <w:tabs>
          <w:tab w:val="num" w:pos="1440"/>
        </w:tabs>
        <w:spacing w:after="220"/>
        <w:ind w:left="0"/>
        <w:rPr>
          <w:sz w:val="22"/>
          <w:szCs w:val="22"/>
        </w:rPr>
      </w:pPr>
      <w:r>
        <w:rPr>
          <w:sz w:val="22"/>
          <w:szCs w:val="22"/>
        </w:rPr>
        <w:t xml:space="preserve">In April 2003, the Commission proposed new technical rules and a new band plan for ITFS and MDS spectrum (changing the service names to </w:t>
      </w:r>
      <w:r w:rsidRPr="00A22C36">
        <w:rPr>
          <w:sz w:val="22"/>
        </w:rPr>
        <w:t>EBS</w:t>
      </w:r>
      <w:r>
        <w:rPr>
          <w:sz w:val="22"/>
          <w:szCs w:val="22"/>
        </w:rPr>
        <w:t xml:space="preserve"> and Broadband Radio Service (BRS), respectively).</w:t>
      </w:r>
      <w:r w:rsidR="00A93A92">
        <w:rPr>
          <w:rStyle w:val="FootnoteReference"/>
          <w:sz w:val="22"/>
          <w:szCs w:val="22"/>
        </w:rPr>
        <w:footnoteReference w:id="8"/>
      </w:r>
      <w:r>
        <w:rPr>
          <w:sz w:val="22"/>
          <w:szCs w:val="22"/>
        </w:rPr>
        <w:t xml:space="preserve">  At  the same time, it implemented a filing freeze with respect to all applications for new BRS and EBS licenses, as well as for major modifications of those licenses, in order to permit the orderly and effective resolution of issues in the BRS/EBS proceeding.</w:t>
      </w:r>
      <w:r>
        <w:rPr>
          <w:rStyle w:val="FootnoteReference"/>
          <w:sz w:val="22"/>
          <w:szCs w:val="22"/>
        </w:rPr>
        <w:footnoteReference w:id="9"/>
      </w:r>
      <w:r>
        <w:rPr>
          <w:sz w:val="22"/>
          <w:szCs w:val="22"/>
        </w:rPr>
        <w:t xml:space="preserve">  In August 2003, the Commission modified the freeze by permitting the filing of applications for new BRS licenses and major modifications of those licenses.</w:t>
      </w:r>
      <w:r>
        <w:rPr>
          <w:rStyle w:val="FootnoteReference"/>
          <w:sz w:val="22"/>
          <w:szCs w:val="22"/>
        </w:rPr>
        <w:footnoteReference w:id="10"/>
      </w:r>
      <w:r>
        <w:rPr>
          <w:sz w:val="22"/>
          <w:szCs w:val="22"/>
        </w:rPr>
        <w:t xml:space="preserve">  The Commission also permitted the filing of applications for major modifications of EBS licenses, but maintained the filing freeze with respect to applications for new EBS licenses.</w:t>
      </w:r>
      <w:r>
        <w:rPr>
          <w:rStyle w:val="FootnoteReference"/>
          <w:sz w:val="22"/>
          <w:szCs w:val="22"/>
        </w:rPr>
        <w:footnoteReference w:id="11"/>
      </w:r>
      <w:r>
        <w:rPr>
          <w:sz w:val="22"/>
          <w:szCs w:val="22"/>
        </w:rPr>
        <w:t xml:space="preserve"> </w:t>
      </w:r>
      <w:r w:rsidR="00764A1C">
        <w:rPr>
          <w:sz w:val="22"/>
          <w:szCs w:val="22"/>
        </w:rPr>
        <w:t xml:space="preserve"> </w:t>
      </w:r>
      <w:r>
        <w:rPr>
          <w:sz w:val="22"/>
          <w:szCs w:val="22"/>
        </w:rPr>
        <w:t>On June 10, 2004, the Commission adopted new rules that initiated a fundamental restructuring of the 2500-2690 MHz band in order to provide both existing EBS and BRS licensees and potential new entrants greater flexibility in order to encourage the highest and best use of spectrum domestically and internationally.</w:t>
      </w:r>
      <w:r>
        <w:rPr>
          <w:rStyle w:val="FootnoteReference"/>
          <w:sz w:val="22"/>
          <w:szCs w:val="22"/>
        </w:rPr>
        <w:t xml:space="preserve"> </w:t>
      </w:r>
      <w:r>
        <w:rPr>
          <w:rStyle w:val="FootnoteReference"/>
          <w:sz w:val="22"/>
          <w:szCs w:val="22"/>
        </w:rPr>
        <w:footnoteReference w:id="12"/>
      </w:r>
      <w:r>
        <w:rPr>
          <w:sz w:val="22"/>
          <w:szCs w:val="22"/>
        </w:rPr>
        <w:t xml:space="preserve">  </w:t>
      </w:r>
      <w:r w:rsidR="00D6752D">
        <w:rPr>
          <w:sz w:val="22"/>
          <w:szCs w:val="22"/>
        </w:rPr>
        <w:t>In 2008</w:t>
      </w:r>
      <w:r>
        <w:rPr>
          <w:sz w:val="22"/>
          <w:szCs w:val="22"/>
        </w:rPr>
        <w:t>, the Commission sought comment on how to license unassigned EBS spectrum.</w:t>
      </w:r>
      <w:r>
        <w:rPr>
          <w:rStyle w:val="FootnoteReference"/>
          <w:sz w:val="22"/>
          <w:szCs w:val="22"/>
        </w:rPr>
        <w:footnoteReference w:id="13"/>
      </w:r>
    </w:p>
    <w:p w14:paraId="2DF6968D" w14:textId="77777777" w:rsidR="000E1923" w:rsidRDefault="003D137E" w:rsidP="00A22C36">
      <w:pPr>
        <w:numPr>
          <w:ilvl w:val="1"/>
          <w:numId w:val="16"/>
        </w:numPr>
        <w:tabs>
          <w:tab w:val="num" w:pos="1440"/>
        </w:tabs>
        <w:spacing w:after="220"/>
        <w:ind w:left="0"/>
        <w:rPr>
          <w:sz w:val="22"/>
          <w:szCs w:val="22"/>
        </w:rPr>
      </w:pPr>
      <w:r w:rsidRPr="003D137E">
        <w:rPr>
          <w:i/>
          <w:sz w:val="22"/>
          <w:szCs w:val="22"/>
        </w:rPr>
        <w:t>Monterey County Superintendent of Schools</w:t>
      </w:r>
      <w:r w:rsidR="00FC1CFD">
        <w:rPr>
          <w:i/>
          <w:sz w:val="22"/>
          <w:szCs w:val="22"/>
        </w:rPr>
        <w:t xml:space="preserve"> Application</w:t>
      </w:r>
      <w:r w:rsidR="00FC1CFD">
        <w:rPr>
          <w:sz w:val="22"/>
          <w:szCs w:val="22"/>
        </w:rPr>
        <w:t xml:space="preserve">.  </w:t>
      </w:r>
      <w:r w:rsidR="000E1923">
        <w:rPr>
          <w:sz w:val="22"/>
          <w:szCs w:val="22"/>
        </w:rPr>
        <w:t xml:space="preserve">The </w:t>
      </w:r>
      <w:r w:rsidR="00241095">
        <w:rPr>
          <w:sz w:val="22"/>
          <w:szCs w:val="22"/>
        </w:rPr>
        <w:t>Superintendent</w:t>
      </w:r>
      <w:r w:rsidR="000E1923">
        <w:rPr>
          <w:sz w:val="22"/>
          <w:szCs w:val="22"/>
        </w:rPr>
        <w:t xml:space="preserve"> is the elected </w:t>
      </w:r>
      <w:r w:rsidR="00241095">
        <w:rPr>
          <w:sz w:val="22"/>
          <w:szCs w:val="22"/>
        </w:rPr>
        <w:t>official</w:t>
      </w:r>
      <w:r w:rsidR="0051658F">
        <w:rPr>
          <w:sz w:val="22"/>
          <w:szCs w:val="22"/>
        </w:rPr>
        <w:t xml:space="preserve"> responsible for oversight of schools in the Monterey County, California.</w:t>
      </w:r>
      <w:r w:rsidR="006A15F5">
        <w:rPr>
          <w:rStyle w:val="FootnoteReference"/>
          <w:sz w:val="22"/>
          <w:szCs w:val="22"/>
        </w:rPr>
        <w:footnoteReference w:id="14"/>
      </w:r>
      <w:r w:rsidR="0051658F">
        <w:rPr>
          <w:sz w:val="22"/>
          <w:szCs w:val="22"/>
        </w:rPr>
        <w:t xml:space="preserve">  MCSS administers and works through</w:t>
      </w:r>
      <w:r w:rsidR="00241095">
        <w:rPr>
          <w:sz w:val="22"/>
          <w:szCs w:val="22"/>
        </w:rPr>
        <w:t xml:space="preserve"> the </w:t>
      </w:r>
      <w:r w:rsidR="000E1923">
        <w:rPr>
          <w:sz w:val="22"/>
          <w:szCs w:val="22"/>
        </w:rPr>
        <w:t xml:space="preserve">Monterey County </w:t>
      </w:r>
      <w:r w:rsidR="00241095">
        <w:rPr>
          <w:sz w:val="22"/>
          <w:szCs w:val="22"/>
        </w:rPr>
        <w:t>Office of Education (MCOE)</w:t>
      </w:r>
      <w:r w:rsidR="00021AFE">
        <w:rPr>
          <w:sz w:val="22"/>
          <w:szCs w:val="22"/>
        </w:rPr>
        <w:t xml:space="preserve">, one of 58 county offices of education </w:t>
      </w:r>
      <w:r w:rsidR="00021AFE">
        <w:rPr>
          <w:sz w:val="22"/>
          <w:szCs w:val="22"/>
        </w:rPr>
        <w:lastRenderedPageBreak/>
        <w:t>throughout California</w:t>
      </w:r>
      <w:r w:rsidR="00241095">
        <w:rPr>
          <w:sz w:val="22"/>
          <w:szCs w:val="22"/>
        </w:rPr>
        <w:t>.</w:t>
      </w:r>
      <w:r w:rsidR="00241095">
        <w:rPr>
          <w:rStyle w:val="FootnoteReference"/>
          <w:sz w:val="22"/>
          <w:szCs w:val="22"/>
        </w:rPr>
        <w:footnoteReference w:id="15"/>
      </w:r>
      <w:r w:rsidR="00241095">
        <w:rPr>
          <w:sz w:val="22"/>
          <w:szCs w:val="22"/>
        </w:rPr>
        <w:t xml:space="preserve"> </w:t>
      </w:r>
      <w:r w:rsidR="0039078B">
        <w:rPr>
          <w:sz w:val="22"/>
          <w:szCs w:val="22"/>
        </w:rPr>
        <w:t xml:space="preserve"> </w:t>
      </w:r>
      <w:r w:rsidR="0051658F">
        <w:rPr>
          <w:sz w:val="22"/>
          <w:szCs w:val="22"/>
        </w:rPr>
        <w:t>The Superintendent</w:t>
      </w:r>
      <w:r w:rsidR="00241095">
        <w:rPr>
          <w:sz w:val="22"/>
          <w:szCs w:val="22"/>
        </w:rPr>
        <w:t xml:space="preserve"> “provides leadership, support and service to fulfill the mission of public education, and serves as a liaison </w:t>
      </w:r>
      <w:r w:rsidR="00021AFE">
        <w:rPr>
          <w:sz w:val="22"/>
          <w:szCs w:val="22"/>
        </w:rPr>
        <w:t>between Monterey County’s 24 school districts and</w:t>
      </w:r>
      <w:r w:rsidR="00241095">
        <w:rPr>
          <w:sz w:val="22"/>
          <w:szCs w:val="22"/>
        </w:rPr>
        <w:t xml:space="preserve"> the state.”</w:t>
      </w:r>
      <w:r w:rsidR="00241095">
        <w:rPr>
          <w:rStyle w:val="FootnoteReference"/>
          <w:sz w:val="22"/>
          <w:szCs w:val="22"/>
        </w:rPr>
        <w:footnoteReference w:id="16"/>
      </w:r>
      <w:r w:rsidR="00241095">
        <w:rPr>
          <w:sz w:val="22"/>
          <w:szCs w:val="22"/>
        </w:rPr>
        <w:t xml:space="preserve">  The Superintendent and the MCOE </w:t>
      </w:r>
      <w:r w:rsidR="00660C15">
        <w:rPr>
          <w:sz w:val="22"/>
          <w:szCs w:val="22"/>
        </w:rPr>
        <w:t>provide business, professional development, credentialing, technology and student support services</w:t>
      </w:r>
      <w:r w:rsidR="00241095">
        <w:rPr>
          <w:sz w:val="22"/>
          <w:szCs w:val="22"/>
        </w:rPr>
        <w:t xml:space="preserve"> </w:t>
      </w:r>
      <w:r w:rsidR="00660C15">
        <w:rPr>
          <w:sz w:val="22"/>
          <w:szCs w:val="22"/>
        </w:rPr>
        <w:t>to</w:t>
      </w:r>
      <w:r w:rsidR="00241095">
        <w:rPr>
          <w:sz w:val="22"/>
          <w:szCs w:val="22"/>
        </w:rPr>
        <w:t xml:space="preserve"> approximately 76,000 students, 3,500 teachers and 2,000 support staff across 24 local school districts, two community colleges and a state university</w:t>
      </w:r>
      <w:r w:rsidR="0039078B">
        <w:rPr>
          <w:sz w:val="22"/>
          <w:szCs w:val="22"/>
        </w:rPr>
        <w:t xml:space="preserve"> within Monterey County</w:t>
      </w:r>
      <w:r w:rsidR="00241095">
        <w:rPr>
          <w:sz w:val="22"/>
          <w:szCs w:val="22"/>
        </w:rPr>
        <w:t>.</w:t>
      </w:r>
      <w:r w:rsidR="00241095">
        <w:rPr>
          <w:rStyle w:val="FootnoteReference"/>
          <w:sz w:val="22"/>
          <w:szCs w:val="22"/>
        </w:rPr>
        <w:footnoteReference w:id="17"/>
      </w:r>
    </w:p>
    <w:p w14:paraId="67FA667A" w14:textId="27273E18" w:rsidR="00B2108E" w:rsidRDefault="00660C15" w:rsidP="00A22C36">
      <w:pPr>
        <w:numPr>
          <w:ilvl w:val="1"/>
          <w:numId w:val="16"/>
        </w:numPr>
        <w:tabs>
          <w:tab w:val="num" w:pos="1440"/>
        </w:tabs>
        <w:spacing w:after="220"/>
        <w:ind w:left="0"/>
        <w:rPr>
          <w:sz w:val="22"/>
          <w:szCs w:val="22"/>
        </w:rPr>
      </w:pPr>
      <w:r>
        <w:rPr>
          <w:sz w:val="22"/>
          <w:szCs w:val="22"/>
        </w:rPr>
        <w:t>MCSS</w:t>
      </w:r>
      <w:r w:rsidRPr="00EC436B">
        <w:rPr>
          <w:sz w:val="22"/>
          <w:szCs w:val="22"/>
        </w:rPr>
        <w:t xml:space="preserve"> is the current licensee of EBS station WNC</w:t>
      </w:r>
      <w:r>
        <w:rPr>
          <w:sz w:val="22"/>
          <w:szCs w:val="22"/>
        </w:rPr>
        <w:t>366</w:t>
      </w:r>
      <w:r w:rsidRPr="00EC436B">
        <w:rPr>
          <w:sz w:val="22"/>
          <w:szCs w:val="22"/>
        </w:rPr>
        <w:t xml:space="preserve"> on the </w:t>
      </w:r>
      <w:r>
        <w:rPr>
          <w:sz w:val="22"/>
          <w:szCs w:val="22"/>
        </w:rPr>
        <w:t>G</w:t>
      </w:r>
      <w:r w:rsidRPr="00EC436B">
        <w:rPr>
          <w:sz w:val="22"/>
          <w:szCs w:val="22"/>
        </w:rPr>
        <w:t xml:space="preserve"> channel group, with a</w:t>
      </w:r>
      <w:r w:rsidR="008631DC">
        <w:rPr>
          <w:sz w:val="22"/>
          <w:szCs w:val="22"/>
        </w:rPr>
        <w:t xml:space="preserve"> geographic service areas</w:t>
      </w:r>
      <w:r w:rsidRPr="00EC436B">
        <w:rPr>
          <w:sz w:val="22"/>
          <w:szCs w:val="22"/>
        </w:rPr>
        <w:t xml:space="preserve"> </w:t>
      </w:r>
      <w:r w:rsidR="008631DC">
        <w:rPr>
          <w:sz w:val="22"/>
          <w:szCs w:val="22"/>
        </w:rPr>
        <w:t>(</w:t>
      </w:r>
      <w:r w:rsidRPr="00EC436B">
        <w:rPr>
          <w:sz w:val="22"/>
          <w:szCs w:val="22"/>
        </w:rPr>
        <w:t>GSA</w:t>
      </w:r>
      <w:r w:rsidR="008631DC">
        <w:rPr>
          <w:sz w:val="22"/>
          <w:szCs w:val="22"/>
        </w:rPr>
        <w:t>)</w:t>
      </w:r>
      <w:r w:rsidRPr="00EC436B">
        <w:rPr>
          <w:sz w:val="22"/>
          <w:szCs w:val="22"/>
        </w:rPr>
        <w:t xml:space="preserve"> that covers the </w:t>
      </w:r>
      <w:r>
        <w:rPr>
          <w:sz w:val="22"/>
          <w:szCs w:val="22"/>
        </w:rPr>
        <w:t>northern half</w:t>
      </w:r>
      <w:r w:rsidRPr="00EC436B">
        <w:rPr>
          <w:sz w:val="22"/>
          <w:szCs w:val="22"/>
        </w:rPr>
        <w:t xml:space="preserve"> of </w:t>
      </w:r>
      <w:r>
        <w:rPr>
          <w:sz w:val="22"/>
          <w:szCs w:val="22"/>
        </w:rPr>
        <w:t>Monterey</w:t>
      </w:r>
      <w:r w:rsidRPr="00EC436B">
        <w:rPr>
          <w:sz w:val="22"/>
          <w:szCs w:val="22"/>
        </w:rPr>
        <w:t xml:space="preserve"> County</w:t>
      </w:r>
      <w:r w:rsidR="00577135">
        <w:rPr>
          <w:sz w:val="22"/>
          <w:szCs w:val="22"/>
        </w:rPr>
        <w:t xml:space="preserve">. </w:t>
      </w:r>
      <w:r w:rsidR="0051658F">
        <w:rPr>
          <w:sz w:val="22"/>
          <w:szCs w:val="22"/>
        </w:rPr>
        <w:t xml:space="preserve"> </w:t>
      </w:r>
      <w:r w:rsidR="002E6B2F">
        <w:rPr>
          <w:sz w:val="22"/>
          <w:szCs w:val="22"/>
        </w:rPr>
        <w:t xml:space="preserve">In 2011, </w:t>
      </w:r>
      <w:r w:rsidR="0051658F">
        <w:rPr>
          <w:sz w:val="22"/>
          <w:szCs w:val="22"/>
        </w:rPr>
        <w:t>MCSS</w:t>
      </w:r>
      <w:r w:rsidRPr="00EC436B">
        <w:rPr>
          <w:sz w:val="22"/>
          <w:szCs w:val="22"/>
        </w:rPr>
        <w:t xml:space="preserve"> </w:t>
      </w:r>
      <w:r w:rsidR="0039078B">
        <w:rPr>
          <w:sz w:val="22"/>
          <w:szCs w:val="22"/>
        </w:rPr>
        <w:t>o</w:t>
      </w:r>
      <w:r w:rsidR="0051658F">
        <w:rPr>
          <w:sz w:val="22"/>
          <w:szCs w:val="22"/>
        </w:rPr>
        <w:t>perate</w:t>
      </w:r>
      <w:r w:rsidR="0048717F">
        <w:rPr>
          <w:sz w:val="22"/>
          <w:szCs w:val="22"/>
        </w:rPr>
        <w:t>d</w:t>
      </w:r>
      <w:r w:rsidR="0051658F">
        <w:rPr>
          <w:sz w:val="22"/>
          <w:szCs w:val="22"/>
        </w:rPr>
        <w:t xml:space="preserve"> a wide-area network (WAN)</w:t>
      </w:r>
      <w:r w:rsidR="0039078B">
        <w:rPr>
          <w:sz w:val="22"/>
          <w:szCs w:val="22"/>
        </w:rPr>
        <w:t xml:space="preserve"> on the channels</w:t>
      </w:r>
      <w:r w:rsidR="0051658F">
        <w:rPr>
          <w:sz w:val="22"/>
          <w:szCs w:val="22"/>
        </w:rPr>
        <w:t xml:space="preserve"> that utilize point-to-point links to “allow Internet utilization at the District offices and associated accredited schools for staff, faculty and students in furtherance of the schools’ educational mission.”</w:t>
      </w:r>
      <w:r>
        <w:rPr>
          <w:rStyle w:val="FootnoteReference"/>
          <w:sz w:val="22"/>
          <w:szCs w:val="22"/>
        </w:rPr>
        <w:footnoteReference w:id="18"/>
      </w:r>
    </w:p>
    <w:p w14:paraId="59C3847B" w14:textId="5423903C" w:rsidR="002E6B2F" w:rsidRPr="00CC2575" w:rsidRDefault="002E6B2F" w:rsidP="002E6B2F">
      <w:pPr>
        <w:numPr>
          <w:ilvl w:val="1"/>
          <w:numId w:val="16"/>
        </w:numPr>
        <w:tabs>
          <w:tab w:val="num" w:pos="1440"/>
        </w:tabs>
        <w:spacing w:after="220"/>
        <w:ind w:left="0"/>
        <w:rPr>
          <w:sz w:val="22"/>
          <w:szCs w:val="22"/>
        </w:rPr>
      </w:pPr>
      <w:r>
        <w:rPr>
          <w:sz w:val="22"/>
          <w:szCs w:val="22"/>
        </w:rPr>
        <w:t xml:space="preserve">On June 29, 2016, MCSS applied for </w:t>
      </w:r>
      <w:r w:rsidRPr="00EC436B">
        <w:rPr>
          <w:sz w:val="22"/>
          <w:szCs w:val="22"/>
        </w:rPr>
        <w:t>S</w:t>
      </w:r>
      <w:r>
        <w:rPr>
          <w:sz w:val="22"/>
          <w:szCs w:val="22"/>
        </w:rPr>
        <w:t xml:space="preserve">pecial </w:t>
      </w:r>
      <w:r w:rsidRPr="00EC436B">
        <w:rPr>
          <w:sz w:val="22"/>
          <w:szCs w:val="22"/>
        </w:rPr>
        <w:t>T</w:t>
      </w:r>
      <w:r>
        <w:rPr>
          <w:sz w:val="22"/>
          <w:szCs w:val="22"/>
        </w:rPr>
        <w:t xml:space="preserve">emporary </w:t>
      </w:r>
      <w:r w:rsidRPr="00EC436B">
        <w:rPr>
          <w:sz w:val="22"/>
          <w:szCs w:val="22"/>
        </w:rPr>
        <w:t>A</w:t>
      </w:r>
      <w:r>
        <w:rPr>
          <w:sz w:val="22"/>
          <w:szCs w:val="22"/>
        </w:rPr>
        <w:t>uthority (STA)</w:t>
      </w:r>
      <w:r w:rsidRPr="00EC436B">
        <w:rPr>
          <w:sz w:val="22"/>
          <w:szCs w:val="22"/>
        </w:rPr>
        <w:t xml:space="preserve"> to operate the B group EBS channels within </w:t>
      </w:r>
      <w:r>
        <w:rPr>
          <w:sz w:val="22"/>
          <w:szCs w:val="22"/>
        </w:rPr>
        <w:t xml:space="preserve">a defined area </w:t>
      </w:r>
      <w:r w:rsidR="00D84CBB">
        <w:rPr>
          <w:sz w:val="22"/>
          <w:szCs w:val="22"/>
        </w:rPr>
        <w:t xml:space="preserve">covering </w:t>
      </w:r>
      <w:r w:rsidRPr="00EC436B">
        <w:rPr>
          <w:sz w:val="22"/>
          <w:szCs w:val="22"/>
        </w:rPr>
        <w:t xml:space="preserve">portions of </w:t>
      </w:r>
      <w:r>
        <w:rPr>
          <w:sz w:val="22"/>
          <w:szCs w:val="22"/>
        </w:rPr>
        <w:t xml:space="preserve">Monterey </w:t>
      </w:r>
      <w:r w:rsidR="00D84CBB">
        <w:rPr>
          <w:sz w:val="22"/>
          <w:szCs w:val="22"/>
        </w:rPr>
        <w:t xml:space="preserve">and San Benito </w:t>
      </w:r>
      <w:r w:rsidRPr="00EC436B">
        <w:rPr>
          <w:sz w:val="22"/>
          <w:szCs w:val="22"/>
        </w:rPr>
        <w:t>Count</w:t>
      </w:r>
      <w:r w:rsidR="00D84CBB">
        <w:rPr>
          <w:sz w:val="22"/>
          <w:szCs w:val="22"/>
        </w:rPr>
        <w:t>ies</w:t>
      </w:r>
      <w:r w:rsidRPr="00EC436B">
        <w:rPr>
          <w:sz w:val="22"/>
          <w:szCs w:val="22"/>
        </w:rPr>
        <w:t xml:space="preserve"> that were not within the GSA of any other licensed co-channel EBS station.</w:t>
      </w:r>
      <w:r>
        <w:rPr>
          <w:rStyle w:val="FootnoteReference"/>
          <w:sz w:val="22"/>
          <w:szCs w:val="22"/>
        </w:rPr>
        <w:footnoteReference w:id="19"/>
      </w:r>
      <w:r w:rsidRPr="00EC436B">
        <w:rPr>
          <w:sz w:val="22"/>
          <w:szCs w:val="22"/>
        </w:rPr>
        <w:t xml:space="preserve">  </w:t>
      </w:r>
      <w:r>
        <w:rPr>
          <w:sz w:val="22"/>
          <w:szCs w:val="22"/>
        </w:rPr>
        <w:t>The Wireless Telecommunications Bureau (“Bureau”)</w:t>
      </w:r>
      <w:r w:rsidRPr="00EC436B">
        <w:rPr>
          <w:sz w:val="22"/>
          <w:szCs w:val="22"/>
        </w:rPr>
        <w:t xml:space="preserve"> granted </w:t>
      </w:r>
      <w:r w:rsidR="00D84CBB">
        <w:rPr>
          <w:sz w:val="22"/>
          <w:szCs w:val="22"/>
        </w:rPr>
        <w:t xml:space="preserve">the </w:t>
      </w:r>
      <w:r w:rsidRPr="00EC436B">
        <w:rPr>
          <w:sz w:val="22"/>
          <w:szCs w:val="22"/>
        </w:rPr>
        <w:t xml:space="preserve">STA </w:t>
      </w:r>
      <w:r w:rsidR="00D84CBB">
        <w:rPr>
          <w:sz w:val="22"/>
          <w:szCs w:val="22"/>
        </w:rPr>
        <w:t>on October 11, 2016 and assigned call sign WQYI282.</w:t>
      </w:r>
      <w:r>
        <w:rPr>
          <w:rStyle w:val="FootnoteReference"/>
          <w:sz w:val="22"/>
          <w:szCs w:val="22"/>
        </w:rPr>
        <w:footnoteReference w:id="20"/>
      </w:r>
      <w:r w:rsidRPr="00EC436B">
        <w:rPr>
          <w:sz w:val="22"/>
          <w:szCs w:val="22"/>
        </w:rPr>
        <w:t xml:space="preserve">  </w:t>
      </w:r>
    </w:p>
    <w:p w14:paraId="0C3A4C90" w14:textId="32A55472" w:rsidR="00021AFE" w:rsidRDefault="00021AFE" w:rsidP="00A22C36">
      <w:pPr>
        <w:numPr>
          <w:ilvl w:val="1"/>
          <w:numId w:val="16"/>
        </w:numPr>
        <w:tabs>
          <w:tab w:val="num" w:pos="1440"/>
        </w:tabs>
        <w:spacing w:after="220"/>
        <w:ind w:left="0"/>
        <w:rPr>
          <w:sz w:val="22"/>
          <w:szCs w:val="22"/>
        </w:rPr>
      </w:pPr>
      <w:r w:rsidRPr="0051658F">
        <w:rPr>
          <w:sz w:val="22"/>
          <w:szCs w:val="22"/>
        </w:rPr>
        <w:t>On July 22, 2016, MCSS filed the instant application</w:t>
      </w:r>
      <w:r w:rsidR="0022401F">
        <w:rPr>
          <w:sz w:val="22"/>
          <w:szCs w:val="22"/>
        </w:rPr>
        <w:t xml:space="preserve"> </w:t>
      </w:r>
      <w:r w:rsidR="0022401F" w:rsidRPr="0051658F">
        <w:rPr>
          <w:sz w:val="22"/>
          <w:szCs w:val="22"/>
        </w:rPr>
        <w:t xml:space="preserve">for </w:t>
      </w:r>
      <w:r w:rsidR="00D84CBB">
        <w:rPr>
          <w:sz w:val="22"/>
          <w:szCs w:val="22"/>
        </w:rPr>
        <w:t xml:space="preserve">regular authority for the B group </w:t>
      </w:r>
      <w:r w:rsidR="0022401F" w:rsidRPr="0051658F">
        <w:rPr>
          <w:sz w:val="22"/>
          <w:szCs w:val="22"/>
        </w:rPr>
        <w:t>channels</w:t>
      </w:r>
      <w:r w:rsidR="004813A5">
        <w:rPr>
          <w:sz w:val="22"/>
          <w:szCs w:val="22"/>
        </w:rPr>
        <w:t xml:space="preserve"> within the GSA authorized by the STA</w:t>
      </w:r>
      <w:r>
        <w:rPr>
          <w:rStyle w:val="FootnoteReference"/>
          <w:sz w:val="22"/>
          <w:szCs w:val="22"/>
        </w:rPr>
        <w:footnoteReference w:id="21"/>
      </w:r>
      <w:r w:rsidRPr="0051658F">
        <w:rPr>
          <w:sz w:val="22"/>
          <w:szCs w:val="22"/>
        </w:rPr>
        <w:t xml:space="preserve"> and </w:t>
      </w:r>
      <w:r w:rsidR="0039078B">
        <w:rPr>
          <w:sz w:val="22"/>
          <w:szCs w:val="22"/>
        </w:rPr>
        <w:t xml:space="preserve">a </w:t>
      </w:r>
      <w:r w:rsidR="0051658F">
        <w:rPr>
          <w:sz w:val="22"/>
          <w:szCs w:val="22"/>
        </w:rPr>
        <w:t xml:space="preserve">request for </w:t>
      </w:r>
      <w:r w:rsidR="0022401F">
        <w:rPr>
          <w:sz w:val="22"/>
          <w:szCs w:val="22"/>
        </w:rPr>
        <w:t>waiver</w:t>
      </w:r>
      <w:r w:rsidR="0051658F">
        <w:rPr>
          <w:sz w:val="22"/>
          <w:szCs w:val="22"/>
        </w:rPr>
        <w:t xml:space="preserve"> of the EBS filing freeze and the electronic filing requirement of </w:t>
      </w:r>
      <w:r w:rsidR="0022401F">
        <w:rPr>
          <w:sz w:val="22"/>
          <w:szCs w:val="22"/>
        </w:rPr>
        <w:t>Section 1.913(b)</w:t>
      </w:r>
      <w:r w:rsidRPr="0051658F">
        <w:rPr>
          <w:sz w:val="22"/>
          <w:szCs w:val="22"/>
        </w:rPr>
        <w:t>.</w:t>
      </w:r>
      <w:r>
        <w:rPr>
          <w:rStyle w:val="FootnoteReference"/>
          <w:sz w:val="22"/>
          <w:szCs w:val="22"/>
        </w:rPr>
        <w:footnoteReference w:id="22"/>
      </w:r>
      <w:r w:rsidR="0022401F">
        <w:rPr>
          <w:sz w:val="22"/>
          <w:szCs w:val="22"/>
        </w:rPr>
        <w:t xml:space="preserve">  In its application, MCSS explains that it seeks a regular authorization to construct and operate a Long Term Evolution (LTE) network to provide “broadband educational services to underserved students and MCSS faculty and staff located in the Salinas, California area.”</w:t>
      </w:r>
      <w:r w:rsidR="0022401F">
        <w:rPr>
          <w:rStyle w:val="FootnoteReference"/>
          <w:sz w:val="22"/>
          <w:szCs w:val="22"/>
        </w:rPr>
        <w:footnoteReference w:id="23"/>
      </w:r>
      <w:r w:rsidR="0022401F">
        <w:rPr>
          <w:sz w:val="22"/>
          <w:szCs w:val="22"/>
        </w:rPr>
        <w:t xml:space="preserve">  </w:t>
      </w:r>
      <w:r w:rsidR="00C848A5">
        <w:rPr>
          <w:sz w:val="22"/>
          <w:szCs w:val="22"/>
        </w:rPr>
        <w:t xml:space="preserve">According to 2014 U.S. census data, </w:t>
      </w:r>
      <w:r w:rsidR="0074498F">
        <w:rPr>
          <w:sz w:val="22"/>
          <w:szCs w:val="22"/>
        </w:rPr>
        <w:t xml:space="preserve">the City of </w:t>
      </w:r>
      <w:r w:rsidR="0022401F">
        <w:rPr>
          <w:sz w:val="22"/>
          <w:szCs w:val="22"/>
        </w:rPr>
        <w:t>Salinas</w:t>
      </w:r>
      <w:r w:rsidR="00C848A5">
        <w:rPr>
          <w:sz w:val="22"/>
          <w:szCs w:val="22"/>
        </w:rPr>
        <w:t xml:space="preserve"> ranks below both national and California averages </w:t>
      </w:r>
      <w:r w:rsidR="00A26E5D">
        <w:rPr>
          <w:sz w:val="22"/>
          <w:szCs w:val="22"/>
        </w:rPr>
        <w:t>for the</w:t>
      </w:r>
      <w:r w:rsidR="00C848A5">
        <w:rPr>
          <w:sz w:val="22"/>
          <w:szCs w:val="22"/>
        </w:rPr>
        <w:t xml:space="preserve"> percentage of the population with a high school degree or higher.</w:t>
      </w:r>
      <w:r w:rsidR="00C848A5">
        <w:rPr>
          <w:rStyle w:val="FootnoteReference"/>
          <w:sz w:val="22"/>
          <w:szCs w:val="22"/>
        </w:rPr>
        <w:footnoteReference w:id="24"/>
      </w:r>
      <w:r w:rsidR="00C848A5">
        <w:rPr>
          <w:sz w:val="22"/>
          <w:szCs w:val="22"/>
        </w:rPr>
        <w:t xml:space="preserve">  Further, of the 41,000 student subscribers within the service area</w:t>
      </w:r>
      <w:r w:rsidR="00A26E5D">
        <w:rPr>
          <w:sz w:val="22"/>
          <w:szCs w:val="22"/>
        </w:rPr>
        <w:t xml:space="preserve"> of the proposed network</w:t>
      </w:r>
      <w:r w:rsidR="00C848A5">
        <w:rPr>
          <w:sz w:val="22"/>
          <w:szCs w:val="22"/>
        </w:rPr>
        <w:t xml:space="preserve">, </w:t>
      </w:r>
      <w:r w:rsidR="0091422C">
        <w:rPr>
          <w:sz w:val="22"/>
          <w:szCs w:val="22"/>
        </w:rPr>
        <w:t>“it is likely that 90% or more would qualify for Lifeline as most are National Student Lunch Program Students</w:t>
      </w:r>
      <w:r w:rsidR="00A26E5D">
        <w:rPr>
          <w:sz w:val="22"/>
          <w:szCs w:val="22"/>
        </w:rPr>
        <w:t>.</w:t>
      </w:r>
      <w:r w:rsidR="0091422C">
        <w:rPr>
          <w:sz w:val="22"/>
          <w:szCs w:val="22"/>
        </w:rPr>
        <w:t>”</w:t>
      </w:r>
      <w:r w:rsidR="00A26E5D">
        <w:rPr>
          <w:rStyle w:val="FootnoteReference"/>
          <w:sz w:val="22"/>
          <w:szCs w:val="22"/>
        </w:rPr>
        <w:footnoteReference w:id="25"/>
      </w:r>
    </w:p>
    <w:p w14:paraId="3397D58E" w14:textId="70997120" w:rsidR="00211BFA" w:rsidRPr="008631DC" w:rsidRDefault="00F669CF" w:rsidP="00A22C36">
      <w:pPr>
        <w:numPr>
          <w:ilvl w:val="1"/>
          <w:numId w:val="16"/>
        </w:numPr>
        <w:tabs>
          <w:tab w:val="num" w:pos="1440"/>
        </w:tabs>
        <w:spacing w:after="220"/>
        <w:ind w:left="0"/>
        <w:rPr>
          <w:sz w:val="22"/>
          <w:szCs w:val="22"/>
        </w:rPr>
      </w:pPr>
      <w:r>
        <w:rPr>
          <w:sz w:val="22"/>
          <w:szCs w:val="22"/>
        </w:rPr>
        <w:t xml:space="preserve">In its waiver, </w:t>
      </w:r>
      <w:r w:rsidR="00211BFA">
        <w:rPr>
          <w:sz w:val="22"/>
          <w:szCs w:val="22"/>
        </w:rPr>
        <w:t>MCSS</w:t>
      </w:r>
      <w:r w:rsidR="00211BFA" w:rsidRPr="00A9590F">
        <w:rPr>
          <w:sz w:val="22"/>
          <w:szCs w:val="22"/>
        </w:rPr>
        <w:t xml:space="preserve"> </w:t>
      </w:r>
      <w:r>
        <w:rPr>
          <w:sz w:val="22"/>
          <w:szCs w:val="22"/>
        </w:rPr>
        <w:t>states it will use</w:t>
      </w:r>
      <w:r w:rsidR="00211BFA" w:rsidRPr="00A9590F">
        <w:rPr>
          <w:sz w:val="22"/>
          <w:szCs w:val="22"/>
        </w:rPr>
        <w:t xml:space="preserve"> </w:t>
      </w:r>
      <w:r>
        <w:rPr>
          <w:sz w:val="22"/>
          <w:szCs w:val="22"/>
        </w:rPr>
        <w:t>the</w:t>
      </w:r>
      <w:r w:rsidR="00211BFA" w:rsidRPr="00A9590F">
        <w:rPr>
          <w:sz w:val="22"/>
          <w:szCs w:val="22"/>
        </w:rPr>
        <w:t xml:space="preserve"> additional EBS license</w:t>
      </w:r>
      <w:r w:rsidR="0070566F">
        <w:rPr>
          <w:sz w:val="22"/>
          <w:szCs w:val="22"/>
        </w:rPr>
        <w:t>s</w:t>
      </w:r>
      <w:r w:rsidR="00211BFA" w:rsidRPr="00A9590F">
        <w:rPr>
          <w:sz w:val="22"/>
          <w:szCs w:val="22"/>
        </w:rPr>
        <w:t xml:space="preserve"> “solely for </w:t>
      </w:r>
      <w:r w:rsidR="00211BFA">
        <w:rPr>
          <w:sz w:val="22"/>
          <w:szCs w:val="22"/>
        </w:rPr>
        <w:t xml:space="preserve">the provision of broadband </w:t>
      </w:r>
      <w:r w:rsidR="00211BFA" w:rsidRPr="00A9590F">
        <w:rPr>
          <w:sz w:val="22"/>
          <w:szCs w:val="22"/>
        </w:rPr>
        <w:t xml:space="preserve">educational </w:t>
      </w:r>
      <w:r w:rsidR="00211BFA">
        <w:rPr>
          <w:sz w:val="22"/>
          <w:szCs w:val="22"/>
        </w:rPr>
        <w:t>services</w:t>
      </w:r>
      <w:r w:rsidR="0070566F">
        <w:rPr>
          <w:sz w:val="22"/>
          <w:szCs w:val="22"/>
        </w:rPr>
        <w:t>,</w:t>
      </w:r>
      <w:r w:rsidR="00211BFA" w:rsidRPr="00A9590F">
        <w:rPr>
          <w:sz w:val="22"/>
          <w:szCs w:val="22"/>
        </w:rPr>
        <w:t>”</w:t>
      </w:r>
      <w:r w:rsidR="0070566F">
        <w:rPr>
          <w:sz w:val="22"/>
          <w:szCs w:val="22"/>
        </w:rPr>
        <w:t xml:space="preserve"> </w:t>
      </w:r>
      <w:r>
        <w:rPr>
          <w:sz w:val="22"/>
          <w:szCs w:val="22"/>
        </w:rPr>
        <w:t>and “does not intend to use this authorization for any commercial purposes, nor does it</w:t>
      </w:r>
      <w:r w:rsidRPr="00A9590F">
        <w:rPr>
          <w:sz w:val="22"/>
          <w:szCs w:val="22"/>
        </w:rPr>
        <w:t xml:space="preserve"> </w:t>
      </w:r>
      <w:r>
        <w:rPr>
          <w:sz w:val="22"/>
          <w:szCs w:val="22"/>
        </w:rPr>
        <w:t>intend to lease any spectrum associated with this authorization to another entity.”</w:t>
      </w:r>
      <w:r>
        <w:rPr>
          <w:rStyle w:val="FootnoteReference"/>
          <w:sz w:val="22"/>
          <w:szCs w:val="22"/>
        </w:rPr>
        <w:footnoteReference w:id="26"/>
      </w:r>
      <w:r w:rsidR="008631DC">
        <w:rPr>
          <w:sz w:val="22"/>
          <w:szCs w:val="22"/>
        </w:rPr>
        <w:t xml:space="preserve">  The Superintendent is seeking additional EBS licenses because it can </w:t>
      </w:r>
      <w:r w:rsidR="0039078B">
        <w:rPr>
          <w:sz w:val="22"/>
          <w:szCs w:val="22"/>
        </w:rPr>
        <w:t>find no other cost-effective option</w:t>
      </w:r>
      <w:r w:rsidR="0070566F" w:rsidRPr="008631DC">
        <w:rPr>
          <w:sz w:val="22"/>
          <w:szCs w:val="22"/>
        </w:rPr>
        <w:t xml:space="preserve"> to provide these services.</w:t>
      </w:r>
      <w:r w:rsidR="00211BFA" w:rsidRPr="00A9590F">
        <w:rPr>
          <w:rStyle w:val="FootnoteReference"/>
          <w:sz w:val="22"/>
          <w:szCs w:val="22"/>
        </w:rPr>
        <w:footnoteReference w:id="27"/>
      </w:r>
      <w:r w:rsidR="00211BFA" w:rsidRPr="008631DC">
        <w:rPr>
          <w:sz w:val="22"/>
          <w:szCs w:val="22"/>
        </w:rPr>
        <w:t xml:space="preserve">  </w:t>
      </w:r>
      <w:r w:rsidR="008631DC">
        <w:rPr>
          <w:sz w:val="22"/>
          <w:szCs w:val="22"/>
        </w:rPr>
        <w:t>T</w:t>
      </w:r>
      <w:r w:rsidR="007E063F" w:rsidRPr="008631DC">
        <w:rPr>
          <w:sz w:val="22"/>
          <w:szCs w:val="22"/>
        </w:rPr>
        <w:t>he</w:t>
      </w:r>
      <w:r w:rsidR="00211BFA" w:rsidRPr="008631DC">
        <w:rPr>
          <w:sz w:val="22"/>
          <w:szCs w:val="22"/>
        </w:rPr>
        <w:t xml:space="preserve"> proposed </w:t>
      </w:r>
      <w:r w:rsidR="008631DC">
        <w:rPr>
          <w:sz w:val="22"/>
          <w:szCs w:val="22"/>
        </w:rPr>
        <w:t>GSA</w:t>
      </w:r>
      <w:r w:rsidR="00211BFA" w:rsidRPr="008631DC">
        <w:rPr>
          <w:sz w:val="22"/>
          <w:szCs w:val="22"/>
        </w:rPr>
        <w:t xml:space="preserve"> does not overlap with the GSA of any currently licensed co-channel Broadband Radio Service or EBS station</w:t>
      </w:r>
      <w:r w:rsidR="008631DC">
        <w:rPr>
          <w:sz w:val="22"/>
          <w:szCs w:val="22"/>
        </w:rPr>
        <w:t>s</w:t>
      </w:r>
      <w:r w:rsidR="00211BFA" w:rsidRPr="008631DC">
        <w:rPr>
          <w:sz w:val="22"/>
          <w:szCs w:val="22"/>
        </w:rPr>
        <w:t>.</w:t>
      </w:r>
      <w:r w:rsidR="0070566F">
        <w:rPr>
          <w:rStyle w:val="FootnoteReference"/>
          <w:sz w:val="22"/>
          <w:szCs w:val="22"/>
        </w:rPr>
        <w:footnoteReference w:id="28"/>
      </w:r>
      <w:r w:rsidR="007E063F" w:rsidRPr="008631DC">
        <w:rPr>
          <w:sz w:val="22"/>
          <w:szCs w:val="22"/>
        </w:rPr>
        <w:t xml:space="preserve">  Finally, MCSS indicates </w:t>
      </w:r>
      <w:r w:rsidR="00EA706C">
        <w:rPr>
          <w:sz w:val="22"/>
          <w:szCs w:val="22"/>
        </w:rPr>
        <w:t>its</w:t>
      </w:r>
      <w:r w:rsidR="007E063F" w:rsidRPr="008631DC">
        <w:rPr>
          <w:sz w:val="22"/>
          <w:szCs w:val="22"/>
        </w:rPr>
        <w:t xml:space="preserve"> </w:t>
      </w:r>
      <w:r w:rsidR="00EA706C" w:rsidRPr="008631DC">
        <w:rPr>
          <w:sz w:val="22"/>
          <w:szCs w:val="22"/>
        </w:rPr>
        <w:t>commitm</w:t>
      </w:r>
      <w:r w:rsidR="00EA706C">
        <w:rPr>
          <w:sz w:val="22"/>
          <w:szCs w:val="22"/>
        </w:rPr>
        <w:t>ent</w:t>
      </w:r>
      <w:r w:rsidR="007E063F" w:rsidRPr="008631DC">
        <w:rPr>
          <w:sz w:val="22"/>
          <w:szCs w:val="22"/>
        </w:rPr>
        <w:t xml:space="preserve"> to meeting the substantial service requirement for the GSA as required by section 27.14(o) of the Commission’s rules</w:t>
      </w:r>
      <w:r w:rsidR="003D6138">
        <w:rPr>
          <w:sz w:val="22"/>
          <w:szCs w:val="22"/>
        </w:rPr>
        <w:t xml:space="preserve"> within two years of the grant date of its Application,</w:t>
      </w:r>
      <w:r w:rsidR="00EA706C">
        <w:rPr>
          <w:rStyle w:val="FootnoteReference"/>
          <w:sz w:val="22"/>
          <w:szCs w:val="22"/>
        </w:rPr>
        <w:footnoteReference w:id="29"/>
      </w:r>
      <w:r w:rsidR="003D6138">
        <w:rPr>
          <w:sz w:val="22"/>
          <w:szCs w:val="22"/>
        </w:rPr>
        <w:t xml:space="preserve"> and included with its Ap</w:t>
      </w:r>
      <w:r w:rsidR="007E063F" w:rsidRPr="008631DC">
        <w:rPr>
          <w:sz w:val="22"/>
          <w:szCs w:val="22"/>
        </w:rPr>
        <w:t>plication a vendor LTE equipment and deployment proposal.</w:t>
      </w:r>
      <w:r w:rsidR="007E063F">
        <w:rPr>
          <w:rStyle w:val="FootnoteReference"/>
          <w:sz w:val="22"/>
          <w:szCs w:val="22"/>
        </w:rPr>
        <w:footnoteReference w:id="30"/>
      </w:r>
      <w:r w:rsidR="007E063F" w:rsidRPr="008631DC">
        <w:rPr>
          <w:sz w:val="22"/>
          <w:szCs w:val="22"/>
        </w:rPr>
        <w:t xml:space="preserve"> </w:t>
      </w:r>
    </w:p>
    <w:p w14:paraId="62E866A0" w14:textId="77777777" w:rsidR="00211BFA" w:rsidRDefault="007E063F" w:rsidP="00A22C36">
      <w:pPr>
        <w:numPr>
          <w:ilvl w:val="1"/>
          <w:numId w:val="16"/>
        </w:numPr>
        <w:tabs>
          <w:tab w:val="num" w:pos="1440"/>
        </w:tabs>
        <w:spacing w:after="220"/>
        <w:ind w:left="0"/>
        <w:rPr>
          <w:sz w:val="22"/>
          <w:szCs w:val="22"/>
        </w:rPr>
      </w:pPr>
      <w:r>
        <w:rPr>
          <w:sz w:val="22"/>
          <w:szCs w:val="22"/>
        </w:rPr>
        <w:t>MCSS</w:t>
      </w:r>
      <w:r w:rsidR="00211BFA" w:rsidRPr="003A37B2">
        <w:rPr>
          <w:sz w:val="22"/>
          <w:szCs w:val="22"/>
        </w:rPr>
        <w:t xml:space="preserve">’s </w:t>
      </w:r>
      <w:r w:rsidR="00211BFA">
        <w:rPr>
          <w:sz w:val="22"/>
          <w:szCs w:val="22"/>
        </w:rPr>
        <w:t>A</w:t>
      </w:r>
      <w:r w:rsidR="00211BFA" w:rsidRPr="003A37B2">
        <w:rPr>
          <w:sz w:val="22"/>
          <w:szCs w:val="22"/>
        </w:rPr>
        <w:t xml:space="preserve">pplication was listed on public notice as accepted for filing on </w:t>
      </w:r>
      <w:r>
        <w:rPr>
          <w:sz w:val="22"/>
          <w:szCs w:val="22"/>
        </w:rPr>
        <w:t>August</w:t>
      </w:r>
      <w:r w:rsidR="00211BFA" w:rsidRPr="003A37B2">
        <w:rPr>
          <w:sz w:val="22"/>
          <w:szCs w:val="22"/>
        </w:rPr>
        <w:t xml:space="preserve"> 24</w:t>
      </w:r>
      <w:r>
        <w:rPr>
          <w:sz w:val="22"/>
          <w:szCs w:val="22"/>
        </w:rPr>
        <w:t>, 2016</w:t>
      </w:r>
      <w:r w:rsidR="00211BFA" w:rsidRPr="003A37B2">
        <w:rPr>
          <w:sz w:val="22"/>
          <w:szCs w:val="22"/>
        </w:rPr>
        <w:t>.</w:t>
      </w:r>
      <w:r w:rsidR="00211BFA" w:rsidRPr="003A37B2">
        <w:rPr>
          <w:rStyle w:val="FootnoteReference"/>
          <w:sz w:val="22"/>
          <w:szCs w:val="22"/>
        </w:rPr>
        <w:footnoteReference w:id="31"/>
      </w:r>
      <w:r w:rsidR="00211BFA" w:rsidRPr="003A37B2">
        <w:rPr>
          <w:sz w:val="22"/>
          <w:szCs w:val="22"/>
        </w:rPr>
        <w:t xml:space="preserve">  No petitions to deny or other oppositions were filed.</w:t>
      </w:r>
    </w:p>
    <w:p w14:paraId="08B5F141" w14:textId="77777777" w:rsidR="00FC1CFD" w:rsidRPr="00C828CF" w:rsidRDefault="00FC1CFD" w:rsidP="00C828CF">
      <w:pPr>
        <w:spacing w:after="220"/>
        <w:rPr>
          <w:b/>
        </w:rPr>
      </w:pPr>
      <w:r w:rsidRPr="00C828CF">
        <w:rPr>
          <w:b/>
        </w:rPr>
        <w:t>III.</w:t>
      </w:r>
      <w:r w:rsidRPr="00C828CF">
        <w:rPr>
          <w:b/>
        </w:rPr>
        <w:tab/>
        <w:t>DISCUSSION</w:t>
      </w:r>
    </w:p>
    <w:p w14:paraId="46F4F805" w14:textId="77777777" w:rsidR="00FC1CFD" w:rsidRDefault="00FC1CFD" w:rsidP="00A22C36">
      <w:pPr>
        <w:numPr>
          <w:ilvl w:val="1"/>
          <w:numId w:val="16"/>
        </w:numPr>
        <w:tabs>
          <w:tab w:val="num" w:pos="1440"/>
        </w:tabs>
        <w:spacing w:after="220"/>
        <w:ind w:left="0"/>
        <w:rPr>
          <w:sz w:val="22"/>
          <w:szCs w:val="22"/>
        </w:rPr>
      </w:pPr>
      <w:r>
        <w:rPr>
          <w:sz w:val="22"/>
          <w:szCs w:val="22"/>
        </w:rPr>
        <w:t xml:space="preserve">As noted, </w:t>
      </w:r>
      <w:r w:rsidR="00541ECE">
        <w:rPr>
          <w:sz w:val="22"/>
          <w:szCs w:val="22"/>
        </w:rPr>
        <w:t>MCSS</w:t>
      </w:r>
      <w:r>
        <w:rPr>
          <w:sz w:val="22"/>
          <w:szCs w:val="22"/>
        </w:rPr>
        <w:t xml:space="preserve"> seeks both a waiver of the filing freeze on new EBS applications</w:t>
      </w:r>
      <w:r>
        <w:rPr>
          <w:rStyle w:val="FootnoteReference"/>
          <w:sz w:val="22"/>
          <w:szCs w:val="22"/>
        </w:rPr>
        <w:t xml:space="preserve"> </w:t>
      </w:r>
      <w:r>
        <w:rPr>
          <w:sz w:val="22"/>
          <w:szCs w:val="22"/>
        </w:rPr>
        <w:t xml:space="preserve">and a waiver of the electronic filing requirement for such applications, to permit it to use available EBS channels to operate a </w:t>
      </w:r>
      <w:r w:rsidR="00541ECE">
        <w:rPr>
          <w:sz w:val="22"/>
          <w:szCs w:val="22"/>
        </w:rPr>
        <w:t>LTE</w:t>
      </w:r>
      <w:r>
        <w:rPr>
          <w:sz w:val="22"/>
          <w:szCs w:val="22"/>
        </w:rPr>
        <w:t xml:space="preserve"> network for the provision of </w:t>
      </w:r>
      <w:r w:rsidR="00541ECE">
        <w:rPr>
          <w:sz w:val="22"/>
          <w:szCs w:val="22"/>
        </w:rPr>
        <w:t>broadband educational services</w:t>
      </w:r>
      <w:r>
        <w:rPr>
          <w:sz w:val="22"/>
          <w:szCs w:val="22"/>
        </w:rPr>
        <w:t>.</w:t>
      </w:r>
      <w:r>
        <w:rPr>
          <w:rStyle w:val="FootnoteReference"/>
          <w:sz w:val="22"/>
          <w:szCs w:val="22"/>
        </w:rPr>
        <w:footnoteReference w:id="32"/>
      </w:r>
      <w:r w:rsidR="00541ECE">
        <w:rPr>
          <w:sz w:val="22"/>
          <w:szCs w:val="22"/>
        </w:rPr>
        <w:t xml:space="preserve">  </w:t>
      </w:r>
      <w:r>
        <w:rPr>
          <w:sz w:val="22"/>
          <w:szCs w:val="22"/>
        </w:rPr>
        <w:t>The Commission may grant a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33"/>
      </w:r>
      <w:r>
        <w:rPr>
          <w:sz w:val="22"/>
          <w:szCs w:val="22"/>
        </w:rPr>
        <w:t xml:space="preserve">  As discussed below, we conclude that </w:t>
      </w:r>
      <w:r w:rsidR="00541ECE">
        <w:rPr>
          <w:sz w:val="22"/>
          <w:szCs w:val="22"/>
        </w:rPr>
        <w:t>MCSS</w:t>
      </w:r>
      <w:r>
        <w:rPr>
          <w:sz w:val="22"/>
          <w:szCs w:val="22"/>
        </w:rPr>
        <w:t xml:space="preserve"> has met the waiver standard with respect to both of its requests, and accordingly we grant its </w:t>
      </w:r>
      <w:r w:rsidR="00D12F23">
        <w:rPr>
          <w:sz w:val="22"/>
          <w:szCs w:val="22"/>
        </w:rPr>
        <w:t>W</w:t>
      </w:r>
      <w:r>
        <w:rPr>
          <w:sz w:val="22"/>
          <w:szCs w:val="22"/>
        </w:rPr>
        <w:t xml:space="preserve">aiver </w:t>
      </w:r>
      <w:r w:rsidR="00D12F23">
        <w:rPr>
          <w:sz w:val="22"/>
          <w:szCs w:val="22"/>
        </w:rPr>
        <w:t>R</w:t>
      </w:r>
      <w:r>
        <w:rPr>
          <w:sz w:val="22"/>
          <w:szCs w:val="22"/>
        </w:rPr>
        <w:t>equest, subject to the conditions outlined</w:t>
      </w:r>
      <w:r w:rsidR="00DD01C2">
        <w:rPr>
          <w:sz w:val="22"/>
          <w:szCs w:val="22"/>
        </w:rPr>
        <w:t xml:space="preserve"> below</w:t>
      </w:r>
      <w:r>
        <w:rPr>
          <w:sz w:val="22"/>
          <w:szCs w:val="22"/>
        </w:rPr>
        <w:t>.</w:t>
      </w:r>
    </w:p>
    <w:p w14:paraId="3EDBB481" w14:textId="77777777" w:rsidR="00FC1CFD" w:rsidRPr="0052680E" w:rsidRDefault="00FC1CFD" w:rsidP="00A22C36">
      <w:pPr>
        <w:numPr>
          <w:ilvl w:val="1"/>
          <w:numId w:val="16"/>
        </w:numPr>
        <w:tabs>
          <w:tab w:val="num" w:pos="1440"/>
        </w:tabs>
        <w:spacing w:after="220"/>
        <w:ind w:left="0"/>
        <w:rPr>
          <w:sz w:val="22"/>
          <w:szCs w:val="22"/>
        </w:rPr>
      </w:pPr>
      <w:r>
        <w:rPr>
          <w:sz w:val="22"/>
          <w:szCs w:val="22"/>
        </w:rPr>
        <w:t xml:space="preserve">We conclude that application of the filing freeze would be inequitable and contrary to the public interest under the unique circumstances presented by </w:t>
      </w:r>
      <w:r w:rsidR="00541ECE">
        <w:rPr>
          <w:sz w:val="22"/>
          <w:szCs w:val="22"/>
        </w:rPr>
        <w:t>MCSS</w:t>
      </w:r>
      <w:r>
        <w:rPr>
          <w:sz w:val="22"/>
          <w:szCs w:val="22"/>
        </w:rPr>
        <w:t xml:space="preserve">.  Specifically, we find that, absent access to </w:t>
      </w:r>
      <w:r w:rsidR="00EE5730">
        <w:rPr>
          <w:sz w:val="22"/>
          <w:szCs w:val="22"/>
        </w:rPr>
        <w:t xml:space="preserve">the additional channel of </w:t>
      </w:r>
      <w:r>
        <w:rPr>
          <w:sz w:val="22"/>
          <w:szCs w:val="22"/>
        </w:rPr>
        <w:t xml:space="preserve">EBS spectrum, </w:t>
      </w:r>
      <w:r w:rsidR="00541ECE">
        <w:rPr>
          <w:sz w:val="22"/>
          <w:szCs w:val="22"/>
        </w:rPr>
        <w:t>MCSS</w:t>
      </w:r>
      <w:r>
        <w:rPr>
          <w:sz w:val="22"/>
          <w:szCs w:val="22"/>
        </w:rPr>
        <w:t xml:space="preserve"> would face substantial challenges in providing educational content to </w:t>
      </w:r>
      <w:r w:rsidR="00C828CF">
        <w:rPr>
          <w:sz w:val="22"/>
          <w:szCs w:val="22"/>
        </w:rPr>
        <w:t>all of the members of i</w:t>
      </w:r>
      <w:r>
        <w:rPr>
          <w:sz w:val="22"/>
          <w:szCs w:val="22"/>
        </w:rPr>
        <w:t xml:space="preserve">ts </w:t>
      </w:r>
      <w:r w:rsidR="00C828CF">
        <w:rPr>
          <w:sz w:val="22"/>
          <w:szCs w:val="22"/>
        </w:rPr>
        <w:t>school community</w:t>
      </w:r>
      <w:r w:rsidR="0052680E">
        <w:rPr>
          <w:sz w:val="22"/>
          <w:szCs w:val="22"/>
        </w:rPr>
        <w:t>, including underserved students, faculty and administrators</w:t>
      </w:r>
      <w:r>
        <w:rPr>
          <w:sz w:val="22"/>
          <w:szCs w:val="22"/>
        </w:rPr>
        <w:t>.</w:t>
      </w:r>
      <w:r w:rsidR="0052680E">
        <w:rPr>
          <w:sz w:val="22"/>
          <w:szCs w:val="22"/>
        </w:rPr>
        <w:t xml:space="preserve">  As MCSS noted in its Waiver Request, the GSA includes areas where broadband access may unavailable or unaffordable.</w:t>
      </w:r>
      <w:r w:rsidR="0052680E">
        <w:rPr>
          <w:rStyle w:val="FootnoteReference"/>
          <w:sz w:val="22"/>
          <w:szCs w:val="22"/>
        </w:rPr>
        <w:footnoteReference w:id="34"/>
      </w:r>
      <w:r w:rsidR="0052680E">
        <w:rPr>
          <w:sz w:val="22"/>
          <w:szCs w:val="22"/>
        </w:rPr>
        <w:t xml:space="preserve">  </w:t>
      </w:r>
      <w:r w:rsidR="0052680E" w:rsidRPr="0052680E">
        <w:rPr>
          <w:sz w:val="22"/>
          <w:szCs w:val="22"/>
        </w:rPr>
        <w:t xml:space="preserve">Furthermore, given the urgent need for educational broadband service in these areas, we do not believe that asking </w:t>
      </w:r>
      <w:r w:rsidR="0052680E">
        <w:rPr>
          <w:sz w:val="22"/>
          <w:szCs w:val="22"/>
        </w:rPr>
        <w:t>MCSS</w:t>
      </w:r>
      <w:r w:rsidR="0052680E" w:rsidRPr="0052680E">
        <w:rPr>
          <w:sz w:val="22"/>
          <w:szCs w:val="22"/>
        </w:rPr>
        <w:t xml:space="preserve"> to wait until the Commission develops a new mechanism for assigning unassigned EBS spectrum is appropriate.  We therefore conclude that </w:t>
      </w:r>
      <w:r w:rsidR="0052680E">
        <w:rPr>
          <w:sz w:val="22"/>
          <w:szCs w:val="22"/>
        </w:rPr>
        <w:t>MCSS</w:t>
      </w:r>
      <w:r w:rsidR="0052680E" w:rsidRPr="0052680E">
        <w:rPr>
          <w:sz w:val="22"/>
          <w:szCs w:val="22"/>
        </w:rPr>
        <w:t xml:space="preserve"> has justified a waiver of the EBS filing freeze under the second prong of the waiver standard.</w:t>
      </w:r>
      <w:r>
        <w:rPr>
          <w:sz w:val="22"/>
          <w:szCs w:val="22"/>
        </w:rPr>
        <w:t xml:space="preserve">  </w:t>
      </w:r>
    </w:p>
    <w:p w14:paraId="469C3749" w14:textId="6480BD80" w:rsidR="000977D3" w:rsidRDefault="00FC1CFD" w:rsidP="00A22C36">
      <w:pPr>
        <w:numPr>
          <w:ilvl w:val="1"/>
          <w:numId w:val="16"/>
        </w:numPr>
        <w:tabs>
          <w:tab w:val="num" w:pos="1440"/>
        </w:tabs>
        <w:spacing w:after="220"/>
        <w:ind w:left="0"/>
        <w:rPr>
          <w:sz w:val="22"/>
          <w:szCs w:val="22"/>
        </w:rPr>
      </w:pPr>
      <w:r>
        <w:rPr>
          <w:sz w:val="22"/>
          <w:szCs w:val="22"/>
        </w:rPr>
        <w:t xml:space="preserve">We </w:t>
      </w:r>
      <w:r w:rsidR="007D251F">
        <w:rPr>
          <w:sz w:val="22"/>
          <w:szCs w:val="22"/>
        </w:rPr>
        <w:t xml:space="preserve">will impose the same conditions on the grant of this authorization that the Bureau imposed in </w:t>
      </w:r>
      <w:r w:rsidR="00541ECE">
        <w:rPr>
          <w:sz w:val="22"/>
          <w:szCs w:val="22"/>
        </w:rPr>
        <w:t>previous</w:t>
      </w:r>
      <w:r w:rsidR="007D251F">
        <w:rPr>
          <w:sz w:val="22"/>
          <w:szCs w:val="22"/>
        </w:rPr>
        <w:t xml:space="preserve"> Waiver Order</w:t>
      </w:r>
      <w:r w:rsidR="00541ECE">
        <w:rPr>
          <w:sz w:val="22"/>
          <w:szCs w:val="22"/>
        </w:rPr>
        <w:t>s</w:t>
      </w:r>
      <w:r w:rsidR="007D251F">
        <w:rPr>
          <w:sz w:val="22"/>
          <w:szCs w:val="22"/>
        </w:rPr>
        <w:t>.</w:t>
      </w:r>
      <w:r w:rsidR="00541ECE">
        <w:rPr>
          <w:rStyle w:val="FootnoteReference"/>
          <w:sz w:val="22"/>
          <w:szCs w:val="22"/>
        </w:rPr>
        <w:footnoteReference w:id="35"/>
      </w:r>
      <w:r w:rsidR="007D251F">
        <w:rPr>
          <w:sz w:val="22"/>
          <w:szCs w:val="22"/>
        </w:rPr>
        <w:t xml:space="preserve">  </w:t>
      </w:r>
      <w:r w:rsidR="00A9590F">
        <w:rPr>
          <w:sz w:val="22"/>
          <w:szCs w:val="22"/>
        </w:rPr>
        <w:t>In this regard</w:t>
      </w:r>
      <w:r w:rsidR="007D251F">
        <w:rPr>
          <w:sz w:val="22"/>
          <w:szCs w:val="22"/>
        </w:rPr>
        <w:t xml:space="preserve">, we adopt as a license condition </w:t>
      </w:r>
      <w:r w:rsidR="00541ECE">
        <w:rPr>
          <w:sz w:val="22"/>
          <w:szCs w:val="22"/>
        </w:rPr>
        <w:t>MCSS</w:t>
      </w:r>
      <w:r w:rsidR="007D251F">
        <w:rPr>
          <w:sz w:val="22"/>
          <w:szCs w:val="22"/>
        </w:rPr>
        <w:t>’s commitment in the current Application not to lease its spectrum.</w:t>
      </w:r>
      <w:r w:rsidR="007D251F">
        <w:rPr>
          <w:rStyle w:val="FootnoteReference"/>
          <w:sz w:val="22"/>
          <w:szCs w:val="22"/>
        </w:rPr>
        <w:footnoteReference w:id="36"/>
      </w:r>
      <w:r w:rsidR="007D251F">
        <w:rPr>
          <w:sz w:val="22"/>
          <w:szCs w:val="22"/>
        </w:rPr>
        <w:t xml:space="preserve">  Section 27.1201(a) of the Commission’s Rules states that a “license for an Educat</w:t>
      </w:r>
      <w:r w:rsidR="00B25FD9">
        <w:rPr>
          <w:sz w:val="22"/>
          <w:szCs w:val="22"/>
        </w:rPr>
        <w:t>ional Broadband Service station</w:t>
      </w:r>
      <w:r w:rsidR="007D251F">
        <w:rPr>
          <w:sz w:val="22"/>
          <w:szCs w:val="22"/>
        </w:rPr>
        <w:t xml:space="preserve"> will be issued only to an accredited institution…engaged in the formal education of enrolled students.”</w:t>
      </w:r>
      <w:r w:rsidR="007D251F">
        <w:rPr>
          <w:rStyle w:val="FootnoteReference"/>
          <w:sz w:val="22"/>
          <w:szCs w:val="22"/>
        </w:rPr>
        <w:footnoteReference w:id="37"/>
      </w:r>
      <w:r w:rsidR="007D251F">
        <w:rPr>
          <w:sz w:val="22"/>
          <w:szCs w:val="22"/>
        </w:rPr>
        <w:t xml:space="preserve">  </w:t>
      </w:r>
      <w:r w:rsidR="00973237">
        <w:rPr>
          <w:sz w:val="22"/>
          <w:szCs w:val="22"/>
        </w:rPr>
        <w:t>MCSS</w:t>
      </w:r>
      <w:r w:rsidR="007D251F">
        <w:rPr>
          <w:sz w:val="22"/>
          <w:szCs w:val="22"/>
        </w:rPr>
        <w:t xml:space="preserve"> is such an institution and has indicated that it will use the proposed EBS system solely to meet the educational needs of the </w:t>
      </w:r>
      <w:r w:rsidR="00973237">
        <w:rPr>
          <w:sz w:val="22"/>
          <w:szCs w:val="22"/>
        </w:rPr>
        <w:t>schools in the county</w:t>
      </w:r>
      <w:r w:rsidR="007D251F">
        <w:rPr>
          <w:sz w:val="22"/>
          <w:szCs w:val="22"/>
        </w:rPr>
        <w:t>.</w:t>
      </w:r>
      <w:r w:rsidR="007D251F">
        <w:rPr>
          <w:rStyle w:val="FootnoteReference"/>
          <w:sz w:val="22"/>
          <w:szCs w:val="22"/>
        </w:rPr>
        <w:footnoteReference w:id="38"/>
      </w:r>
      <w:r w:rsidR="007D251F">
        <w:rPr>
          <w:sz w:val="22"/>
          <w:szCs w:val="22"/>
        </w:rPr>
        <w:t xml:space="preserve">  The provision of educational broadband services via a new EBS license would be consistent with the Commission’s view that, “the public interest favors preserving [EBS] spectrum for licensing to [educators] and that doing so will further the educational objectives that led to the establishment of [EBS].”</w:t>
      </w:r>
      <w:r w:rsidR="007D251F">
        <w:rPr>
          <w:rStyle w:val="FootnoteReference"/>
          <w:sz w:val="22"/>
          <w:szCs w:val="22"/>
        </w:rPr>
        <w:footnoteReference w:id="39"/>
      </w:r>
      <w:r w:rsidR="00973237">
        <w:rPr>
          <w:sz w:val="22"/>
          <w:szCs w:val="22"/>
        </w:rPr>
        <w:t xml:space="preserve">  </w:t>
      </w:r>
      <w:r w:rsidR="007D251F">
        <w:rPr>
          <w:sz w:val="22"/>
          <w:szCs w:val="22"/>
        </w:rPr>
        <w:t xml:space="preserve">We find that </w:t>
      </w:r>
      <w:r w:rsidR="00973237">
        <w:rPr>
          <w:sz w:val="22"/>
          <w:szCs w:val="22"/>
        </w:rPr>
        <w:t>MCSS’s</w:t>
      </w:r>
      <w:r w:rsidR="007D251F">
        <w:rPr>
          <w:sz w:val="22"/>
          <w:szCs w:val="22"/>
        </w:rPr>
        <w:t xml:space="preserve"> plan to put the spectrum to use solely for educational purposes </w:t>
      </w:r>
      <w:r w:rsidR="00DD01C2">
        <w:rPr>
          <w:sz w:val="22"/>
          <w:szCs w:val="22"/>
        </w:rPr>
        <w:t xml:space="preserve">and </w:t>
      </w:r>
      <w:r w:rsidR="00A9590F">
        <w:rPr>
          <w:sz w:val="22"/>
          <w:szCs w:val="22"/>
        </w:rPr>
        <w:t xml:space="preserve">its </w:t>
      </w:r>
      <w:r w:rsidR="00DD01C2">
        <w:rPr>
          <w:sz w:val="22"/>
          <w:szCs w:val="22"/>
        </w:rPr>
        <w:t xml:space="preserve">commitment not to lease the spectrum </w:t>
      </w:r>
      <w:r w:rsidR="00A9590F">
        <w:rPr>
          <w:sz w:val="22"/>
          <w:szCs w:val="22"/>
        </w:rPr>
        <w:t>constitute</w:t>
      </w:r>
      <w:r w:rsidR="00DD01C2">
        <w:rPr>
          <w:sz w:val="22"/>
          <w:szCs w:val="22"/>
        </w:rPr>
        <w:t xml:space="preserve"> </w:t>
      </w:r>
      <w:r w:rsidR="007D251F">
        <w:rPr>
          <w:sz w:val="22"/>
          <w:szCs w:val="22"/>
        </w:rPr>
        <w:t>unique circumstance</w:t>
      </w:r>
      <w:r w:rsidR="00DD01C2">
        <w:rPr>
          <w:sz w:val="22"/>
          <w:szCs w:val="22"/>
        </w:rPr>
        <w:t>s</w:t>
      </w:r>
      <w:r w:rsidR="007D251F">
        <w:rPr>
          <w:sz w:val="22"/>
          <w:szCs w:val="22"/>
        </w:rPr>
        <w:t xml:space="preserve"> that will ensure “</w:t>
      </w:r>
      <w:r>
        <w:rPr>
          <w:sz w:val="22"/>
          <w:szCs w:val="22"/>
        </w:rPr>
        <w:t>that</w:t>
      </w:r>
      <w:r w:rsidR="007D251F">
        <w:rPr>
          <w:sz w:val="22"/>
          <w:szCs w:val="22"/>
        </w:rPr>
        <w:t xml:space="preserve"> the spectrum is used for educational purposes”</w:t>
      </w:r>
      <w:r w:rsidR="007D251F">
        <w:rPr>
          <w:rStyle w:val="FootnoteReference"/>
          <w:sz w:val="22"/>
          <w:szCs w:val="22"/>
        </w:rPr>
        <w:footnoteReference w:id="40"/>
      </w:r>
      <w:r w:rsidR="007D251F">
        <w:rPr>
          <w:sz w:val="22"/>
          <w:szCs w:val="22"/>
        </w:rPr>
        <w:t xml:space="preserve"> justif</w:t>
      </w:r>
      <w:r w:rsidR="00DD01C2">
        <w:rPr>
          <w:sz w:val="22"/>
          <w:szCs w:val="22"/>
        </w:rPr>
        <w:t>ying</w:t>
      </w:r>
      <w:r w:rsidR="007D251F">
        <w:rPr>
          <w:sz w:val="22"/>
          <w:szCs w:val="22"/>
        </w:rPr>
        <w:t xml:space="preserve"> a waiver of the filing freeze.</w:t>
      </w:r>
    </w:p>
    <w:p w14:paraId="4EDC08E4" w14:textId="6BF6F6FE" w:rsidR="00491EAB" w:rsidRPr="000977D3" w:rsidRDefault="00491EAB" w:rsidP="000977D3">
      <w:pPr>
        <w:numPr>
          <w:ilvl w:val="1"/>
          <w:numId w:val="16"/>
        </w:numPr>
        <w:tabs>
          <w:tab w:val="num" w:pos="1440"/>
        </w:tabs>
        <w:spacing w:after="220"/>
        <w:ind w:left="0"/>
        <w:rPr>
          <w:sz w:val="22"/>
          <w:szCs w:val="22"/>
        </w:rPr>
      </w:pPr>
      <w:r w:rsidRPr="000977D3">
        <w:rPr>
          <w:sz w:val="22"/>
          <w:szCs w:val="22"/>
        </w:rPr>
        <w:t>We place the further condition on MCSS’s license that its GSAs shall not include any area within the GSA of any previously licensed co-channel EBS station.</w:t>
      </w:r>
      <w:r>
        <w:rPr>
          <w:rStyle w:val="FootnoteReference"/>
          <w:sz w:val="22"/>
          <w:szCs w:val="22"/>
        </w:rPr>
        <w:footnoteReference w:id="41"/>
      </w:r>
      <w:r w:rsidRPr="000977D3">
        <w:rPr>
          <w:sz w:val="22"/>
          <w:szCs w:val="22"/>
        </w:rPr>
        <w:t xml:space="preserve">  In addition, we recognize that granting these waivers will result in MCSS obtaining valuable spectrum.  While we believe that there are substantial public interest benefits to granting these waivers, we also believe it appropriate to place conditions on the waiver grant to ensure that the anticipated public interest benefits materialize.  Thus, given the lack of broadband alternatives in the areas in questions, we believe it is appropriate to require MCSS to build out on an accelerated schedule.  </w:t>
      </w:r>
      <w:r w:rsidR="00551CF5" w:rsidRPr="000977D3">
        <w:rPr>
          <w:sz w:val="22"/>
          <w:szCs w:val="22"/>
        </w:rPr>
        <w:t>Consistent with the commitment MCSS has made</w:t>
      </w:r>
      <w:r w:rsidRPr="000977D3">
        <w:rPr>
          <w:sz w:val="22"/>
          <w:szCs w:val="22"/>
        </w:rPr>
        <w:t>,</w:t>
      </w:r>
      <w:r w:rsidRPr="00551CF5">
        <w:rPr>
          <w:rStyle w:val="FootnoteReference"/>
          <w:sz w:val="22"/>
          <w:szCs w:val="22"/>
        </w:rPr>
        <w:footnoteReference w:id="42"/>
      </w:r>
      <w:r w:rsidRPr="000977D3">
        <w:rPr>
          <w:sz w:val="22"/>
          <w:szCs w:val="22"/>
        </w:rPr>
        <w:t xml:space="preserve"> we will require MCSS to provide substantial service pursuant to Section 27.14(o) within two years from the date the Applications are granted by the Bureau.</w:t>
      </w:r>
      <w:r w:rsidRPr="00551CF5">
        <w:rPr>
          <w:rStyle w:val="FootnoteReference"/>
          <w:sz w:val="22"/>
          <w:szCs w:val="22"/>
        </w:rPr>
        <w:footnoteReference w:id="43"/>
      </w:r>
    </w:p>
    <w:p w14:paraId="1547C9A1" w14:textId="77777777" w:rsidR="00FC1CFD" w:rsidRDefault="00FC1CFD" w:rsidP="00A22C36">
      <w:pPr>
        <w:numPr>
          <w:ilvl w:val="1"/>
          <w:numId w:val="16"/>
        </w:numPr>
        <w:tabs>
          <w:tab w:val="num" w:pos="1440"/>
        </w:tabs>
        <w:spacing w:after="220"/>
        <w:ind w:left="0"/>
        <w:rPr>
          <w:rStyle w:val="documentbody1"/>
          <w:rFonts w:ascii="Times New Roman" w:hAnsi="Times New Roman"/>
          <w:sz w:val="22"/>
          <w:szCs w:val="22"/>
          <w:shd w:val="clear" w:color="auto" w:fill="auto"/>
        </w:rPr>
      </w:pPr>
      <w:r>
        <w:rPr>
          <w:rStyle w:val="documentbody1"/>
          <w:rFonts w:ascii="Times New Roman" w:hAnsi="Times New Roman"/>
          <w:color w:val="000000"/>
          <w:sz w:val="22"/>
          <w:szCs w:val="22"/>
        </w:rPr>
        <w:t>With respect to the electronic filing requirement contained in Section 1.1913(b) of the Commission’s Rules,</w:t>
      </w:r>
      <w:r>
        <w:rPr>
          <w:rStyle w:val="FootnoteReference"/>
          <w:sz w:val="22"/>
          <w:szCs w:val="22"/>
        </w:rPr>
        <w:footnoteReference w:id="44"/>
      </w:r>
      <w:r>
        <w:rPr>
          <w:sz w:val="22"/>
          <w:szCs w:val="22"/>
        </w:rPr>
        <w:t xml:space="preserve"> we observe that  the Commission’s electronic Universal Licensing System (ULS) is not currently configured to accept applications such as the one submitted by </w:t>
      </w:r>
      <w:r w:rsidR="00CF2514">
        <w:rPr>
          <w:sz w:val="22"/>
          <w:szCs w:val="22"/>
        </w:rPr>
        <w:t>MCSS</w:t>
      </w:r>
      <w:r>
        <w:rPr>
          <w:sz w:val="22"/>
          <w:szCs w:val="22"/>
        </w:rPr>
        <w:t xml:space="preserve">.  We therefore conclude that, in light of these circumstances, </w:t>
      </w:r>
      <w:r>
        <w:rPr>
          <w:rStyle w:val="documentbody1"/>
          <w:rFonts w:ascii="Times New Roman" w:hAnsi="Times New Roman"/>
          <w:color w:val="000000"/>
          <w:sz w:val="22"/>
          <w:szCs w:val="22"/>
        </w:rPr>
        <w:t xml:space="preserve">application of the rule would be inequitable and contrary to the public interest because it would be unfair to reject an application for failure to file electronically when electronic filing capability is not available.  We therefore grant </w:t>
      </w:r>
      <w:r w:rsidR="00CF2514">
        <w:rPr>
          <w:rStyle w:val="documentbody1"/>
          <w:rFonts w:ascii="Times New Roman" w:hAnsi="Times New Roman"/>
          <w:color w:val="000000"/>
          <w:sz w:val="22"/>
          <w:szCs w:val="22"/>
        </w:rPr>
        <w:t>MCSS</w:t>
      </w:r>
      <w:r>
        <w:rPr>
          <w:rStyle w:val="documentbody1"/>
          <w:rFonts w:ascii="Times New Roman" w:hAnsi="Times New Roman"/>
          <w:color w:val="000000"/>
          <w:sz w:val="22"/>
          <w:szCs w:val="22"/>
        </w:rPr>
        <w:t xml:space="preserve"> a waiver to permit manual filing of its Application.</w:t>
      </w:r>
    </w:p>
    <w:p w14:paraId="7E0EDB95" w14:textId="7C74C921" w:rsidR="00FC1CFD" w:rsidRDefault="00FC1CFD" w:rsidP="00A22C36">
      <w:pPr>
        <w:numPr>
          <w:ilvl w:val="1"/>
          <w:numId w:val="16"/>
        </w:numPr>
        <w:tabs>
          <w:tab w:val="num" w:pos="1440"/>
        </w:tabs>
        <w:spacing w:after="220"/>
        <w:ind w:left="0"/>
        <w:rPr>
          <w:sz w:val="22"/>
          <w:szCs w:val="22"/>
        </w:rPr>
      </w:pPr>
      <w:r>
        <w:rPr>
          <w:sz w:val="22"/>
          <w:szCs w:val="22"/>
        </w:rPr>
        <w:t xml:space="preserve">Based upon the evaluation of the record before us, we conclude that </w:t>
      </w:r>
      <w:r w:rsidR="00CF2514">
        <w:rPr>
          <w:sz w:val="22"/>
          <w:szCs w:val="22"/>
        </w:rPr>
        <w:t>MCSS</w:t>
      </w:r>
      <w:r>
        <w:rPr>
          <w:sz w:val="22"/>
          <w:szCs w:val="22"/>
        </w:rPr>
        <w:t xml:space="preserve"> has demonstrated that continued application of the filing freeze and electronic filing requirement would be inequitable, unduly burdensome and contrary to the public interest, given the unique circumstances of this case.  We also find that waiving the filing freeze and the electronic filing requirement will facilitate the provision of educational material through a broadband network in </w:t>
      </w:r>
      <w:r w:rsidR="00CF2514">
        <w:rPr>
          <w:sz w:val="22"/>
          <w:szCs w:val="22"/>
        </w:rPr>
        <w:t>the area of Salinas, California</w:t>
      </w:r>
      <w:r>
        <w:rPr>
          <w:sz w:val="22"/>
          <w:szCs w:val="22"/>
        </w:rPr>
        <w:t xml:space="preserve"> and will further the Commission’s goal of ultimately providing all Americans with access to ubiquitous wireless broadband connections, regardless of their location.</w:t>
      </w:r>
      <w:r>
        <w:rPr>
          <w:rStyle w:val="FootnoteReference"/>
          <w:sz w:val="22"/>
          <w:szCs w:val="22"/>
        </w:rPr>
        <w:footnoteReference w:id="45"/>
      </w:r>
      <w:r>
        <w:rPr>
          <w:sz w:val="22"/>
          <w:szCs w:val="22"/>
        </w:rPr>
        <w:t xml:space="preserve">  We note that the waivers granted in the instant </w:t>
      </w:r>
      <w:r w:rsidR="00EA09F6">
        <w:rPr>
          <w:i/>
          <w:sz w:val="22"/>
          <w:szCs w:val="22"/>
        </w:rPr>
        <w:t xml:space="preserve">Memorandum Opinion and Order </w:t>
      </w:r>
      <w:r>
        <w:rPr>
          <w:sz w:val="22"/>
          <w:szCs w:val="22"/>
        </w:rPr>
        <w:t>are based on the unique circumstances of this case, and do not prejudge the Commission’s consideration of the appropriate mechanism generally for licensing unassigned EBS spectrum.</w:t>
      </w:r>
      <w:r>
        <w:rPr>
          <w:rStyle w:val="FootnoteReference"/>
          <w:sz w:val="22"/>
          <w:szCs w:val="22"/>
        </w:rPr>
        <w:footnoteReference w:id="46"/>
      </w:r>
      <w:r>
        <w:rPr>
          <w:sz w:val="22"/>
          <w:szCs w:val="22"/>
        </w:rPr>
        <w:t xml:space="preserve"> </w:t>
      </w:r>
    </w:p>
    <w:p w14:paraId="1B0AE8E1" w14:textId="77777777" w:rsidR="00FC1CFD" w:rsidRDefault="00FC1CFD">
      <w:pPr>
        <w:pStyle w:val="Heading1"/>
        <w:spacing w:before="0" w:after="2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t>CONCLUSION AND ORDERING CLAUSES</w:t>
      </w:r>
    </w:p>
    <w:p w14:paraId="0C94BC0F" w14:textId="77777777" w:rsidR="00FC1CFD" w:rsidRDefault="00FC1CFD" w:rsidP="00A22C36">
      <w:pPr>
        <w:numPr>
          <w:ilvl w:val="1"/>
          <w:numId w:val="16"/>
        </w:numPr>
        <w:tabs>
          <w:tab w:val="num" w:pos="1440"/>
        </w:tabs>
        <w:spacing w:after="220"/>
        <w:ind w:left="0"/>
        <w:rPr>
          <w:sz w:val="22"/>
          <w:szCs w:val="22"/>
        </w:rPr>
      </w:pPr>
      <w:r>
        <w:rPr>
          <w:sz w:val="22"/>
          <w:szCs w:val="22"/>
        </w:rPr>
        <w:t xml:space="preserve">For the reasons discussed above, we grant </w:t>
      </w:r>
      <w:r w:rsidR="00CF2514">
        <w:rPr>
          <w:sz w:val="22"/>
          <w:szCs w:val="22"/>
        </w:rPr>
        <w:t>MCSS</w:t>
      </w:r>
      <w:r>
        <w:rPr>
          <w:sz w:val="22"/>
          <w:szCs w:val="22"/>
        </w:rPr>
        <w:t xml:space="preserve">’s requests for waiver of (1) the filing freeze that was imposed by the Commission on new EBS applications in the Commission’s April 2003, </w:t>
      </w:r>
      <w:r>
        <w:rPr>
          <w:i/>
          <w:sz w:val="22"/>
          <w:szCs w:val="22"/>
        </w:rPr>
        <w:t>NPRM and MO&amp;O</w:t>
      </w:r>
      <w:r>
        <w:rPr>
          <w:sz w:val="22"/>
          <w:szCs w:val="22"/>
        </w:rPr>
        <w:t xml:space="preserve">, and, (2) the electronic filing requirement in Section 1.1913(b) of the Commission’s Rules.  We also direct the Broadband Division to process </w:t>
      </w:r>
      <w:r w:rsidR="00CF2514">
        <w:rPr>
          <w:sz w:val="22"/>
          <w:szCs w:val="22"/>
        </w:rPr>
        <w:t>MCSS</w:t>
      </w:r>
      <w:r>
        <w:rPr>
          <w:sz w:val="22"/>
          <w:szCs w:val="22"/>
        </w:rPr>
        <w:t xml:space="preserve">’s Application in accordance with the requirements set forth in this </w:t>
      </w:r>
      <w:r>
        <w:rPr>
          <w:i/>
          <w:sz w:val="22"/>
          <w:szCs w:val="22"/>
        </w:rPr>
        <w:t>Memorandum Opinion and Order</w:t>
      </w:r>
      <w:r>
        <w:rPr>
          <w:sz w:val="22"/>
          <w:szCs w:val="22"/>
        </w:rPr>
        <w:t xml:space="preserve"> and the Commission’s rules.</w:t>
      </w:r>
    </w:p>
    <w:p w14:paraId="40FF4764" w14:textId="77777777" w:rsidR="00FC1CFD" w:rsidRDefault="00FC1CFD" w:rsidP="00A22C36">
      <w:pPr>
        <w:numPr>
          <w:ilvl w:val="1"/>
          <w:numId w:val="16"/>
        </w:numPr>
        <w:tabs>
          <w:tab w:val="num" w:pos="1440"/>
        </w:tabs>
        <w:spacing w:after="220"/>
        <w:ind w:left="0"/>
        <w:rPr>
          <w:sz w:val="22"/>
          <w:szCs w:val="22"/>
        </w:rPr>
      </w:pPr>
      <w:r>
        <w:rPr>
          <w:sz w:val="22"/>
          <w:szCs w:val="22"/>
        </w:rPr>
        <w:t xml:space="preserve">Accordingly, IT IS ORDERED, pursuant to Section 4(i) of the Communications Act of 1934, as amended 47 U.S.C. § 154(i), and Section 1.925(b)(3) of the Commission’s Rules, 47 C.F.R. § 1.925(b)(3), that the waiver requests filed by </w:t>
      </w:r>
      <w:r w:rsidR="00CF2514">
        <w:rPr>
          <w:sz w:val="22"/>
          <w:szCs w:val="22"/>
        </w:rPr>
        <w:t>the Monterey County Superintendent of Schools on July 22, 2016</w:t>
      </w:r>
      <w:r>
        <w:rPr>
          <w:sz w:val="22"/>
          <w:szCs w:val="22"/>
        </w:rPr>
        <w:t xml:space="preserve"> in connection with File No. </w:t>
      </w:r>
      <w:r w:rsidR="00CF2514" w:rsidRPr="00CF2514">
        <w:rPr>
          <w:sz w:val="22"/>
          <w:szCs w:val="22"/>
        </w:rPr>
        <w:t>0007355697</w:t>
      </w:r>
      <w:r>
        <w:rPr>
          <w:sz w:val="22"/>
          <w:szCs w:val="22"/>
        </w:rPr>
        <w:t xml:space="preserve"> ARE GRANTED, subject to the conditions noted below.</w:t>
      </w:r>
    </w:p>
    <w:p w14:paraId="1C62AD28" w14:textId="77777777" w:rsidR="00FC1CFD" w:rsidRDefault="00FC1CFD" w:rsidP="00A22C36">
      <w:pPr>
        <w:numPr>
          <w:ilvl w:val="1"/>
          <w:numId w:val="16"/>
        </w:numPr>
        <w:tabs>
          <w:tab w:val="num" w:pos="1440"/>
        </w:tabs>
        <w:spacing w:after="220"/>
        <w:ind w:left="0"/>
        <w:rPr>
          <w:sz w:val="22"/>
          <w:szCs w:val="22"/>
        </w:rPr>
      </w:pPr>
      <w:r>
        <w:rPr>
          <w:sz w:val="22"/>
          <w:szCs w:val="22"/>
        </w:rPr>
        <w:t xml:space="preserve">IT IS FURTHER ORDERED, pursuant to Sections 4(i) and 309 of the Communications Act of 1934, as amended, 47 U.S.C. §§154(i), 309 that the licensing staff of the Broadband Division, Wireless Telecommunications Bureau SHALL PROCESS File No. </w:t>
      </w:r>
      <w:r w:rsidR="000B4854" w:rsidRPr="00CF2514">
        <w:rPr>
          <w:sz w:val="22"/>
          <w:szCs w:val="22"/>
        </w:rPr>
        <w:t>0007355697</w:t>
      </w:r>
      <w:r>
        <w:rPr>
          <w:sz w:val="22"/>
          <w:szCs w:val="22"/>
        </w:rPr>
        <w:t xml:space="preserve"> in accordance with this </w:t>
      </w:r>
      <w:r>
        <w:rPr>
          <w:i/>
          <w:sz w:val="22"/>
          <w:szCs w:val="22"/>
        </w:rPr>
        <w:t>Memorandum Opinion and Order</w:t>
      </w:r>
      <w:r>
        <w:rPr>
          <w:sz w:val="22"/>
          <w:szCs w:val="22"/>
        </w:rPr>
        <w:t xml:space="preserve"> and the Commission’s Rules.</w:t>
      </w:r>
    </w:p>
    <w:p w14:paraId="1099AB9B" w14:textId="77777777" w:rsidR="00FC1CFD" w:rsidRDefault="00FC1CFD" w:rsidP="00A22C36">
      <w:pPr>
        <w:numPr>
          <w:ilvl w:val="1"/>
          <w:numId w:val="16"/>
        </w:numPr>
        <w:tabs>
          <w:tab w:val="num" w:pos="1440"/>
        </w:tabs>
        <w:spacing w:after="220"/>
        <w:ind w:left="0"/>
        <w:rPr>
          <w:sz w:val="22"/>
          <w:szCs w:val="22"/>
        </w:rPr>
      </w:pPr>
      <w:r>
        <w:rPr>
          <w:sz w:val="22"/>
          <w:szCs w:val="22"/>
        </w:rPr>
        <w:t xml:space="preserve">IT IS FURTHER ORDERED, pursuant to Sections 4(i)  and 309 of the Communications Act of 1934, as amended, 47 U.S.C. § 154(i), 309 that the following conditions SHALL BE IMPOSED on any authorizations issued to </w:t>
      </w:r>
      <w:r w:rsidR="000B4854">
        <w:rPr>
          <w:sz w:val="22"/>
          <w:szCs w:val="22"/>
        </w:rPr>
        <w:t>Monterey County Superintendent of Schools</w:t>
      </w:r>
      <w:r>
        <w:rPr>
          <w:sz w:val="22"/>
          <w:szCs w:val="22"/>
        </w:rPr>
        <w:t xml:space="preserve"> as a result of the application it has filed:</w:t>
      </w:r>
    </w:p>
    <w:p w14:paraId="72590524" w14:textId="77777777" w:rsidR="00FC1CFD" w:rsidRDefault="00FC1CFD">
      <w:pPr>
        <w:ind w:left="720" w:right="720"/>
        <w:rPr>
          <w:sz w:val="22"/>
          <w:szCs w:val="22"/>
        </w:rPr>
      </w:pPr>
      <w:r>
        <w:rPr>
          <w:sz w:val="22"/>
          <w:szCs w:val="22"/>
        </w:rPr>
        <w:t>The Geographic Service Area of this station shall not include any area within the GSA of any previously licensed co-channel EBS station.</w:t>
      </w:r>
    </w:p>
    <w:p w14:paraId="5C2719E2" w14:textId="77777777" w:rsidR="00EA09F6" w:rsidRDefault="00EA09F6" w:rsidP="00F72481">
      <w:pPr>
        <w:ind w:right="720"/>
        <w:rPr>
          <w:sz w:val="22"/>
          <w:szCs w:val="22"/>
        </w:rPr>
      </w:pPr>
    </w:p>
    <w:p w14:paraId="6318CAD7" w14:textId="77777777" w:rsidR="00FC1CFD" w:rsidRDefault="00FC1CFD">
      <w:pPr>
        <w:ind w:left="720" w:right="720"/>
        <w:rPr>
          <w:sz w:val="22"/>
          <w:szCs w:val="22"/>
        </w:rPr>
      </w:pPr>
      <w:r>
        <w:rPr>
          <w:sz w:val="22"/>
          <w:szCs w:val="22"/>
        </w:rPr>
        <w:t xml:space="preserve">The </w:t>
      </w:r>
      <w:r w:rsidR="000B4854">
        <w:rPr>
          <w:sz w:val="22"/>
          <w:szCs w:val="22"/>
        </w:rPr>
        <w:t>Monterey County Superintendent of Schools</w:t>
      </w:r>
      <w:r>
        <w:rPr>
          <w:sz w:val="22"/>
          <w:szCs w:val="22"/>
        </w:rPr>
        <w:t xml:space="preserve"> shall not lease any spectrum associated with this license to another entity. </w:t>
      </w:r>
    </w:p>
    <w:p w14:paraId="2636DCAB" w14:textId="77777777" w:rsidR="00DF7870" w:rsidRDefault="00DF7870">
      <w:pPr>
        <w:ind w:left="720" w:right="720"/>
        <w:rPr>
          <w:sz w:val="22"/>
          <w:szCs w:val="22"/>
        </w:rPr>
      </w:pPr>
    </w:p>
    <w:p w14:paraId="1C01F653" w14:textId="19796D7A" w:rsidR="00DF7870" w:rsidRPr="00DF7870" w:rsidRDefault="00DF7870" w:rsidP="00DF7870">
      <w:pPr>
        <w:ind w:left="720" w:right="720"/>
        <w:rPr>
          <w:sz w:val="22"/>
          <w:szCs w:val="22"/>
        </w:rPr>
      </w:pPr>
      <w:r w:rsidRPr="00DF7870">
        <w:rPr>
          <w:sz w:val="22"/>
          <w:szCs w:val="22"/>
        </w:rPr>
        <w:t>The Monterey County Superintendent of Schools shall demonstrate substantial service within two years after</w:t>
      </w:r>
      <w:r>
        <w:rPr>
          <w:sz w:val="22"/>
          <w:szCs w:val="22"/>
        </w:rPr>
        <w:t xml:space="preserve"> the grant of their application.</w:t>
      </w:r>
    </w:p>
    <w:p w14:paraId="21BC490A" w14:textId="77777777" w:rsidR="00DF7870" w:rsidRDefault="00DF7870">
      <w:pPr>
        <w:ind w:left="720" w:right="720"/>
        <w:rPr>
          <w:sz w:val="22"/>
          <w:szCs w:val="22"/>
        </w:rPr>
      </w:pPr>
    </w:p>
    <w:p w14:paraId="00B6CE29" w14:textId="77777777" w:rsidR="00FC1CFD" w:rsidRDefault="00FC1CFD" w:rsidP="00A22C36">
      <w:pPr>
        <w:numPr>
          <w:ilvl w:val="1"/>
          <w:numId w:val="16"/>
        </w:numPr>
        <w:tabs>
          <w:tab w:val="num" w:pos="1440"/>
        </w:tabs>
        <w:spacing w:after="220"/>
        <w:ind w:left="0"/>
        <w:rPr>
          <w:sz w:val="22"/>
          <w:szCs w:val="22"/>
        </w:rPr>
      </w:pPr>
      <w:r>
        <w:rPr>
          <w:sz w:val="22"/>
          <w:szCs w:val="22"/>
        </w:rPr>
        <w:t>This action is taken under delegated authority pursuant to Sections 0.131 and 0.331 of the Commission’s Rules, 47 C.F.R. §§ 0.131, 0.331.</w:t>
      </w:r>
    </w:p>
    <w:p w14:paraId="000FBEA2" w14:textId="77777777" w:rsidR="00DD01C2" w:rsidRDefault="00DD01C2">
      <w:pPr>
        <w:rPr>
          <w:sz w:val="22"/>
          <w:szCs w:val="22"/>
        </w:rPr>
      </w:pPr>
    </w:p>
    <w:p w14:paraId="7711081E" w14:textId="77777777" w:rsidR="00FC1CFD" w:rsidRDefault="00FC1CFD">
      <w:pPr>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p>
    <w:p w14:paraId="6371663C" w14:textId="77777777" w:rsidR="00FC1CFD" w:rsidRDefault="00FC1CFD">
      <w:pPr>
        <w:rPr>
          <w:sz w:val="22"/>
          <w:szCs w:val="22"/>
        </w:rPr>
      </w:pPr>
    </w:p>
    <w:p w14:paraId="106BFED1" w14:textId="77777777" w:rsidR="00C563FA" w:rsidRDefault="00FC1CFD">
      <w:pPr>
        <w:rPr>
          <w:sz w:val="22"/>
          <w:szCs w:val="22"/>
        </w:rPr>
      </w:pPr>
      <w:r>
        <w:rPr>
          <w:sz w:val="22"/>
          <w:szCs w:val="22"/>
        </w:rPr>
        <w:tab/>
      </w:r>
    </w:p>
    <w:p w14:paraId="1A1B4470" w14:textId="77777777" w:rsidR="00C563FA" w:rsidRDefault="00C563FA">
      <w:pPr>
        <w:rPr>
          <w:sz w:val="22"/>
          <w:szCs w:val="22"/>
        </w:rPr>
      </w:pPr>
    </w:p>
    <w:p w14:paraId="231D2C1F" w14:textId="77777777" w:rsidR="00FC1CFD" w:rsidRDefault="00C563FA">
      <w:pPr>
        <w:rPr>
          <w:sz w:val="22"/>
          <w:szCs w:val="22"/>
        </w:rPr>
      </w:pPr>
      <w:r>
        <w:rPr>
          <w:sz w:val="22"/>
          <w:szCs w:val="22"/>
        </w:rPr>
        <w:tab/>
      </w:r>
      <w:r w:rsidR="00FC1CFD">
        <w:rPr>
          <w:sz w:val="22"/>
          <w:szCs w:val="22"/>
        </w:rPr>
        <w:tab/>
      </w:r>
      <w:r w:rsidR="00FC1CFD">
        <w:rPr>
          <w:sz w:val="22"/>
          <w:szCs w:val="22"/>
        </w:rPr>
        <w:tab/>
      </w:r>
      <w:r w:rsidR="00FC1CFD">
        <w:rPr>
          <w:sz w:val="22"/>
          <w:szCs w:val="22"/>
        </w:rPr>
        <w:tab/>
      </w:r>
      <w:r w:rsidR="00C828CF">
        <w:rPr>
          <w:sz w:val="22"/>
          <w:szCs w:val="22"/>
        </w:rPr>
        <w:tab/>
      </w:r>
      <w:r w:rsidR="00A77374">
        <w:rPr>
          <w:sz w:val="22"/>
          <w:szCs w:val="22"/>
        </w:rPr>
        <w:t>Jo</w:t>
      </w:r>
      <w:r w:rsidR="00F12691">
        <w:rPr>
          <w:sz w:val="22"/>
          <w:szCs w:val="22"/>
        </w:rPr>
        <w:t xml:space="preserve">hn </w:t>
      </w:r>
      <w:r w:rsidR="003A4E96">
        <w:rPr>
          <w:sz w:val="22"/>
          <w:szCs w:val="22"/>
        </w:rPr>
        <w:t>J</w:t>
      </w:r>
      <w:r w:rsidR="00F12691">
        <w:rPr>
          <w:sz w:val="22"/>
          <w:szCs w:val="22"/>
        </w:rPr>
        <w:t xml:space="preserve">. </w:t>
      </w:r>
      <w:r w:rsidR="003A4E96">
        <w:rPr>
          <w:sz w:val="22"/>
          <w:szCs w:val="22"/>
        </w:rPr>
        <w:t>Schauble</w:t>
      </w:r>
    </w:p>
    <w:p w14:paraId="313253EA" w14:textId="77777777" w:rsidR="003A4E96" w:rsidRDefault="00456F8A">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A77374">
        <w:rPr>
          <w:sz w:val="22"/>
          <w:szCs w:val="22"/>
        </w:rPr>
        <w:t xml:space="preserve">Deputy </w:t>
      </w:r>
      <w:r w:rsidR="00FC1CFD">
        <w:rPr>
          <w:sz w:val="22"/>
          <w:szCs w:val="22"/>
        </w:rPr>
        <w:t xml:space="preserve">Chief, </w:t>
      </w:r>
      <w:r w:rsidR="003A4E96">
        <w:rPr>
          <w:sz w:val="22"/>
          <w:szCs w:val="22"/>
        </w:rPr>
        <w:t>Broadband Division</w:t>
      </w:r>
    </w:p>
    <w:p w14:paraId="72CA09C0" w14:textId="77777777" w:rsidR="00FC1CFD" w:rsidRDefault="00FC1CFD" w:rsidP="003A4E96">
      <w:pPr>
        <w:ind w:left="2880" w:firstLine="720"/>
        <w:rPr>
          <w:sz w:val="22"/>
          <w:szCs w:val="22"/>
        </w:rPr>
      </w:pPr>
      <w:r>
        <w:rPr>
          <w:sz w:val="22"/>
          <w:szCs w:val="22"/>
        </w:rPr>
        <w:t>Wireless Telecommunications Bureau</w:t>
      </w:r>
    </w:p>
    <w:sectPr w:rsidR="00FC1C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FB5AC" w14:textId="77777777" w:rsidR="00C94ED4" w:rsidRDefault="00C94ED4">
      <w:r>
        <w:separator/>
      </w:r>
    </w:p>
  </w:endnote>
  <w:endnote w:type="continuationSeparator" w:id="0">
    <w:p w14:paraId="20309691" w14:textId="77777777" w:rsidR="00C94ED4" w:rsidRDefault="00C94ED4">
      <w:r>
        <w:continuationSeparator/>
      </w:r>
    </w:p>
  </w:endnote>
  <w:endnote w:type="continuationNotice" w:id="1">
    <w:p w14:paraId="2372F2D5" w14:textId="77777777" w:rsidR="00C94ED4" w:rsidRDefault="00C94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00EB6" w14:textId="77777777" w:rsidR="00A9590F" w:rsidRDefault="00A95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143BF" w14:textId="77777777" w:rsidR="00A9590F" w:rsidRDefault="00A95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E71F" w14:textId="77777777" w:rsidR="00A9590F" w:rsidRDefault="00A9590F">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4E3735">
      <w:rPr>
        <w:rStyle w:val="PageNumber"/>
        <w:noProof/>
        <w:sz w:val="22"/>
        <w:szCs w:val="22"/>
      </w:rPr>
      <w:t>2</w:t>
    </w:r>
    <w:r>
      <w:rPr>
        <w:rStyle w:val="PageNumber"/>
        <w:sz w:val="22"/>
        <w:szCs w:val="22"/>
      </w:rPr>
      <w:fldChar w:fldCharType="end"/>
    </w:r>
  </w:p>
  <w:p w14:paraId="4A6356B2" w14:textId="77777777" w:rsidR="00A9590F" w:rsidRDefault="00A95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CF67" w14:textId="77777777" w:rsidR="00D0660E" w:rsidRDefault="00D06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8567" w14:textId="77777777" w:rsidR="00C94ED4" w:rsidRDefault="00C94ED4">
      <w:r>
        <w:separator/>
      </w:r>
    </w:p>
  </w:footnote>
  <w:footnote w:type="continuationSeparator" w:id="0">
    <w:p w14:paraId="3BA3C5C4" w14:textId="77777777" w:rsidR="00C94ED4" w:rsidRDefault="00C94ED4">
      <w:r>
        <w:continuationSeparator/>
      </w:r>
    </w:p>
  </w:footnote>
  <w:footnote w:type="continuationNotice" w:id="1">
    <w:p w14:paraId="73FBE403" w14:textId="77777777" w:rsidR="00C94ED4" w:rsidRDefault="00C94ED4"/>
  </w:footnote>
  <w:footnote w:id="2">
    <w:p w14:paraId="180451CF" w14:textId="4995D920" w:rsidR="003D137E" w:rsidRDefault="003D137E" w:rsidP="003D137E">
      <w:pPr>
        <w:pStyle w:val="FootnoteText"/>
        <w:spacing w:after="120"/>
      </w:pPr>
      <w:r>
        <w:rPr>
          <w:rStyle w:val="FootnoteReference"/>
        </w:rPr>
        <w:footnoteRef/>
      </w:r>
      <w:r>
        <w:t xml:space="preserve"> File No. </w:t>
      </w:r>
      <w:r w:rsidR="00416910" w:rsidRPr="00416910">
        <w:t>0007355697</w:t>
      </w:r>
      <w:r w:rsidR="00416910">
        <w:t xml:space="preserve"> (</w:t>
      </w:r>
      <w:r w:rsidR="00330625">
        <w:t>Application</w:t>
      </w:r>
      <w:r w:rsidR="00A825E1">
        <w:t>);</w:t>
      </w:r>
      <w:r w:rsidR="00D559A9">
        <w:t xml:space="preserve"> </w:t>
      </w:r>
      <w:r w:rsidR="00EA7B56">
        <w:t xml:space="preserve">Monterey County Superintendent of Schools . . . FCC Form 601:  Application for Educational Broadband Service (“EBS”) License </w:t>
      </w:r>
      <w:r w:rsidR="00A825E1">
        <w:t xml:space="preserve">(Waiver Request) (filed </w:t>
      </w:r>
      <w:r w:rsidR="00B25FD9">
        <w:t>July 22</w:t>
      </w:r>
      <w:r w:rsidR="00A825E1">
        <w:t>, 2016)</w:t>
      </w:r>
      <w:r>
        <w:t>.</w:t>
      </w:r>
    </w:p>
  </w:footnote>
  <w:footnote w:id="3">
    <w:p w14:paraId="78C33901" w14:textId="77777777" w:rsidR="003D137E" w:rsidRDefault="003D137E" w:rsidP="003D137E">
      <w:pPr>
        <w:pStyle w:val="FootnoteText"/>
        <w:spacing w:after="120"/>
      </w:pPr>
      <w:r>
        <w:rPr>
          <w:rStyle w:val="FootnoteReference"/>
        </w:rPr>
        <w:footnoteRef/>
      </w:r>
      <w:r>
        <w:t xml:space="preserve"> 47 CFR § 1.913(b).</w:t>
      </w:r>
    </w:p>
  </w:footnote>
  <w:footnote w:id="4">
    <w:p w14:paraId="746ECE27" w14:textId="77777777" w:rsidR="00A9590F" w:rsidRDefault="00A9590F">
      <w:pPr>
        <w:pStyle w:val="FootnoteText"/>
        <w:spacing w:after="120"/>
      </w:pPr>
      <w:r>
        <w:rPr>
          <w:rStyle w:val="FootnoteReference"/>
        </w:rPr>
        <w:footnoteRef/>
      </w:r>
      <w:r>
        <w:t xml:space="preserve"> </w:t>
      </w:r>
      <w:r>
        <w:rPr>
          <w:i/>
        </w:rPr>
        <w:t>See</w:t>
      </w:r>
      <w:r>
        <w:t xml:space="preserve"> </w:t>
      </w:r>
      <w:r w:rsidRPr="00A825E1">
        <w:rPr>
          <w:i/>
        </w:rPr>
        <w:t>Educational Television</w:t>
      </w:r>
      <w:r>
        <w:t xml:space="preserve">, </w:t>
      </w:r>
      <w:r w:rsidRPr="00A825E1">
        <w:t>Report and Order</w:t>
      </w:r>
      <w:r>
        <w:t xml:space="preserve">, 39 FCC 846 (1963), </w:t>
      </w:r>
      <w:r>
        <w:rPr>
          <w:i/>
        </w:rPr>
        <w:t>recon. denied</w:t>
      </w:r>
      <w:r>
        <w:t xml:space="preserve"> 39 FCC 873 (1964) (</w:t>
      </w:r>
      <w:r>
        <w:rPr>
          <w:i/>
        </w:rPr>
        <w:t>ETV Decision</w:t>
      </w:r>
      <w:r>
        <w:t>).</w:t>
      </w:r>
    </w:p>
  </w:footnote>
  <w:footnote w:id="5">
    <w:p w14:paraId="59E7927F" w14:textId="77777777" w:rsidR="00A9590F" w:rsidRDefault="00A9590F">
      <w:pPr>
        <w:pStyle w:val="FootnoteText"/>
        <w:spacing w:after="120"/>
      </w:pPr>
      <w:r>
        <w:rPr>
          <w:rStyle w:val="FootnoteReference"/>
        </w:rPr>
        <w:footnoteRef/>
      </w:r>
      <w:r>
        <w:t xml:space="preserve">  </w:t>
      </w:r>
      <w:r>
        <w:rPr>
          <w:i/>
        </w:rPr>
        <w:t>See</w:t>
      </w:r>
      <w:r>
        <w:t xml:space="preserve"> </w:t>
      </w:r>
      <w:r w:rsidRPr="00A825E1">
        <w:rPr>
          <w:i/>
        </w:rPr>
        <w:t>Amendment of the Commission’s Rules With Regard to the Instructional Television Fixed Service, the Multipoint Distribution Service, and the Private Operational Fixed Microwave Service; and Applications for an Experimental Station and Establishment of Multi-Channel Systems</w:t>
      </w:r>
      <w:r>
        <w:t xml:space="preserve">, </w:t>
      </w:r>
      <w:r w:rsidRPr="00A825E1">
        <w:t>Report and Order</w:t>
      </w:r>
      <w:r>
        <w:t xml:space="preserve">, 48 Fed. </w:t>
      </w:r>
      <w:smartTag w:uri="urn:schemas-microsoft-com:office:smarttags" w:element="Street">
        <w:r>
          <w:t>Reg.</w:t>
        </w:r>
      </w:smartTag>
      <w:r w:rsidR="00A825E1">
        <w:t xml:space="preserve"> 33873, 33875, para.</w:t>
      </w:r>
      <w:r>
        <w:t xml:space="preserve"> 9 (1983) (</w:t>
      </w:r>
      <w:r>
        <w:rPr>
          <w:i/>
        </w:rPr>
        <w:t>1983 R&amp;O</w:t>
      </w:r>
      <w:r>
        <w:t>) (</w:t>
      </w:r>
      <w:r>
        <w:rPr>
          <w:i/>
        </w:rPr>
        <w:t>citing ETV Decision</w:t>
      </w:r>
      <w:r w:rsidR="00A825E1">
        <w:t>, 39 FCC 846, 853, para 25</w:t>
      </w:r>
      <w:r>
        <w:t>).</w:t>
      </w:r>
    </w:p>
  </w:footnote>
  <w:footnote w:id="6">
    <w:p w14:paraId="23EBF45F" w14:textId="77777777" w:rsidR="00A9590F" w:rsidRDefault="00A9590F">
      <w:pPr>
        <w:pStyle w:val="FootnoteText"/>
        <w:spacing w:after="120"/>
      </w:pPr>
      <w:r>
        <w:rPr>
          <w:rStyle w:val="FootnoteReference"/>
        </w:rPr>
        <w:footnoteRef/>
      </w:r>
      <w:r>
        <w:t xml:space="preserve"> </w:t>
      </w:r>
      <w:r>
        <w:rPr>
          <w:i/>
        </w:rPr>
        <w:t>See</w:t>
      </w:r>
      <w:r>
        <w:t xml:space="preserve"> </w:t>
      </w:r>
      <w:r w:rsidRPr="00A825E1">
        <w:rPr>
          <w:i/>
        </w:rPr>
        <w:t>Amendment of Parts 2,</w:t>
      </w:r>
      <w:r w:rsidR="00A825E1" w:rsidRPr="00A825E1">
        <w:rPr>
          <w:i/>
        </w:rPr>
        <w:t xml:space="preserve"> </w:t>
      </w:r>
      <w:r w:rsidRPr="00A825E1">
        <w:rPr>
          <w:i/>
        </w:rPr>
        <w:t>21,</w:t>
      </w:r>
      <w:r w:rsidR="00A825E1" w:rsidRPr="00A825E1">
        <w:rPr>
          <w:i/>
        </w:rPr>
        <w:t xml:space="preserve"> </w:t>
      </w:r>
      <w:r w:rsidRPr="00A825E1">
        <w:rPr>
          <w:i/>
        </w:rPr>
        <w:t>74 and 94 of the Commission’s Rules and Regulations in regard to frequency allocation to the Instructional Television Fixed Service, the Multipoint Distribution Service, and the Private Operational Fixed Microwave Service</w:t>
      </w:r>
      <w:r>
        <w:t xml:space="preserve">, </w:t>
      </w:r>
      <w:r w:rsidRPr="00A825E1">
        <w:t>Report and Order</w:t>
      </w:r>
      <w:r>
        <w:rPr>
          <w:i/>
        </w:rPr>
        <w:t>,</w:t>
      </w:r>
      <w:r>
        <w:t xml:space="preserve"> 94 FCC 2d 1203 (1983) (</w:t>
      </w:r>
      <w:r>
        <w:rPr>
          <w:i/>
        </w:rPr>
        <w:t>First Leasing Decision</w:t>
      </w:r>
      <w:r>
        <w:t xml:space="preserve">). </w:t>
      </w:r>
    </w:p>
  </w:footnote>
  <w:footnote w:id="7">
    <w:p w14:paraId="2E0A9902" w14:textId="77777777" w:rsidR="00A9590F" w:rsidRDefault="00A9590F">
      <w:pPr>
        <w:pStyle w:val="FootnoteText"/>
        <w:spacing w:after="120"/>
      </w:pPr>
      <w:r>
        <w:rPr>
          <w:rStyle w:val="FootnoteReference"/>
        </w:rPr>
        <w:footnoteRef/>
      </w:r>
      <w:r>
        <w:t xml:space="preserve"> </w:t>
      </w:r>
      <w:smartTag w:uri="urn:schemas-microsoft-com:office:smarttags" w:element="place">
        <w:smartTag w:uri="urn:schemas-microsoft-com:office:smarttags" w:element="address">
          <w:r>
            <w:rPr>
              <w:i/>
            </w:rPr>
            <w:t>Id</w:t>
          </w:r>
          <w:r>
            <w:t>.</w:t>
          </w:r>
        </w:smartTag>
      </w:smartTag>
      <w:r>
        <w:t xml:space="preserve"> at 1206-07</w:t>
      </w:r>
      <w:r w:rsidR="00C85980">
        <w:t>,</w:t>
      </w:r>
      <w:r>
        <w:t xml:space="preserve"> </w:t>
      </w:r>
      <w:r w:rsidR="00C85980">
        <w:t>para.</w:t>
      </w:r>
      <w:r>
        <w:t xml:space="preserve"> 4.</w:t>
      </w:r>
    </w:p>
  </w:footnote>
  <w:footnote w:id="8">
    <w:p w14:paraId="679CB9EA" w14:textId="77777777" w:rsidR="00A9590F" w:rsidRPr="00764A1C" w:rsidRDefault="00A9590F" w:rsidP="00A93A92">
      <w:pPr>
        <w:pStyle w:val="FootnoteText"/>
        <w:spacing w:after="120"/>
        <w:rPr>
          <w:b/>
        </w:rPr>
      </w:pPr>
      <w:r>
        <w:rPr>
          <w:rStyle w:val="FootnoteReference"/>
        </w:rPr>
        <w:footnoteRef/>
      </w:r>
      <w:r>
        <w:t xml:space="preserve"> </w:t>
      </w:r>
      <w:r>
        <w:rPr>
          <w:i/>
        </w:rPr>
        <w:t>See</w:t>
      </w:r>
      <w:r>
        <w:t xml:space="preserve"> </w:t>
      </w:r>
      <w:r w:rsidRPr="00C85980">
        <w:rPr>
          <w:i/>
        </w:rPr>
        <w:t>Amendment of Parts 1, 21, 73, 74 and 101 of the Commission’s Rules to Facilitate the Provision of Fixed and Mobile Broadband Access, Educational and Other Advanced Services in the 2150-2162 and 2500-2690 MHz Bands</w:t>
      </w:r>
      <w:r w:rsidR="00C85980">
        <w:t>,</w:t>
      </w:r>
      <w:r>
        <w:t xml:space="preserve"> </w:t>
      </w:r>
      <w:r>
        <w:rPr>
          <w:i/>
        </w:rPr>
        <w:t>Notice of Proposed Rulemaking and Memorandum Opinion and Order</w:t>
      </w:r>
      <w:r>
        <w:t xml:space="preserve">, </w:t>
      </w:r>
      <w:r w:rsidR="00C85980">
        <w:t xml:space="preserve">18 FCC Rcd 6722, 6811, para. 226, 6825, para. </w:t>
      </w:r>
      <w:r>
        <w:t>260 (2003) (</w:t>
      </w:r>
      <w:r>
        <w:rPr>
          <w:i/>
        </w:rPr>
        <w:t>NPRM and MO&amp;O</w:t>
      </w:r>
      <w:r>
        <w:t>).</w:t>
      </w:r>
    </w:p>
  </w:footnote>
  <w:footnote w:id="9">
    <w:p w14:paraId="02953E32" w14:textId="77777777" w:rsidR="00A9590F" w:rsidRDefault="00A9590F">
      <w:pPr>
        <w:pStyle w:val="FootnoteText"/>
        <w:spacing w:after="120"/>
      </w:pPr>
      <w:r>
        <w:rPr>
          <w:rStyle w:val="FootnoteReference"/>
        </w:rPr>
        <w:footnoteRef/>
      </w:r>
      <w:r>
        <w:t xml:space="preserve"> </w:t>
      </w:r>
      <w:r>
        <w:rPr>
          <w:i/>
        </w:rPr>
        <w:t>See NPRM and MO&amp;O</w:t>
      </w:r>
      <w:r>
        <w:t>, 18 FCC Rcd at 6811</w:t>
      </w:r>
      <w:r w:rsidR="00C85980">
        <w:t>,</w:t>
      </w:r>
      <w:r>
        <w:t xml:space="preserve"> </w:t>
      </w:r>
      <w:r w:rsidR="00C85980">
        <w:t>para.</w:t>
      </w:r>
      <w:r>
        <w:t xml:space="preserve"> 226, 68</w:t>
      </w:r>
      <w:r w:rsidR="00C85980">
        <w:t>25, para.</w:t>
      </w:r>
      <w:r>
        <w:t xml:space="preserve"> 260.</w:t>
      </w:r>
    </w:p>
  </w:footnote>
  <w:footnote w:id="10">
    <w:p w14:paraId="327FC521" w14:textId="77777777" w:rsidR="00A9590F" w:rsidRDefault="00A9590F">
      <w:pPr>
        <w:pStyle w:val="FootnoteText"/>
        <w:spacing w:after="120"/>
      </w:pPr>
      <w:r>
        <w:rPr>
          <w:rStyle w:val="FootnoteReference"/>
        </w:rPr>
        <w:footnoteRef/>
      </w:r>
      <w:r>
        <w:t xml:space="preserve">  </w:t>
      </w:r>
      <w:r>
        <w:rPr>
          <w:i/>
        </w:rPr>
        <w:t>See</w:t>
      </w:r>
      <w:r>
        <w:t xml:space="preserve"> </w:t>
      </w:r>
      <w:r w:rsidRPr="00C85980">
        <w:rPr>
          <w:i/>
        </w:rPr>
        <w:t>Amendment of Parts 1, 21, 73, 74 and 101 of the Commission’s Rules to Facilitate the Provision of fixed and Mobile Broadband Access, Educational and Other advanced Services in the 2150-2162 and 2500-2690 Bands</w:t>
      </w:r>
      <w:r w:rsidR="00C85980" w:rsidRPr="00C85980">
        <w:t>,</w:t>
      </w:r>
      <w:r w:rsidRPr="00C85980">
        <w:t xml:space="preserve">  Second Memorandum Opinion and Order</w:t>
      </w:r>
      <w:r>
        <w:t>, 18 FCC Rcd 16848</w:t>
      </w:r>
      <w:r w:rsidR="00C85980">
        <w:t>,</w:t>
      </w:r>
      <w:r>
        <w:t xml:space="preserve"> </w:t>
      </w:r>
      <w:r w:rsidR="00C85980">
        <w:t>para.</w:t>
      </w:r>
      <w:r>
        <w:t xml:space="preserve"> 1 (2003) (</w:t>
      </w:r>
      <w:r>
        <w:rPr>
          <w:i/>
        </w:rPr>
        <w:t>Second MO&amp;O</w:t>
      </w:r>
      <w:r>
        <w:t>).</w:t>
      </w:r>
    </w:p>
  </w:footnote>
  <w:footnote w:id="11">
    <w:p w14:paraId="6ABA48F9" w14:textId="77777777" w:rsidR="00A9590F" w:rsidRDefault="00A9590F">
      <w:pPr>
        <w:pStyle w:val="FootnoteText"/>
        <w:spacing w:after="120"/>
      </w:pPr>
      <w:r>
        <w:rPr>
          <w:rStyle w:val="FootnoteReference"/>
        </w:rPr>
        <w:footnoteRef/>
      </w:r>
      <w:r>
        <w:t xml:space="preserve">  </w:t>
      </w:r>
      <w:r>
        <w:rPr>
          <w:i/>
        </w:rPr>
        <w:t>Id</w:t>
      </w:r>
      <w:r>
        <w:t>.</w:t>
      </w:r>
    </w:p>
  </w:footnote>
  <w:footnote w:id="12">
    <w:p w14:paraId="078E5BF7" w14:textId="77777777" w:rsidR="00A9590F" w:rsidRDefault="00A9590F">
      <w:pPr>
        <w:pStyle w:val="FootnoteText"/>
        <w:spacing w:after="120"/>
      </w:pPr>
      <w:r>
        <w:rPr>
          <w:rStyle w:val="FootnoteReference"/>
        </w:rPr>
        <w:footnoteRef/>
      </w:r>
      <w:r>
        <w:t xml:space="preserve">  </w:t>
      </w:r>
      <w:r>
        <w:rPr>
          <w:i/>
        </w:rPr>
        <w:t>See</w:t>
      </w:r>
      <w:r>
        <w:t xml:space="preserve"> </w:t>
      </w:r>
      <w:r w:rsidRPr="00C85980">
        <w:rPr>
          <w:i/>
        </w:rPr>
        <w:t>Amendment of Parts 1, 21, 73, 74 and 101 of the Commission’s Rules to Facilitate the Provision of fixed and Mobile Broadband Access, Educational and Other advanced Services in the 2150-2162 and 2500-2690 MHz Bands</w:t>
      </w:r>
      <w:r w:rsidR="00C85980">
        <w:t>,</w:t>
      </w:r>
      <w:r>
        <w:t xml:space="preserve">  </w:t>
      </w:r>
      <w:r w:rsidRPr="00C85980">
        <w:t>Report and Order and Further Notice of Proposed Rulemaking</w:t>
      </w:r>
      <w:r>
        <w:t>, 19 FCC Rcd 14165 (2004) (</w:t>
      </w:r>
      <w:r>
        <w:rPr>
          <w:i/>
        </w:rPr>
        <w:t>BRS/EBS R&amp;O and FNPRM</w:t>
      </w:r>
      <w:r>
        <w:t>).</w:t>
      </w:r>
    </w:p>
  </w:footnote>
  <w:footnote w:id="13">
    <w:p w14:paraId="7B6ACE98" w14:textId="77777777" w:rsidR="00A9590F" w:rsidRDefault="00A9590F" w:rsidP="00330625">
      <w:pPr>
        <w:pStyle w:val="FootnoteText"/>
        <w:spacing w:after="120"/>
      </w:pPr>
      <w:r>
        <w:rPr>
          <w:rStyle w:val="FootnoteReference"/>
        </w:rPr>
        <w:footnoteRef/>
      </w:r>
      <w:r>
        <w:t xml:space="preserve"> </w:t>
      </w:r>
      <w:r>
        <w:rPr>
          <w:i/>
        </w:rPr>
        <w:t>See</w:t>
      </w:r>
      <w:r>
        <w:t xml:space="preserve"> </w:t>
      </w:r>
      <w:r w:rsidRPr="00C85980">
        <w:rPr>
          <w:i/>
        </w:rPr>
        <w:t>Amendment of Parts 1, 21, 73, 74 and 101 of the Commission’s Rules to Facilitate the Provision of Fixed and Mobile Broadband Access, Educational and Other Advanced Services in the 2150-2162 and 2500-2690 MHz Bands</w:t>
      </w:r>
      <w:r>
        <w:t xml:space="preserve">, </w:t>
      </w:r>
      <w:r w:rsidRPr="00330625">
        <w:t>Third Order on Reconsideration and Sixth Memorandum Opinion and Order and Fourth Memorandum Opinion and Order and Second Further Notice of Proposed Rulemaking and Declaratory Ruling,</w:t>
      </w:r>
      <w:r>
        <w:t xml:space="preserve"> </w:t>
      </w:r>
      <w:r w:rsidR="00330625">
        <w:t>23 FCC Rcd 5992, 6060-</w:t>
      </w:r>
      <w:r>
        <w:t>68</w:t>
      </w:r>
      <w:r w:rsidR="00330625">
        <w:t>, paras.</w:t>
      </w:r>
      <w:r>
        <w:t xml:space="preserve"> 180-204 (2008) (</w:t>
      </w:r>
      <w:r>
        <w:rPr>
          <w:i/>
        </w:rPr>
        <w:t>Second FNPRM</w:t>
      </w:r>
      <w:r>
        <w:t>).</w:t>
      </w:r>
    </w:p>
  </w:footnote>
  <w:footnote w:id="14">
    <w:p w14:paraId="4B84A271" w14:textId="77777777" w:rsidR="006A15F5" w:rsidRDefault="006A15F5" w:rsidP="006A15F5">
      <w:pPr>
        <w:pStyle w:val="FootnoteText"/>
        <w:spacing w:after="120"/>
      </w:pPr>
      <w:r>
        <w:rPr>
          <w:rStyle w:val="FootnoteReference"/>
        </w:rPr>
        <w:footnoteRef/>
      </w:r>
      <w:r>
        <w:t xml:space="preserve"> The position of County Superintendent was established in the California Constitution. </w:t>
      </w:r>
      <w:r w:rsidRPr="006A15F5">
        <w:rPr>
          <w:smallCaps/>
        </w:rPr>
        <w:t>Cal. Const</w:t>
      </w:r>
      <w:r>
        <w:t>. art. IX, § 3.</w:t>
      </w:r>
    </w:p>
  </w:footnote>
  <w:footnote w:id="15">
    <w:p w14:paraId="3A58A164" w14:textId="498D8E41" w:rsidR="00241095" w:rsidRDefault="00241095" w:rsidP="00330625">
      <w:pPr>
        <w:pStyle w:val="FootnoteText"/>
        <w:spacing w:after="120"/>
      </w:pPr>
      <w:r>
        <w:rPr>
          <w:rStyle w:val="FootnoteReference"/>
        </w:rPr>
        <w:footnoteRef/>
      </w:r>
      <w:r>
        <w:t xml:space="preserve"> </w:t>
      </w:r>
      <w:r w:rsidR="00330625">
        <w:t xml:space="preserve">Monterey County Office of Education, 2014-15 Monterey County Education Report to the Community at 2, </w:t>
      </w:r>
      <w:hyperlink r:id="rId1" w:history="1">
        <w:r w:rsidR="00330625" w:rsidRPr="000262AA">
          <w:rPr>
            <w:rStyle w:val="Hyperlink"/>
          </w:rPr>
          <w:t>http://www.mcoeannualen.org/</w:t>
        </w:r>
      </w:hyperlink>
      <w:r w:rsidR="00330625">
        <w:t xml:space="preserve"> (MCOE Annual Report); Monterey County Office of Education, About MCOE, </w:t>
      </w:r>
      <w:hyperlink r:id="rId2" w:history="1">
        <w:r w:rsidR="00330625" w:rsidRPr="000262AA">
          <w:rPr>
            <w:rStyle w:val="Hyperlink"/>
          </w:rPr>
          <w:t>http://www.montereycoe.org/about/index</w:t>
        </w:r>
      </w:hyperlink>
      <w:r w:rsidR="00330625">
        <w:t xml:space="preserve"> (last visited Nov. </w:t>
      </w:r>
      <w:r w:rsidR="003D6138">
        <w:t>4</w:t>
      </w:r>
      <w:r w:rsidR="00330625">
        <w:t>, 2016).</w:t>
      </w:r>
    </w:p>
  </w:footnote>
  <w:footnote w:id="16">
    <w:p w14:paraId="75345915" w14:textId="77777777" w:rsidR="00241095" w:rsidRDefault="00241095" w:rsidP="00330625">
      <w:pPr>
        <w:pStyle w:val="FootnoteText"/>
        <w:spacing w:after="120"/>
      </w:pPr>
      <w:r>
        <w:rPr>
          <w:rStyle w:val="FootnoteReference"/>
        </w:rPr>
        <w:footnoteRef/>
      </w:r>
      <w:r>
        <w:t xml:space="preserve"> MCO</w:t>
      </w:r>
      <w:r w:rsidR="00330625">
        <w:t>E Annual R</w:t>
      </w:r>
      <w:r>
        <w:t>eport</w:t>
      </w:r>
      <w:r w:rsidR="00330625">
        <w:t xml:space="preserve"> at 2</w:t>
      </w:r>
      <w:r>
        <w:t>.</w:t>
      </w:r>
    </w:p>
  </w:footnote>
  <w:footnote w:id="17">
    <w:p w14:paraId="744A8013" w14:textId="622B4FA5" w:rsidR="00241095" w:rsidRDefault="00241095" w:rsidP="00330625">
      <w:pPr>
        <w:pStyle w:val="FootnoteText"/>
        <w:spacing w:after="120"/>
      </w:pPr>
      <w:r>
        <w:rPr>
          <w:rStyle w:val="FootnoteReference"/>
        </w:rPr>
        <w:footnoteRef/>
      </w:r>
      <w:r>
        <w:t xml:space="preserve"> </w:t>
      </w:r>
      <w:r w:rsidR="00330625">
        <w:t xml:space="preserve">Waiver Request at </w:t>
      </w:r>
      <w:r w:rsidR="0048717F">
        <w:t>1</w:t>
      </w:r>
      <w:r w:rsidR="00660C15">
        <w:t xml:space="preserve">; </w:t>
      </w:r>
      <w:r w:rsidR="00330625">
        <w:t xml:space="preserve">Monterey County Office of Education, About MCOE, </w:t>
      </w:r>
      <w:hyperlink r:id="rId3" w:history="1">
        <w:r w:rsidR="00330625" w:rsidRPr="000262AA">
          <w:rPr>
            <w:rStyle w:val="Hyperlink"/>
          </w:rPr>
          <w:t>http://www.montereycoe.org/about/index</w:t>
        </w:r>
      </w:hyperlink>
      <w:r w:rsidR="00330625">
        <w:t xml:space="preserve"> (last visited Nov. </w:t>
      </w:r>
      <w:r w:rsidR="003D6138">
        <w:t>4</w:t>
      </w:r>
      <w:r w:rsidR="00330625">
        <w:t>, 2016).</w:t>
      </w:r>
      <w:r w:rsidR="00660C15">
        <w:t xml:space="preserve"> </w:t>
      </w:r>
    </w:p>
  </w:footnote>
  <w:footnote w:id="18">
    <w:p w14:paraId="69204612" w14:textId="59340139" w:rsidR="00660C15" w:rsidRDefault="00660C15" w:rsidP="00330625">
      <w:pPr>
        <w:pStyle w:val="FootnoteText"/>
        <w:spacing w:after="120"/>
      </w:pPr>
      <w:r>
        <w:rPr>
          <w:rStyle w:val="FootnoteReference"/>
        </w:rPr>
        <w:footnoteRef/>
      </w:r>
      <w:r w:rsidR="00330625">
        <w:t xml:space="preserve"> </w:t>
      </w:r>
      <w:r w:rsidR="00330625" w:rsidRPr="00330625">
        <w:rPr>
          <w:i/>
        </w:rPr>
        <w:t>See</w:t>
      </w:r>
      <w:r w:rsidR="00330625">
        <w:t xml:space="preserve"> Monterey County Superintendent of Schools, WNC366 Demonstration of Substantial S</w:t>
      </w:r>
      <w:r>
        <w:t>ervice</w:t>
      </w:r>
      <w:r w:rsidR="00330625">
        <w:t>,</w:t>
      </w:r>
      <w:r>
        <w:t xml:space="preserve"> File N</w:t>
      </w:r>
      <w:r w:rsidR="00330625">
        <w:t>o.</w:t>
      </w:r>
      <w:r>
        <w:t xml:space="preserve"> 0004</w:t>
      </w:r>
      <w:r w:rsidR="0051658F">
        <w:t>905275</w:t>
      </w:r>
      <w:r w:rsidR="00330625">
        <w:t xml:space="preserve"> (filed</w:t>
      </w:r>
      <w:r>
        <w:t xml:space="preserve"> </w:t>
      </w:r>
      <w:r w:rsidR="0051658F">
        <w:t>Oct</w:t>
      </w:r>
      <w:r w:rsidR="0048717F">
        <w:t>.</w:t>
      </w:r>
      <w:r w:rsidR="0051658F">
        <w:t xml:space="preserve"> 27</w:t>
      </w:r>
      <w:r>
        <w:t>, 2011)</w:t>
      </w:r>
      <w:r w:rsidR="00330625">
        <w:t xml:space="preserve">. </w:t>
      </w:r>
    </w:p>
  </w:footnote>
  <w:footnote w:id="19">
    <w:p w14:paraId="3CBE4B36" w14:textId="63602CC6" w:rsidR="002E6B2F" w:rsidRDefault="002E6B2F" w:rsidP="002E6B2F">
      <w:pPr>
        <w:pStyle w:val="FootnoteText"/>
        <w:spacing w:after="120"/>
      </w:pPr>
      <w:r>
        <w:rPr>
          <w:rStyle w:val="FootnoteReference"/>
        </w:rPr>
        <w:footnoteRef/>
      </w:r>
      <w:r>
        <w:t xml:space="preserve">  File No.</w:t>
      </w:r>
      <w:r w:rsidR="00D84CBB">
        <w:t xml:space="preserve"> 0007328902 (filed June 29, 2016).</w:t>
      </w:r>
    </w:p>
  </w:footnote>
  <w:footnote w:id="20">
    <w:p w14:paraId="6B581900" w14:textId="14C0815C" w:rsidR="002E6B2F" w:rsidRPr="00001B6D" w:rsidRDefault="002E6B2F" w:rsidP="002E6B2F">
      <w:pPr>
        <w:pStyle w:val="FootnoteText"/>
        <w:spacing w:after="120"/>
      </w:pPr>
      <w:r>
        <w:rPr>
          <w:rStyle w:val="FootnoteReference"/>
        </w:rPr>
        <w:footnoteRef/>
      </w:r>
      <w:r>
        <w:t xml:space="preserve">  </w:t>
      </w:r>
      <w:r w:rsidR="00CF3647" w:rsidRPr="00CF3647">
        <w:t>File No. 0007328902 (</w:t>
      </w:r>
      <w:r w:rsidR="00CF3647">
        <w:t>granted Oct.</w:t>
      </w:r>
      <w:r w:rsidR="00CF3647" w:rsidRPr="00CF3647">
        <w:t xml:space="preserve"> </w:t>
      </w:r>
      <w:r w:rsidR="00CF3647">
        <w:t>11</w:t>
      </w:r>
      <w:r w:rsidR="00CF3647" w:rsidRPr="00CF3647">
        <w:t>, 2016).</w:t>
      </w:r>
    </w:p>
  </w:footnote>
  <w:footnote w:id="21">
    <w:p w14:paraId="162D1368" w14:textId="4EF74B02" w:rsidR="00021AFE" w:rsidRDefault="00021AFE" w:rsidP="00330625">
      <w:pPr>
        <w:pStyle w:val="FootnoteText"/>
        <w:spacing w:after="120"/>
      </w:pPr>
      <w:r>
        <w:rPr>
          <w:rStyle w:val="FootnoteReference"/>
        </w:rPr>
        <w:footnoteRef/>
      </w:r>
      <w:r>
        <w:t xml:space="preserve"> </w:t>
      </w:r>
      <w:r w:rsidR="00330625">
        <w:t>Application</w:t>
      </w:r>
      <w:r>
        <w:t>.</w:t>
      </w:r>
    </w:p>
  </w:footnote>
  <w:footnote w:id="22">
    <w:p w14:paraId="5A4E41B7" w14:textId="6DBF532F" w:rsidR="00021AFE" w:rsidRDefault="00021AFE" w:rsidP="00330625">
      <w:pPr>
        <w:pStyle w:val="FootnoteText"/>
        <w:spacing w:after="120"/>
      </w:pPr>
      <w:r>
        <w:rPr>
          <w:rStyle w:val="FootnoteReference"/>
        </w:rPr>
        <w:footnoteRef/>
      </w:r>
      <w:r>
        <w:t xml:space="preserve"> </w:t>
      </w:r>
      <w:r w:rsidR="006E2BFD">
        <w:t>Waiver Request</w:t>
      </w:r>
      <w:r>
        <w:t>.</w:t>
      </w:r>
      <w:r w:rsidRPr="00A9590F">
        <w:t xml:space="preserve"> </w:t>
      </w:r>
      <w:r>
        <w:t>Section 1.913(b) of the Commission’s Rules states in relevant part that “all applications and other filings using FCC Forms 601 through 608 or associated schedules must be filed electronically in accordance with the electronic filing inst</w:t>
      </w:r>
      <w:r w:rsidR="006E2BFD">
        <w:t>ructions provided by ULS.” 47 CFR</w:t>
      </w:r>
      <w:r>
        <w:t xml:space="preserve"> § 1.913(b).</w:t>
      </w:r>
    </w:p>
  </w:footnote>
  <w:footnote w:id="23">
    <w:p w14:paraId="073BE785" w14:textId="561F9B71" w:rsidR="0022401F" w:rsidRDefault="0022401F" w:rsidP="006E2BFD">
      <w:pPr>
        <w:pStyle w:val="FootnoteText"/>
        <w:spacing w:after="120"/>
      </w:pPr>
      <w:r>
        <w:rPr>
          <w:rStyle w:val="FootnoteReference"/>
        </w:rPr>
        <w:footnoteRef/>
      </w:r>
      <w:r>
        <w:t xml:space="preserve"> </w:t>
      </w:r>
      <w:r w:rsidR="006E2BFD">
        <w:t>Waiver Request</w:t>
      </w:r>
      <w:r>
        <w:t xml:space="preserve"> at </w:t>
      </w:r>
      <w:r w:rsidR="0048717F">
        <w:t>1</w:t>
      </w:r>
      <w:r>
        <w:t>.</w:t>
      </w:r>
    </w:p>
  </w:footnote>
  <w:footnote w:id="24">
    <w:p w14:paraId="202D8B39" w14:textId="2A7E25F8" w:rsidR="00C848A5" w:rsidRDefault="00C848A5" w:rsidP="00330625">
      <w:pPr>
        <w:pStyle w:val="FootnoteText"/>
        <w:spacing w:after="120"/>
      </w:pPr>
      <w:r>
        <w:rPr>
          <w:rStyle w:val="FootnoteReference"/>
        </w:rPr>
        <w:footnoteRef/>
      </w:r>
      <w:r>
        <w:t xml:space="preserve"> </w:t>
      </w:r>
      <w:r w:rsidR="006E2BFD">
        <w:t>2016 Waiver Request</w:t>
      </w:r>
      <w:r>
        <w:t xml:space="preserve"> at </w:t>
      </w:r>
      <w:r w:rsidR="0048717F">
        <w:t>2</w:t>
      </w:r>
      <w:r w:rsidR="006E2BFD">
        <w:t xml:space="preserve">.  </w:t>
      </w:r>
      <w:r w:rsidR="006E2BFD" w:rsidRPr="006E2BFD">
        <w:rPr>
          <w:i/>
        </w:rPr>
        <w:t>See</w:t>
      </w:r>
      <w:r w:rsidR="006E2BFD">
        <w:rPr>
          <w:i/>
        </w:rPr>
        <w:t xml:space="preserve"> </w:t>
      </w:r>
      <w:r w:rsidR="006E2BFD">
        <w:t>United States Census Bureau, American Fact Finder, Educational Attainment</w:t>
      </w:r>
      <w:r w:rsidR="00F669CF">
        <w:t xml:space="preserve"> </w:t>
      </w:r>
      <w:r w:rsidR="006E2BFD">
        <w:t>2010-2014 American Community Survey 5-Year Estimates,</w:t>
      </w:r>
      <w:r w:rsidR="0074498F">
        <w:t xml:space="preserve"> </w:t>
      </w:r>
      <w:hyperlink r:id="rId4" w:history="1">
        <w:r w:rsidR="0074498F" w:rsidRPr="004F6FE8">
          <w:rPr>
            <w:rStyle w:val="Hyperlink"/>
          </w:rPr>
          <w:t>http://factfinder.census.gov/faces/tableservices/jsf/pages/productview.xhtml?pid=ACS_14_5YR_S1501&amp;src=pt</w:t>
        </w:r>
      </w:hyperlink>
      <w:r w:rsidR="0074498F">
        <w:t xml:space="preserve"> </w:t>
      </w:r>
      <w:r w:rsidR="006E2BFD">
        <w:t xml:space="preserve">(last visited Nov. </w:t>
      </w:r>
      <w:r w:rsidR="003D6138">
        <w:t>4</w:t>
      </w:r>
      <w:r w:rsidR="006E2BFD">
        <w:t>, 2016)</w:t>
      </w:r>
      <w:r w:rsidR="0074498F">
        <w:t xml:space="preserve"> (In 2014, the percentage of the population 25 years and older to graduate high school or higher is 86.3% nationwide, 81.5% in California, and 61.1% in Salinas)</w:t>
      </w:r>
      <w:r>
        <w:t>.</w:t>
      </w:r>
      <w:r w:rsidR="0074498F">
        <w:t xml:space="preserve"> </w:t>
      </w:r>
    </w:p>
  </w:footnote>
  <w:footnote w:id="25">
    <w:p w14:paraId="0E42BC23" w14:textId="7E25CBA8" w:rsidR="00A26E5D" w:rsidRDefault="00A26E5D" w:rsidP="00330625">
      <w:pPr>
        <w:pStyle w:val="FootnoteText"/>
        <w:spacing w:after="120"/>
      </w:pPr>
      <w:r>
        <w:rPr>
          <w:rStyle w:val="FootnoteReference"/>
        </w:rPr>
        <w:footnoteRef/>
      </w:r>
      <w:r>
        <w:t xml:space="preserve"> </w:t>
      </w:r>
      <w:r w:rsidR="001940DF">
        <w:t>2016 Waiver Request at 2</w:t>
      </w:r>
      <w:r w:rsidR="0091422C">
        <w:t xml:space="preserve">.  Lifeline provides discounted stand-alone broadband service and bundled voice and data service packages to low-income </w:t>
      </w:r>
      <w:r w:rsidR="0074498F">
        <w:t>consumers</w:t>
      </w:r>
      <w:r w:rsidR="0091422C">
        <w:t xml:space="preserve">. </w:t>
      </w:r>
      <w:r w:rsidR="0091422C" w:rsidRPr="001940DF">
        <w:rPr>
          <w:i/>
        </w:rPr>
        <w:t>See</w:t>
      </w:r>
      <w:r w:rsidR="0091422C">
        <w:t xml:space="preserve"> </w:t>
      </w:r>
      <w:r w:rsidR="00F669CF">
        <w:t xml:space="preserve">FCC, Lifeline Program for Low-Income Consumers, </w:t>
      </w:r>
      <w:hyperlink r:id="rId5" w:history="1">
        <w:r w:rsidR="0091422C" w:rsidRPr="004F6FE8">
          <w:rPr>
            <w:rStyle w:val="Hyperlink"/>
          </w:rPr>
          <w:t>https://www.fcc.gov/general/lifeline-program-low-income-consumers</w:t>
        </w:r>
      </w:hyperlink>
      <w:r w:rsidR="00F669CF">
        <w:t xml:space="preserve"> (last visited Nov. </w:t>
      </w:r>
      <w:r w:rsidR="003D6138">
        <w:t>4</w:t>
      </w:r>
      <w:r w:rsidR="00F669CF">
        <w:t>, 2016).</w:t>
      </w:r>
      <w:r w:rsidR="0091422C">
        <w:t xml:space="preserve">  The National Student Lunch Program provides free or discounted meals to children from families at or below 185 percent of the poverty level. </w:t>
      </w:r>
      <w:r w:rsidR="00F669CF">
        <w:t xml:space="preserve"> </w:t>
      </w:r>
      <w:r w:rsidR="00F669CF" w:rsidRPr="00F669CF">
        <w:rPr>
          <w:i/>
        </w:rPr>
        <w:t>See</w:t>
      </w:r>
      <w:r w:rsidR="00F669CF">
        <w:t xml:space="preserve"> U.S. Dept. of Agriculture, Food and Nutrition Serv., National School Lunch Program Fact Sheet,  </w:t>
      </w:r>
      <w:hyperlink r:id="rId6" w:history="1">
        <w:r w:rsidR="0074498F" w:rsidRPr="004F6FE8">
          <w:rPr>
            <w:rStyle w:val="Hyperlink"/>
          </w:rPr>
          <w:t>http://www.fns.usda.gov/sites/default/files/NSLPFactSheet.pdf</w:t>
        </w:r>
      </w:hyperlink>
      <w:r w:rsidR="00F669CF">
        <w:t xml:space="preserve"> (last visited Nov. 1, 2016).</w:t>
      </w:r>
      <w:r w:rsidR="0091422C">
        <w:t xml:space="preserve">  </w:t>
      </w:r>
      <w:r w:rsidR="00F669CF">
        <w:t>The</w:t>
      </w:r>
      <w:r w:rsidR="0091422C">
        <w:t xml:space="preserve"> National Student Lunch Program </w:t>
      </w:r>
      <w:r w:rsidR="00F669CF">
        <w:t>currently is among the</w:t>
      </w:r>
      <w:r w:rsidR="0074498F">
        <w:t xml:space="preserve"> federal or state program establishing eligibility for Lifeline benefits</w:t>
      </w:r>
      <w:r w:rsidR="00F669CF">
        <w:t>, but it will be removed from the default federal assistance eligibility on December 1, 2016</w:t>
      </w:r>
      <w:r w:rsidR="0074498F">
        <w:t>.</w:t>
      </w:r>
      <w:r w:rsidR="00F669CF">
        <w:t xml:space="preserve"> </w:t>
      </w:r>
      <w:r w:rsidR="00F669CF" w:rsidRPr="00F669CF">
        <w:rPr>
          <w:i/>
        </w:rPr>
        <w:t>See</w:t>
      </w:r>
      <w:r w:rsidR="00F669CF">
        <w:t xml:space="preserve"> </w:t>
      </w:r>
      <w:r w:rsidR="00F669CF" w:rsidRPr="00F669CF">
        <w:rPr>
          <w:i/>
        </w:rPr>
        <w:t>Lifeline and Link Up Reform and Modernization</w:t>
      </w:r>
      <w:r w:rsidR="00F669CF">
        <w:t xml:space="preserve">, Third Report and Order, Further Report and Order, and Order on Reconsideration, </w:t>
      </w:r>
      <w:r w:rsidR="00F669CF" w:rsidRPr="00F669CF">
        <w:t>31 FCC Rcd 3962</w:t>
      </w:r>
      <w:r w:rsidR="00F669CF">
        <w:t>, 4021, para. 167 (2016).</w:t>
      </w:r>
      <w:r w:rsidR="0091422C">
        <w:t xml:space="preserve">   </w:t>
      </w:r>
    </w:p>
  </w:footnote>
  <w:footnote w:id="26">
    <w:p w14:paraId="3138478F" w14:textId="0B584EFB" w:rsidR="00F669CF" w:rsidRDefault="00F669CF" w:rsidP="00F669CF">
      <w:pPr>
        <w:pStyle w:val="FootnoteText"/>
        <w:spacing w:after="120"/>
      </w:pPr>
      <w:r>
        <w:rPr>
          <w:rStyle w:val="FootnoteReference"/>
        </w:rPr>
        <w:footnoteRef/>
      </w:r>
      <w:r>
        <w:t xml:space="preserve"> </w:t>
      </w:r>
      <w:r w:rsidR="008631DC">
        <w:t>Waiver Request</w:t>
      </w:r>
      <w:r>
        <w:t xml:space="preserve"> at </w:t>
      </w:r>
      <w:r w:rsidR="003D6138">
        <w:t>1.</w:t>
      </w:r>
    </w:p>
  </w:footnote>
  <w:footnote w:id="27">
    <w:p w14:paraId="571DFF4E" w14:textId="1F826C95" w:rsidR="00211BFA" w:rsidRDefault="00211BFA" w:rsidP="00330625">
      <w:pPr>
        <w:pStyle w:val="FootnoteText"/>
        <w:spacing w:after="120"/>
      </w:pPr>
      <w:r>
        <w:rPr>
          <w:rStyle w:val="FootnoteReference"/>
        </w:rPr>
        <w:footnoteRef/>
      </w:r>
      <w:r>
        <w:t xml:space="preserve"> </w:t>
      </w:r>
      <w:r w:rsidR="008631DC">
        <w:t>Waiver Request</w:t>
      </w:r>
      <w:r w:rsidR="0070566F" w:rsidRPr="0070566F">
        <w:t xml:space="preserve"> at </w:t>
      </w:r>
      <w:r w:rsidR="003D6138">
        <w:t>2.</w:t>
      </w:r>
    </w:p>
  </w:footnote>
  <w:footnote w:id="28">
    <w:p w14:paraId="34D842AE" w14:textId="0D11FB9C" w:rsidR="0070566F" w:rsidRDefault="0070566F" w:rsidP="00330625">
      <w:pPr>
        <w:pStyle w:val="FootnoteText"/>
        <w:spacing w:after="120"/>
      </w:pPr>
      <w:r>
        <w:rPr>
          <w:rStyle w:val="FootnoteReference"/>
        </w:rPr>
        <w:footnoteRef/>
      </w:r>
      <w:r>
        <w:t xml:space="preserve"> </w:t>
      </w:r>
      <w:r w:rsidR="008631DC">
        <w:t>Waiver Request</w:t>
      </w:r>
      <w:r>
        <w:t xml:space="preserve"> at</w:t>
      </w:r>
      <w:r w:rsidR="003D6138">
        <w:t xml:space="preserve"> 1.</w:t>
      </w:r>
    </w:p>
  </w:footnote>
  <w:footnote w:id="29">
    <w:p w14:paraId="14F81554" w14:textId="43C5CAE3" w:rsidR="00EA706C" w:rsidRPr="00EA706C" w:rsidRDefault="00EA706C" w:rsidP="00EA706C">
      <w:pPr>
        <w:pStyle w:val="FootnoteText"/>
        <w:spacing w:after="120"/>
      </w:pPr>
      <w:r>
        <w:rPr>
          <w:rStyle w:val="FootnoteReference"/>
        </w:rPr>
        <w:footnoteRef/>
      </w:r>
      <w:r>
        <w:t xml:space="preserve"> Waiver Request at 2. </w:t>
      </w:r>
      <w:r w:rsidRPr="00EA706C">
        <w:rPr>
          <w:i/>
        </w:rPr>
        <w:t>See</w:t>
      </w:r>
      <w:r>
        <w:rPr>
          <w:i/>
        </w:rPr>
        <w:t xml:space="preserve"> </w:t>
      </w:r>
      <w:r>
        <w:t>47 CFR 27.14(o).</w:t>
      </w:r>
    </w:p>
  </w:footnote>
  <w:footnote w:id="30">
    <w:p w14:paraId="6782E3E7" w14:textId="79B3C270" w:rsidR="007E063F" w:rsidRDefault="007E063F" w:rsidP="00330625">
      <w:pPr>
        <w:pStyle w:val="FootnoteText"/>
        <w:spacing w:after="120"/>
      </w:pPr>
      <w:r>
        <w:rPr>
          <w:rStyle w:val="FootnoteReference"/>
        </w:rPr>
        <w:footnoteRef/>
      </w:r>
      <w:r>
        <w:t xml:space="preserve"> </w:t>
      </w:r>
      <w:r w:rsidR="00EA706C">
        <w:t>Application at Exhibit 2.</w:t>
      </w:r>
      <w:r w:rsidR="003D6138">
        <w:t xml:space="preserve"> </w:t>
      </w:r>
    </w:p>
  </w:footnote>
  <w:footnote w:id="31">
    <w:p w14:paraId="236DF4D4" w14:textId="3BF0AC54" w:rsidR="00211BFA" w:rsidRDefault="00211BFA" w:rsidP="00330625">
      <w:pPr>
        <w:pStyle w:val="FootnoteText"/>
        <w:spacing w:after="120"/>
      </w:pPr>
      <w:r>
        <w:rPr>
          <w:rStyle w:val="FootnoteReference"/>
        </w:rPr>
        <w:footnoteRef/>
      </w:r>
      <w:r>
        <w:t xml:space="preserve"> </w:t>
      </w:r>
      <w:r>
        <w:rPr>
          <w:i/>
        </w:rPr>
        <w:t>See</w:t>
      </w:r>
      <w:r>
        <w:t xml:space="preserve"> </w:t>
      </w:r>
      <w:r w:rsidRPr="008631DC">
        <w:rPr>
          <w:i/>
        </w:rPr>
        <w:t>Wireless Telecommunications Bureau Market-Based Applications Accepted for Filing</w:t>
      </w:r>
      <w:r>
        <w:t xml:space="preserve">, Report No. </w:t>
      </w:r>
      <w:r w:rsidR="007E063F">
        <w:t>11628</w:t>
      </w:r>
      <w:r>
        <w:t xml:space="preserve">, </w:t>
      </w:r>
      <w:r w:rsidRPr="008631DC">
        <w:t>Public Notice</w:t>
      </w:r>
      <w:r w:rsidR="008631DC">
        <w:t xml:space="preserve">, </w:t>
      </w:r>
      <w:r>
        <w:t xml:space="preserve">(rel. </w:t>
      </w:r>
      <w:r w:rsidR="007E063F">
        <w:t>Aug</w:t>
      </w:r>
      <w:r>
        <w:t>. 24, 20</w:t>
      </w:r>
      <w:r w:rsidR="007E063F">
        <w:t>16</w:t>
      </w:r>
      <w:r>
        <w:t>)</w:t>
      </w:r>
      <w:r w:rsidR="003D6138">
        <w:t xml:space="preserve"> at 3</w:t>
      </w:r>
      <w:r>
        <w:t>.</w:t>
      </w:r>
    </w:p>
  </w:footnote>
  <w:footnote w:id="32">
    <w:p w14:paraId="4C562FAC" w14:textId="4C8F34DE" w:rsidR="00A9590F" w:rsidRDefault="00A9590F" w:rsidP="00330625">
      <w:pPr>
        <w:pStyle w:val="FootnoteText"/>
        <w:spacing w:after="120"/>
      </w:pPr>
      <w:r>
        <w:rPr>
          <w:rStyle w:val="FootnoteReference"/>
        </w:rPr>
        <w:footnoteRef/>
      </w:r>
      <w:r>
        <w:t xml:space="preserve"> </w:t>
      </w:r>
      <w:r>
        <w:rPr>
          <w:i/>
        </w:rPr>
        <w:t>See</w:t>
      </w:r>
      <w:r>
        <w:t xml:space="preserve"> </w:t>
      </w:r>
      <w:r w:rsidR="008631DC">
        <w:t xml:space="preserve">Waiver Request </w:t>
      </w:r>
      <w:r>
        <w:t xml:space="preserve">at </w:t>
      </w:r>
      <w:r w:rsidR="003D6138">
        <w:t>1</w:t>
      </w:r>
      <w:r>
        <w:t>.</w:t>
      </w:r>
    </w:p>
  </w:footnote>
  <w:footnote w:id="33">
    <w:p w14:paraId="216FBE57" w14:textId="77777777" w:rsidR="00A9590F" w:rsidRDefault="00A9590F" w:rsidP="00330625">
      <w:pPr>
        <w:pStyle w:val="FootnoteText"/>
        <w:spacing w:after="120"/>
      </w:pPr>
      <w:r>
        <w:rPr>
          <w:rStyle w:val="FootnoteReference"/>
        </w:rPr>
        <w:footnoteRef/>
      </w:r>
      <w:r w:rsidR="008631DC">
        <w:t xml:space="preserve"> 47 CFR</w:t>
      </w:r>
      <w:r>
        <w:t xml:space="preserve"> § 1.925(b)(3).</w:t>
      </w:r>
    </w:p>
  </w:footnote>
  <w:footnote w:id="34">
    <w:p w14:paraId="56E5D5D0" w14:textId="0D31F630" w:rsidR="0052680E" w:rsidRDefault="0052680E" w:rsidP="00330625">
      <w:pPr>
        <w:pStyle w:val="FootnoteText"/>
        <w:spacing w:after="120"/>
      </w:pPr>
      <w:r>
        <w:rPr>
          <w:rStyle w:val="FootnoteReference"/>
        </w:rPr>
        <w:footnoteRef/>
      </w:r>
      <w:r>
        <w:t xml:space="preserve"> </w:t>
      </w:r>
      <w:r w:rsidR="008631DC">
        <w:t xml:space="preserve">Waiver Request </w:t>
      </w:r>
      <w:r>
        <w:t>at 2.</w:t>
      </w:r>
    </w:p>
  </w:footnote>
  <w:footnote w:id="35">
    <w:p w14:paraId="4A486DF8" w14:textId="77777777" w:rsidR="00541ECE" w:rsidRDefault="00541ECE" w:rsidP="00330625">
      <w:pPr>
        <w:pStyle w:val="FootnoteText"/>
        <w:spacing w:after="120"/>
      </w:pPr>
      <w:r>
        <w:rPr>
          <w:rStyle w:val="FootnoteReference"/>
        </w:rPr>
        <w:footnoteRef/>
      </w:r>
      <w:r>
        <w:t xml:space="preserve"> </w:t>
      </w:r>
      <w:r w:rsidRPr="008631DC">
        <w:rPr>
          <w:i/>
        </w:rPr>
        <w:t>See generally</w:t>
      </w:r>
      <w:r>
        <w:t xml:space="preserve"> </w:t>
      </w:r>
      <w:r w:rsidR="008631DC" w:rsidRPr="008631DC">
        <w:rPr>
          <w:i/>
        </w:rPr>
        <w:t>Application of The Board of Trustees of Northern Michigan University For a New Educational Broadband Service Station</w:t>
      </w:r>
      <w:r w:rsidR="008631DC" w:rsidRPr="00AB653E">
        <w:t xml:space="preserve">, </w:t>
      </w:r>
      <w:r w:rsidR="008631DC" w:rsidRPr="008631DC">
        <w:t>Memorandum Opinion and Order</w:t>
      </w:r>
      <w:r w:rsidR="008631DC" w:rsidRPr="00AB653E">
        <w:t xml:space="preserve">, </w:t>
      </w:r>
      <w:r w:rsidR="008631DC">
        <w:t>23 FCC Rcd 11832</w:t>
      </w:r>
      <w:r w:rsidR="008631DC" w:rsidRPr="00AB653E">
        <w:t xml:space="preserve"> (</w:t>
      </w:r>
      <w:r w:rsidR="008631DC">
        <w:t>WTB</w:t>
      </w:r>
      <w:r w:rsidR="008631DC" w:rsidRPr="00AB653E">
        <w:t xml:space="preserve"> 2008)</w:t>
      </w:r>
      <w:r w:rsidR="008631DC">
        <w:t xml:space="preserve"> (</w:t>
      </w:r>
      <w:r w:rsidR="008631DC">
        <w:rPr>
          <w:i/>
        </w:rPr>
        <w:t>2008 NMU Waiver Order</w:t>
      </w:r>
      <w:r w:rsidR="008631DC">
        <w:t xml:space="preserve">). </w:t>
      </w:r>
    </w:p>
  </w:footnote>
  <w:footnote w:id="36">
    <w:p w14:paraId="57AFA207" w14:textId="2D1CE810" w:rsidR="00A9590F" w:rsidRDefault="00A9590F" w:rsidP="00330625">
      <w:pPr>
        <w:pStyle w:val="FootnoteText"/>
        <w:spacing w:after="120"/>
      </w:pPr>
      <w:r>
        <w:rPr>
          <w:rStyle w:val="FootnoteReference"/>
        </w:rPr>
        <w:footnoteRef/>
      </w:r>
      <w:r>
        <w:t xml:space="preserve"> </w:t>
      </w:r>
      <w:r w:rsidRPr="006639BD">
        <w:rPr>
          <w:i/>
        </w:rPr>
        <w:t>See</w:t>
      </w:r>
      <w:r>
        <w:t xml:space="preserve"> </w:t>
      </w:r>
      <w:r w:rsidR="008631DC">
        <w:t>Waiver Request</w:t>
      </w:r>
      <w:r>
        <w:t xml:space="preserve"> at </w:t>
      </w:r>
      <w:r w:rsidR="003D6138">
        <w:t>1</w:t>
      </w:r>
      <w:r>
        <w:t>.</w:t>
      </w:r>
    </w:p>
  </w:footnote>
  <w:footnote w:id="37">
    <w:p w14:paraId="07E7C5B5" w14:textId="77777777" w:rsidR="00A9590F" w:rsidRDefault="00A9590F" w:rsidP="00330625">
      <w:pPr>
        <w:pStyle w:val="FootnoteText"/>
        <w:spacing w:after="120"/>
      </w:pPr>
      <w:r>
        <w:rPr>
          <w:rStyle w:val="FootnoteReference"/>
        </w:rPr>
        <w:footnoteRef/>
      </w:r>
      <w:r w:rsidR="008631DC">
        <w:t xml:space="preserve"> 47 CFR</w:t>
      </w:r>
      <w:r>
        <w:t xml:space="preserve"> § 27.1201(a).</w:t>
      </w:r>
    </w:p>
  </w:footnote>
  <w:footnote w:id="38">
    <w:p w14:paraId="61985817" w14:textId="138B0D45" w:rsidR="00A9590F" w:rsidRDefault="00A9590F" w:rsidP="00330625">
      <w:pPr>
        <w:pStyle w:val="FootnoteText"/>
        <w:spacing w:after="120"/>
      </w:pPr>
      <w:r>
        <w:rPr>
          <w:rStyle w:val="FootnoteReference"/>
        </w:rPr>
        <w:footnoteRef/>
      </w:r>
      <w:r w:rsidR="003D6138">
        <w:t xml:space="preserve"> </w:t>
      </w:r>
      <w:r w:rsidR="008631DC">
        <w:t>Waiver Request</w:t>
      </w:r>
      <w:r>
        <w:t xml:space="preserve"> at </w:t>
      </w:r>
      <w:r w:rsidR="003D6138">
        <w:t>1</w:t>
      </w:r>
      <w:r>
        <w:t>.</w:t>
      </w:r>
    </w:p>
  </w:footnote>
  <w:footnote w:id="39">
    <w:p w14:paraId="2C78520F" w14:textId="77777777" w:rsidR="00A9590F" w:rsidRDefault="00A9590F" w:rsidP="00330625">
      <w:pPr>
        <w:pStyle w:val="FootnoteText"/>
        <w:spacing w:after="120"/>
      </w:pPr>
      <w:r>
        <w:rPr>
          <w:rStyle w:val="FootnoteReference"/>
        </w:rPr>
        <w:footnoteRef/>
      </w:r>
      <w:r>
        <w:t xml:space="preserve"> </w:t>
      </w:r>
      <w:r>
        <w:rPr>
          <w:i/>
        </w:rPr>
        <w:t>See</w:t>
      </w:r>
      <w:r w:rsidRPr="007A7C52">
        <w:rPr>
          <w:i/>
        </w:rPr>
        <w:t xml:space="preserve"> </w:t>
      </w:r>
      <w:r w:rsidR="008631DC">
        <w:rPr>
          <w:i/>
        </w:rPr>
        <w:t xml:space="preserve">Applications of Gateway Telecom LLC d/b/a StratusWave Communications for New Educational Broadband Service Stations on the A and B Group Channels in Centerville, Ohio; and A and B Group Channels in Arden, West Virginia, </w:t>
      </w:r>
      <w:r w:rsidR="008631DC">
        <w:t>Memorandum Opinion and Order</w:t>
      </w:r>
      <w:r>
        <w:t>, 22 FCC Rcd</w:t>
      </w:r>
      <w:r w:rsidR="008631DC">
        <w:t xml:space="preserve"> 15789,</w:t>
      </w:r>
      <w:r>
        <w:t xml:space="preserve"> </w:t>
      </w:r>
      <w:r w:rsidR="008631DC">
        <w:t>15796, para. 15 (2007).</w:t>
      </w:r>
    </w:p>
  </w:footnote>
  <w:footnote w:id="40">
    <w:p w14:paraId="1EF0CBEA" w14:textId="77777777" w:rsidR="00A9590F" w:rsidRPr="007D251F" w:rsidRDefault="00A9590F" w:rsidP="00330625">
      <w:pPr>
        <w:pStyle w:val="FootnoteText"/>
        <w:spacing w:after="120"/>
      </w:pPr>
      <w:r>
        <w:rPr>
          <w:rStyle w:val="FootnoteReference"/>
        </w:rPr>
        <w:footnoteRef/>
      </w:r>
      <w:r>
        <w:t xml:space="preserve"> </w:t>
      </w:r>
      <w:r>
        <w:rPr>
          <w:i/>
        </w:rPr>
        <w:t>See</w:t>
      </w:r>
      <w:r>
        <w:t xml:space="preserve"> </w:t>
      </w:r>
      <w:r w:rsidR="008631DC">
        <w:rPr>
          <w:i/>
        </w:rPr>
        <w:t>2008 NMU Waiver Order</w:t>
      </w:r>
      <w:r>
        <w:t>, 23 FCC Rcd at 11837</w:t>
      </w:r>
      <w:r w:rsidR="008631DC">
        <w:t>, para.</w:t>
      </w:r>
      <w:r>
        <w:t xml:space="preserve"> 13.</w:t>
      </w:r>
    </w:p>
  </w:footnote>
  <w:footnote w:id="41">
    <w:p w14:paraId="6A4E0398" w14:textId="00374D75" w:rsidR="00491EAB" w:rsidRDefault="00491EAB" w:rsidP="00491EAB">
      <w:pPr>
        <w:pStyle w:val="FootnoteText"/>
        <w:spacing w:after="120"/>
      </w:pPr>
      <w:r>
        <w:rPr>
          <w:rStyle w:val="FootnoteReference"/>
        </w:rPr>
        <w:footnoteRef/>
      </w:r>
      <w:r>
        <w:t xml:space="preserve">  As indicated in the Waiver Request, </w:t>
      </w:r>
      <w:r w:rsidR="004E77EF">
        <w:t>M</w:t>
      </w:r>
      <w:r>
        <w:t xml:space="preserve">CSS has not requested authorization for any EBS spectrum already authorized to another entity.  Waiver Request at </w:t>
      </w:r>
      <w:r w:rsidR="00624779">
        <w:t>1 n.2</w:t>
      </w:r>
      <w:r>
        <w:t>.</w:t>
      </w:r>
    </w:p>
  </w:footnote>
  <w:footnote w:id="42">
    <w:p w14:paraId="4DECDD39" w14:textId="70FADC21" w:rsidR="00491EAB" w:rsidRPr="00C16613" w:rsidRDefault="00491EAB" w:rsidP="00491EAB">
      <w:pPr>
        <w:pStyle w:val="FootnoteText"/>
        <w:spacing w:after="120"/>
      </w:pPr>
      <w:r>
        <w:rPr>
          <w:rStyle w:val="FootnoteReference"/>
        </w:rPr>
        <w:footnoteRef/>
      </w:r>
      <w:r>
        <w:t xml:space="preserve">  Waiver Request at </w:t>
      </w:r>
      <w:r w:rsidR="003D6138">
        <w:t>2</w:t>
      </w:r>
      <w:r>
        <w:t xml:space="preserve">.  </w:t>
      </w:r>
    </w:p>
  </w:footnote>
  <w:footnote w:id="43">
    <w:p w14:paraId="12EFA8FA" w14:textId="77777777" w:rsidR="00491EAB" w:rsidRPr="00CE1099" w:rsidRDefault="00491EAB" w:rsidP="00491EAB">
      <w:pPr>
        <w:pStyle w:val="FootnoteText"/>
        <w:spacing w:after="120"/>
      </w:pPr>
      <w:r>
        <w:rPr>
          <w:rStyle w:val="FootnoteReference"/>
        </w:rPr>
        <w:footnoteRef/>
      </w:r>
      <w:r>
        <w:t xml:space="preserve">  47 CFR § 27.14(o).</w:t>
      </w:r>
    </w:p>
  </w:footnote>
  <w:footnote w:id="44">
    <w:p w14:paraId="16CB87E8" w14:textId="77777777" w:rsidR="00A9590F" w:rsidRDefault="00A9590F" w:rsidP="00330625">
      <w:pPr>
        <w:pStyle w:val="FootnoteText"/>
        <w:spacing w:after="120"/>
      </w:pPr>
      <w:r>
        <w:rPr>
          <w:rStyle w:val="FootnoteReference"/>
        </w:rPr>
        <w:footnoteRef/>
      </w:r>
      <w:r>
        <w:t xml:space="preserve"> </w:t>
      </w:r>
      <w:r>
        <w:rPr>
          <w:i/>
        </w:rPr>
        <w:t>See</w:t>
      </w:r>
      <w:r w:rsidR="0092300E">
        <w:t xml:space="preserve"> 47 CFR</w:t>
      </w:r>
      <w:r>
        <w:t xml:space="preserve"> § 1.913(b).</w:t>
      </w:r>
    </w:p>
  </w:footnote>
  <w:footnote w:id="45">
    <w:p w14:paraId="19299617" w14:textId="39B8D76E" w:rsidR="00A9590F" w:rsidRDefault="00A9590F" w:rsidP="00330625">
      <w:pPr>
        <w:pStyle w:val="FootnoteText"/>
        <w:spacing w:after="120"/>
      </w:pPr>
      <w:r>
        <w:rPr>
          <w:rStyle w:val="FootnoteReference"/>
        </w:rPr>
        <w:footnoteRef/>
      </w:r>
      <w:r>
        <w:t xml:space="preserve"> FCC</w:t>
      </w:r>
      <w:r w:rsidR="0092300E">
        <w:t xml:space="preserve">, </w:t>
      </w:r>
      <w:r w:rsidR="0092300E" w:rsidRPr="0092300E">
        <w:t>Strategic Plan for the FCC for Fiscal Years 2015 through 2018</w:t>
      </w:r>
      <w:r w:rsidR="0092300E">
        <w:t>,</w:t>
      </w:r>
      <w:r>
        <w:t xml:space="preserve"> at </w:t>
      </w:r>
      <w:r w:rsidR="0092300E">
        <w:t xml:space="preserve">11 (2015), </w:t>
      </w:r>
      <w:hyperlink r:id="rId7" w:history="1">
        <w:r w:rsidR="0092300E" w:rsidRPr="000262AA">
          <w:rPr>
            <w:rStyle w:val="Hyperlink"/>
          </w:rPr>
          <w:t>https://apps.fcc.gov/edocs_public/attachmatch/DOC-331866A1.pdf</w:t>
        </w:r>
      </w:hyperlink>
      <w:r w:rsidR="0092300E">
        <w:t>.</w:t>
      </w:r>
      <w:r>
        <w:t xml:space="preserve">  In turn, this goal is based upon the statutory requirement that the Commission “encourage the deployment on a reasonable and timely basis of advanced telecommunications capability to all Americans.”  </w:t>
      </w:r>
      <w:r w:rsidR="0092300E">
        <w:t>47 U.S.C. § 1302(a)</w:t>
      </w:r>
      <w:r>
        <w:t>.</w:t>
      </w:r>
    </w:p>
  </w:footnote>
  <w:footnote w:id="46">
    <w:p w14:paraId="6B6FBCC8" w14:textId="5888BFDF" w:rsidR="00A9590F" w:rsidRDefault="00A9590F" w:rsidP="00330625">
      <w:pPr>
        <w:pStyle w:val="FootnoteText"/>
        <w:spacing w:after="120"/>
      </w:pPr>
      <w:r>
        <w:rPr>
          <w:rStyle w:val="FootnoteReference"/>
        </w:rPr>
        <w:footnoteRef/>
      </w:r>
      <w:r>
        <w:t xml:space="preserve"> </w:t>
      </w:r>
      <w:r>
        <w:rPr>
          <w:i/>
        </w:rPr>
        <w:t>See</w:t>
      </w:r>
      <w:r>
        <w:t xml:space="preserve"> </w:t>
      </w:r>
      <w:r w:rsidR="006A15F5" w:rsidRPr="006A15F5">
        <w:rPr>
          <w:i/>
        </w:rPr>
        <w:t>generally</w:t>
      </w:r>
      <w:r w:rsidR="006A15F5">
        <w:t xml:space="preserve"> </w:t>
      </w:r>
      <w:r>
        <w:rPr>
          <w:i/>
        </w:rPr>
        <w:t>Second FNPRM</w:t>
      </w:r>
      <w:r w:rsidR="006A15F5">
        <w:t>,</w:t>
      </w:r>
      <w:r w:rsidR="00200688">
        <w:t xml:space="preserve"> </w:t>
      </w:r>
      <w:r w:rsidR="00200688">
        <w:rPr>
          <w:i/>
        </w:rPr>
        <w:t>supra</w:t>
      </w:r>
      <w:r w:rsidR="006A15F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654C0" w14:textId="77777777" w:rsidR="00D0660E" w:rsidRDefault="00D06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D42A" w14:textId="6BD373DE" w:rsidR="00A9590F" w:rsidRDefault="00A9590F">
    <w:pPr>
      <w:pStyle w:val="Header"/>
      <w:tabs>
        <w:tab w:val="clear" w:pos="4320"/>
        <w:tab w:val="clear" w:pos="8640"/>
        <w:tab w:val="center" w:pos="4680"/>
        <w:tab w:val="right" w:pos="9360"/>
      </w:tabs>
      <w:rPr>
        <w:b/>
        <w:sz w:val="22"/>
        <w:szCs w:val="22"/>
      </w:rPr>
    </w:pPr>
    <w:r>
      <w:rPr>
        <w:b/>
      </w:rPr>
      <w:tab/>
    </w:r>
    <w:r>
      <w:rPr>
        <w:b/>
        <w:sz w:val="22"/>
        <w:szCs w:val="22"/>
      </w:rPr>
      <w:t>Federal Communications Commission</w:t>
    </w:r>
    <w:r>
      <w:rPr>
        <w:b/>
        <w:sz w:val="22"/>
        <w:szCs w:val="22"/>
      </w:rPr>
      <w:tab/>
      <w:t>DA 1</w:t>
    </w:r>
    <w:r w:rsidR="00200688">
      <w:rPr>
        <w:b/>
        <w:sz w:val="22"/>
        <w:szCs w:val="22"/>
      </w:rPr>
      <w:t>6</w:t>
    </w:r>
    <w:r>
      <w:rPr>
        <w:b/>
        <w:sz w:val="22"/>
        <w:szCs w:val="22"/>
      </w:rPr>
      <w:t>-</w:t>
    </w:r>
    <w:r w:rsidR="00761638">
      <w:rPr>
        <w:b/>
        <w:sz w:val="22"/>
        <w:szCs w:val="22"/>
      </w:rPr>
      <w:t>1412</w:t>
    </w:r>
    <w:r>
      <w:rPr>
        <w:b/>
        <w:sz w:val="22"/>
        <w:szCs w:val="22"/>
      </w:rPr>
      <w:t xml:space="preserve"> </w:t>
    </w:r>
  </w:p>
  <w:p w14:paraId="0CE30A9B" w14:textId="77777777" w:rsidR="00A9590F" w:rsidRDefault="007E187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7216" behindDoc="0" locked="0" layoutInCell="0" allowOverlap="1" wp14:anchorId="67F9F474" wp14:editId="7B23F123">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DBDA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14:paraId="7D1A8A63" w14:textId="77777777" w:rsidR="00A9590F" w:rsidRDefault="00A95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B9B" w14:textId="559AE91D" w:rsidR="00A9590F" w:rsidRDefault="00A9590F">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 xml:space="preserve">DA </w:t>
    </w:r>
    <w:r w:rsidR="007D1F4C">
      <w:rPr>
        <w:b/>
        <w:sz w:val="22"/>
        <w:szCs w:val="22"/>
      </w:rPr>
      <w:t>16</w:t>
    </w:r>
    <w:r w:rsidRPr="007D1F4C">
      <w:rPr>
        <w:b/>
        <w:sz w:val="22"/>
        <w:szCs w:val="22"/>
      </w:rPr>
      <w:t>-</w:t>
    </w:r>
    <w:r w:rsidR="00761638">
      <w:rPr>
        <w:b/>
        <w:sz w:val="22"/>
        <w:szCs w:val="22"/>
      </w:rPr>
      <w:t>1412</w:t>
    </w:r>
    <w:r>
      <w:rPr>
        <w:b/>
        <w:sz w:val="22"/>
        <w:szCs w:val="22"/>
      </w:rPr>
      <w:t xml:space="preserve"> </w:t>
    </w:r>
  </w:p>
  <w:p w14:paraId="4A3B7997" w14:textId="77777777" w:rsidR="00A9590F" w:rsidRDefault="007E187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0" allowOverlap="1" wp14:anchorId="2CE6B43E" wp14:editId="299D70FD">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C5B0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14:paraId="66B47F5A" w14:textId="77777777" w:rsidR="00A9590F" w:rsidRDefault="00A95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8B2"/>
    <w:multiLevelType w:val="hybridMultilevel"/>
    <w:tmpl w:val="CD68BCB4"/>
    <w:lvl w:ilvl="0" w:tplc="B850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86303"/>
    <w:multiLevelType w:val="hybridMultilevel"/>
    <w:tmpl w:val="5680DABC"/>
    <w:lvl w:ilvl="0" w:tplc="D68C3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61435"/>
    <w:multiLevelType w:val="hybridMultilevel"/>
    <w:tmpl w:val="EF76276A"/>
    <w:lvl w:ilvl="0" w:tplc="E7A06E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75010F"/>
    <w:multiLevelType w:val="hybridMultilevel"/>
    <w:tmpl w:val="757A3474"/>
    <w:lvl w:ilvl="0" w:tplc="AF3C3A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379A4513"/>
    <w:multiLevelType w:val="hybridMultilevel"/>
    <w:tmpl w:val="BEC2CA98"/>
    <w:lvl w:ilvl="0" w:tplc="4FD6388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412CA"/>
    <w:multiLevelType w:val="hybridMultilevel"/>
    <w:tmpl w:val="1A6634FE"/>
    <w:lvl w:ilvl="0" w:tplc="9F46ADEC">
      <w:start w:val="1"/>
      <w:numFmt w:val="decimal"/>
      <w:lvlText w:val="%1."/>
      <w:lvlJc w:val="left"/>
      <w:pPr>
        <w:tabs>
          <w:tab w:val="num" w:pos="1440"/>
        </w:tabs>
        <w:ind w:left="1440" w:hanging="720"/>
      </w:pPr>
      <w:rPr>
        <w:rFonts w:hint="default"/>
      </w:rPr>
    </w:lvl>
    <w:lvl w:ilvl="1" w:tplc="D542C47E" w:tentative="1">
      <w:start w:val="1"/>
      <w:numFmt w:val="lowerLetter"/>
      <w:lvlText w:val="%2."/>
      <w:lvlJc w:val="left"/>
      <w:pPr>
        <w:tabs>
          <w:tab w:val="num" w:pos="1800"/>
        </w:tabs>
        <w:ind w:left="1800" w:hanging="360"/>
      </w:pPr>
    </w:lvl>
    <w:lvl w:ilvl="2" w:tplc="9370DE9C" w:tentative="1">
      <w:start w:val="1"/>
      <w:numFmt w:val="lowerRoman"/>
      <w:lvlText w:val="%3."/>
      <w:lvlJc w:val="right"/>
      <w:pPr>
        <w:tabs>
          <w:tab w:val="num" w:pos="2520"/>
        </w:tabs>
        <w:ind w:left="2520" w:hanging="180"/>
      </w:pPr>
    </w:lvl>
    <w:lvl w:ilvl="3" w:tplc="95369D30" w:tentative="1">
      <w:start w:val="1"/>
      <w:numFmt w:val="decimal"/>
      <w:lvlText w:val="%4."/>
      <w:lvlJc w:val="left"/>
      <w:pPr>
        <w:tabs>
          <w:tab w:val="num" w:pos="3240"/>
        </w:tabs>
        <w:ind w:left="3240" w:hanging="360"/>
      </w:pPr>
    </w:lvl>
    <w:lvl w:ilvl="4" w:tplc="DDE404AA" w:tentative="1">
      <w:start w:val="1"/>
      <w:numFmt w:val="lowerLetter"/>
      <w:lvlText w:val="%5."/>
      <w:lvlJc w:val="left"/>
      <w:pPr>
        <w:tabs>
          <w:tab w:val="num" w:pos="3960"/>
        </w:tabs>
        <w:ind w:left="3960" w:hanging="360"/>
      </w:pPr>
    </w:lvl>
    <w:lvl w:ilvl="5" w:tplc="58D0904E" w:tentative="1">
      <w:start w:val="1"/>
      <w:numFmt w:val="lowerRoman"/>
      <w:lvlText w:val="%6."/>
      <w:lvlJc w:val="right"/>
      <w:pPr>
        <w:tabs>
          <w:tab w:val="num" w:pos="4680"/>
        </w:tabs>
        <w:ind w:left="4680" w:hanging="180"/>
      </w:pPr>
    </w:lvl>
    <w:lvl w:ilvl="6" w:tplc="89DA0D18" w:tentative="1">
      <w:start w:val="1"/>
      <w:numFmt w:val="decimal"/>
      <w:lvlText w:val="%7."/>
      <w:lvlJc w:val="left"/>
      <w:pPr>
        <w:tabs>
          <w:tab w:val="num" w:pos="5400"/>
        </w:tabs>
        <w:ind w:left="5400" w:hanging="360"/>
      </w:pPr>
    </w:lvl>
    <w:lvl w:ilvl="7" w:tplc="BF4ECD40" w:tentative="1">
      <w:start w:val="1"/>
      <w:numFmt w:val="lowerLetter"/>
      <w:lvlText w:val="%8."/>
      <w:lvlJc w:val="left"/>
      <w:pPr>
        <w:tabs>
          <w:tab w:val="num" w:pos="6120"/>
        </w:tabs>
        <w:ind w:left="6120" w:hanging="360"/>
      </w:pPr>
    </w:lvl>
    <w:lvl w:ilvl="8" w:tplc="A68A8EC0" w:tentative="1">
      <w:start w:val="1"/>
      <w:numFmt w:val="lowerRoman"/>
      <w:lvlText w:val="%9."/>
      <w:lvlJc w:val="right"/>
      <w:pPr>
        <w:tabs>
          <w:tab w:val="num" w:pos="6840"/>
        </w:tabs>
        <w:ind w:left="6840" w:hanging="180"/>
      </w:pPr>
    </w:lvl>
  </w:abstractNum>
  <w:abstractNum w:abstractNumId="6">
    <w:nsid w:val="5100430D"/>
    <w:multiLevelType w:val="hybridMultilevel"/>
    <w:tmpl w:val="EC0C0588"/>
    <w:lvl w:ilvl="0" w:tplc="E07C8D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710EB4"/>
    <w:multiLevelType w:val="hybridMultilevel"/>
    <w:tmpl w:val="CE6A4750"/>
    <w:lvl w:ilvl="0" w:tplc="0409000F">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43474F"/>
    <w:multiLevelType w:val="hybridMultilevel"/>
    <w:tmpl w:val="9ABCBFF0"/>
    <w:lvl w:ilvl="0" w:tplc="1ED0806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8658A8"/>
    <w:multiLevelType w:val="hybridMultilevel"/>
    <w:tmpl w:val="B4AA65A2"/>
    <w:lvl w:ilvl="0" w:tplc="6C4C40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BB3959"/>
    <w:multiLevelType w:val="hybridMultilevel"/>
    <w:tmpl w:val="C076F94E"/>
    <w:lvl w:ilvl="0" w:tplc="13A058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067C0C"/>
    <w:multiLevelType w:val="hybridMultilevel"/>
    <w:tmpl w:val="92DA4934"/>
    <w:lvl w:ilvl="0" w:tplc="9CF4D9C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92974"/>
    <w:multiLevelType w:val="hybridMultilevel"/>
    <w:tmpl w:val="CAC68F90"/>
    <w:lvl w:ilvl="0" w:tplc="0409000F">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EB5021"/>
    <w:multiLevelType w:val="hybridMultilevel"/>
    <w:tmpl w:val="DCC2A218"/>
    <w:lvl w:ilvl="0" w:tplc="F632787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C35A40"/>
    <w:multiLevelType w:val="hybridMultilevel"/>
    <w:tmpl w:val="CF2682DC"/>
    <w:lvl w:ilvl="0" w:tplc="0B622286">
      <w:start w:val="1"/>
      <w:numFmt w:val="decimal"/>
      <w:pStyle w:val="ParaNum"/>
      <w:lvlText w:val="%1."/>
      <w:lvlJc w:val="left"/>
      <w:pPr>
        <w:tabs>
          <w:tab w:val="num" w:pos="2520"/>
        </w:tabs>
        <w:ind w:left="1440" w:firstLine="720"/>
      </w:pPr>
      <w:rPr>
        <w:rFonts w:hint="default"/>
      </w:rPr>
    </w:lvl>
    <w:lvl w:ilvl="1" w:tplc="04090019">
      <w:start w:val="1"/>
      <w:numFmt w:val="decimal"/>
      <w:lvlText w:val="%2."/>
      <w:lvlJc w:val="left"/>
      <w:pPr>
        <w:tabs>
          <w:tab w:val="num" w:pos="1170"/>
        </w:tabs>
        <w:ind w:left="90" w:firstLine="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7320669"/>
    <w:multiLevelType w:val="hybridMultilevel"/>
    <w:tmpl w:val="712AC832"/>
    <w:lvl w:ilvl="0" w:tplc="719AC180">
      <w:start w:val="4"/>
      <w:numFmt w:val="decimal"/>
      <w:lvlText w:val="%1."/>
      <w:lvlJc w:val="left"/>
      <w:pPr>
        <w:tabs>
          <w:tab w:val="num" w:pos="1080"/>
        </w:tabs>
        <w:ind w:left="1080" w:hanging="720"/>
      </w:pPr>
      <w:rPr>
        <w:rFonts w:hint="default"/>
      </w:rPr>
    </w:lvl>
    <w:lvl w:ilvl="1" w:tplc="719AC18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6B217E"/>
    <w:multiLevelType w:val="multilevel"/>
    <w:tmpl w:val="403E0898"/>
    <w:lvl w:ilvl="0">
      <w:start w:val="1"/>
      <w:numFmt w:val="decimal"/>
      <w:lvlText w:val="%1."/>
      <w:lvlJc w:val="left"/>
      <w:pPr>
        <w:tabs>
          <w:tab w:val="num" w:pos="252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0"/>
  </w:num>
  <w:num w:numId="2">
    <w:abstractNumId w:val="9"/>
  </w:num>
  <w:num w:numId="3">
    <w:abstractNumId w:val="2"/>
  </w:num>
  <w:num w:numId="4">
    <w:abstractNumId w:val="5"/>
  </w:num>
  <w:num w:numId="5">
    <w:abstractNumId w:val="1"/>
  </w:num>
  <w:num w:numId="6">
    <w:abstractNumId w:val="0"/>
  </w:num>
  <w:num w:numId="7">
    <w:abstractNumId w:val="7"/>
  </w:num>
  <w:num w:numId="8">
    <w:abstractNumId w:val="15"/>
  </w:num>
  <w:num w:numId="9">
    <w:abstractNumId w:val="8"/>
  </w:num>
  <w:num w:numId="10">
    <w:abstractNumId w:val="11"/>
  </w:num>
  <w:num w:numId="11">
    <w:abstractNumId w:val="4"/>
  </w:num>
  <w:num w:numId="12">
    <w:abstractNumId w:val="6"/>
  </w:num>
  <w:num w:numId="13">
    <w:abstractNumId w:val="3"/>
  </w:num>
  <w:num w:numId="14">
    <w:abstractNumId w:val="13"/>
  </w:num>
  <w:num w:numId="15">
    <w:abstractNumId w:val="12"/>
  </w:num>
  <w:num w:numId="16">
    <w:abstractNumId w:val="14"/>
  </w:num>
  <w:num w:numId="17">
    <w:abstractNumId w:val="16"/>
  </w:num>
  <w:num w:numId="1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21AFE"/>
    <w:rsid w:val="00030238"/>
    <w:rsid w:val="00081A1C"/>
    <w:rsid w:val="00081E3E"/>
    <w:rsid w:val="0009664A"/>
    <w:rsid w:val="000977D3"/>
    <w:rsid w:val="000A0AD3"/>
    <w:rsid w:val="000A110E"/>
    <w:rsid w:val="000B4854"/>
    <w:rsid w:val="000E1923"/>
    <w:rsid w:val="000F771A"/>
    <w:rsid w:val="001248BC"/>
    <w:rsid w:val="0014097F"/>
    <w:rsid w:val="00146042"/>
    <w:rsid w:val="001940DF"/>
    <w:rsid w:val="001B0024"/>
    <w:rsid w:val="001B768D"/>
    <w:rsid w:val="001D152A"/>
    <w:rsid w:val="001D26EE"/>
    <w:rsid w:val="001F5201"/>
    <w:rsid w:val="00200688"/>
    <w:rsid w:val="00211BFA"/>
    <w:rsid w:val="0022401F"/>
    <w:rsid w:val="0024107D"/>
    <w:rsid w:val="00241095"/>
    <w:rsid w:val="002479AC"/>
    <w:rsid w:val="00254CF6"/>
    <w:rsid w:val="002A17D9"/>
    <w:rsid w:val="002A1A73"/>
    <w:rsid w:val="002B028D"/>
    <w:rsid w:val="002C4029"/>
    <w:rsid w:val="002C67CD"/>
    <w:rsid w:val="002E6B2F"/>
    <w:rsid w:val="0030046C"/>
    <w:rsid w:val="0032038B"/>
    <w:rsid w:val="00330625"/>
    <w:rsid w:val="00371EA8"/>
    <w:rsid w:val="003760D6"/>
    <w:rsid w:val="0039078B"/>
    <w:rsid w:val="003A1F43"/>
    <w:rsid w:val="003A37B2"/>
    <w:rsid w:val="003A4E96"/>
    <w:rsid w:val="003D137E"/>
    <w:rsid w:val="003D3EB6"/>
    <w:rsid w:val="003D6138"/>
    <w:rsid w:val="003E5F57"/>
    <w:rsid w:val="003F1B21"/>
    <w:rsid w:val="0040064C"/>
    <w:rsid w:val="00406483"/>
    <w:rsid w:val="00416910"/>
    <w:rsid w:val="0042213D"/>
    <w:rsid w:val="00456F8A"/>
    <w:rsid w:val="00465BD8"/>
    <w:rsid w:val="004702BA"/>
    <w:rsid w:val="004813A5"/>
    <w:rsid w:val="00483674"/>
    <w:rsid w:val="004851EC"/>
    <w:rsid w:val="0048717F"/>
    <w:rsid w:val="00491EAB"/>
    <w:rsid w:val="004A7734"/>
    <w:rsid w:val="004B600A"/>
    <w:rsid w:val="004E21FB"/>
    <w:rsid w:val="004E2690"/>
    <w:rsid w:val="004E3735"/>
    <w:rsid w:val="004E6933"/>
    <w:rsid w:val="004E77EF"/>
    <w:rsid w:val="004F6596"/>
    <w:rsid w:val="0051658F"/>
    <w:rsid w:val="0052680E"/>
    <w:rsid w:val="00541ECE"/>
    <w:rsid w:val="00544D0C"/>
    <w:rsid w:val="00551CF5"/>
    <w:rsid w:val="005601CD"/>
    <w:rsid w:val="00563470"/>
    <w:rsid w:val="00577135"/>
    <w:rsid w:val="00582878"/>
    <w:rsid w:val="0059748D"/>
    <w:rsid w:val="005B2F8F"/>
    <w:rsid w:val="005B7093"/>
    <w:rsid w:val="005F57B4"/>
    <w:rsid w:val="00612F38"/>
    <w:rsid w:val="00624779"/>
    <w:rsid w:val="00660C15"/>
    <w:rsid w:val="006639BD"/>
    <w:rsid w:val="00693FE2"/>
    <w:rsid w:val="006A15F5"/>
    <w:rsid w:val="006B761B"/>
    <w:rsid w:val="006E26C3"/>
    <w:rsid w:val="006E2BFD"/>
    <w:rsid w:val="00701964"/>
    <w:rsid w:val="0070566F"/>
    <w:rsid w:val="00714992"/>
    <w:rsid w:val="007242BD"/>
    <w:rsid w:val="007279B5"/>
    <w:rsid w:val="0074498F"/>
    <w:rsid w:val="00761638"/>
    <w:rsid w:val="00764A1C"/>
    <w:rsid w:val="0077573C"/>
    <w:rsid w:val="00775A6F"/>
    <w:rsid w:val="00780016"/>
    <w:rsid w:val="007A69DB"/>
    <w:rsid w:val="007A7C52"/>
    <w:rsid w:val="007D1F4C"/>
    <w:rsid w:val="007D251F"/>
    <w:rsid w:val="007E063F"/>
    <w:rsid w:val="007E1877"/>
    <w:rsid w:val="008029EA"/>
    <w:rsid w:val="0081198A"/>
    <w:rsid w:val="0083432C"/>
    <w:rsid w:val="00836FC0"/>
    <w:rsid w:val="0084378B"/>
    <w:rsid w:val="008631DC"/>
    <w:rsid w:val="008829E1"/>
    <w:rsid w:val="008850E1"/>
    <w:rsid w:val="008C51CE"/>
    <w:rsid w:val="00904B00"/>
    <w:rsid w:val="0091422C"/>
    <w:rsid w:val="0092300E"/>
    <w:rsid w:val="00973237"/>
    <w:rsid w:val="009A11D8"/>
    <w:rsid w:val="009D0AAE"/>
    <w:rsid w:val="009D5069"/>
    <w:rsid w:val="00A210A8"/>
    <w:rsid w:val="00A22C36"/>
    <w:rsid w:val="00A26E5D"/>
    <w:rsid w:val="00A4723D"/>
    <w:rsid w:val="00A70921"/>
    <w:rsid w:val="00A77374"/>
    <w:rsid w:val="00A825E1"/>
    <w:rsid w:val="00A93A92"/>
    <w:rsid w:val="00A9590F"/>
    <w:rsid w:val="00AB653E"/>
    <w:rsid w:val="00AD489A"/>
    <w:rsid w:val="00AE12C9"/>
    <w:rsid w:val="00AF3A4C"/>
    <w:rsid w:val="00B2108E"/>
    <w:rsid w:val="00B25FD9"/>
    <w:rsid w:val="00B371BD"/>
    <w:rsid w:val="00B56D95"/>
    <w:rsid w:val="00B57BE3"/>
    <w:rsid w:val="00BD06A5"/>
    <w:rsid w:val="00BF24B6"/>
    <w:rsid w:val="00C00F55"/>
    <w:rsid w:val="00C17687"/>
    <w:rsid w:val="00C27569"/>
    <w:rsid w:val="00C31452"/>
    <w:rsid w:val="00C32557"/>
    <w:rsid w:val="00C543B8"/>
    <w:rsid w:val="00C563FA"/>
    <w:rsid w:val="00C828CF"/>
    <w:rsid w:val="00C848A5"/>
    <w:rsid w:val="00C85980"/>
    <w:rsid w:val="00C85A52"/>
    <w:rsid w:val="00C86B70"/>
    <w:rsid w:val="00C94ED4"/>
    <w:rsid w:val="00C96ADB"/>
    <w:rsid w:val="00CB00C2"/>
    <w:rsid w:val="00CB0460"/>
    <w:rsid w:val="00CF2514"/>
    <w:rsid w:val="00CF3647"/>
    <w:rsid w:val="00D05D31"/>
    <w:rsid w:val="00D0660E"/>
    <w:rsid w:val="00D12F23"/>
    <w:rsid w:val="00D27855"/>
    <w:rsid w:val="00D47291"/>
    <w:rsid w:val="00D477E6"/>
    <w:rsid w:val="00D559A9"/>
    <w:rsid w:val="00D61CF2"/>
    <w:rsid w:val="00D6752D"/>
    <w:rsid w:val="00D7629C"/>
    <w:rsid w:val="00D84CBB"/>
    <w:rsid w:val="00D860AB"/>
    <w:rsid w:val="00DC6E00"/>
    <w:rsid w:val="00DC70EA"/>
    <w:rsid w:val="00DD01C2"/>
    <w:rsid w:val="00DF7870"/>
    <w:rsid w:val="00E015F2"/>
    <w:rsid w:val="00E46E7F"/>
    <w:rsid w:val="00E619A8"/>
    <w:rsid w:val="00E661DF"/>
    <w:rsid w:val="00EA09F6"/>
    <w:rsid w:val="00EA706C"/>
    <w:rsid w:val="00EA7B56"/>
    <w:rsid w:val="00ED128A"/>
    <w:rsid w:val="00EE5730"/>
    <w:rsid w:val="00F12691"/>
    <w:rsid w:val="00F22506"/>
    <w:rsid w:val="00F30C83"/>
    <w:rsid w:val="00F451C7"/>
    <w:rsid w:val="00F46C82"/>
    <w:rsid w:val="00F669CF"/>
    <w:rsid w:val="00F72481"/>
    <w:rsid w:val="00FB0A3F"/>
    <w:rsid w:val="00FC1CFD"/>
    <w:rsid w:val="00FD016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7024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character" w:styleId="CommentReference">
    <w:name w:val="annotation reference"/>
    <w:basedOn w:val="DefaultParagraphFont"/>
    <w:semiHidden/>
    <w:unhideWhenUsed/>
    <w:rsid w:val="003D137E"/>
    <w:rPr>
      <w:sz w:val="16"/>
      <w:szCs w:val="16"/>
    </w:rPr>
  </w:style>
  <w:style w:type="paragraph" w:styleId="CommentText">
    <w:name w:val="annotation text"/>
    <w:basedOn w:val="Normal"/>
    <w:link w:val="CommentTextChar"/>
    <w:semiHidden/>
    <w:unhideWhenUsed/>
    <w:rsid w:val="003D137E"/>
    <w:rPr>
      <w:sz w:val="20"/>
      <w:szCs w:val="20"/>
    </w:rPr>
  </w:style>
  <w:style w:type="character" w:customStyle="1" w:styleId="CommentTextChar">
    <w:name w:val="Comment Text Char"/>
    <w:basedOn w:val="DefaultParagraphFont"/>
    <w:link w:val="CommentText"/>
    <w:semiHidden/>
    <w:rsid w:val="003D137E"/>
  </w:style>
  <w:style w:type="paragraph" w:styleId="CommentSubject">
    <w:name w:val="annotation subject"/>
    <w:basedOn w:val="CommentText"/>
    <w:next w:val="CommentText"/>
    <w:link w:val="CommentSubjectChar"/>
    <w:semiHidden/>
    <w:unhideWhenUsed/>
    <w:rsid w:val="003D137E"/>
    <w:rPr>
      <w:b/>
      <w:bCs/>
    </w:rPr>
  </w:style>
  <w:style w:type="character" w:customStyle="1" w:styleId="CommentSubjectChar">
    <w:name w:val="Comment Subject Char"/>
    <w:basedOn w:val="CommentTextChar"/>
    <w:link w:val="CommentSubject"/>
    <w:semiHidden/>
    <w:rsid w:val="003D137E"/>
    <w:rPr>
      <w:b/>
      <w:bCs/>
    </w:rPr>
  </w:style>
  <w:style w:type="character" w:styleId="FollowedHyperlink">
    <w:name w:val="FollowedHyperlink"/>
    <w:basedOn w:val="DefaultParagraphFont"/>
    <w:semiHidden/>
    <w:unhideWhenUsed/>
    <w:rsid w:val="006E2BFD"/>
    <w:rPr>
      <w:color w:val="800080" w:themeColor="followedHyperlink"/>
      <w:u w:val="single"/>
    </w:rPr>
  </w:style>
  <w:style w:type="paragraph" w:styleId="Revision">
    <w:name w:val="Revision"/>
    <w:hidden/>
    <w:uiPriority w:val="99"/>
    <w:semiHidden/>
    <w:rsid w:val="004A77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character" w:styleId="CommentReference">
    <w:name w:val="annotation reference"/>
    <w:basedOn w:val="DefaultParagraphFont"/>
    <w:semiHidden/>
    <w:unhideWhenUsed/>
    <w:rsid w:val="003D137E"/>
    <w:rPr>
      <w:sz w:val="16"/>
      <w:szCs w:val="16"/>
    </w:rPr>
  </w:style>
  <w:style w:type="paragraph" w:styleId="CommentText">
    <w:name w:val="annotation text"/>
    <w:basedOn w:val="Normal"/>
    <w:link w:val="CommentTextChar"/>
    <w:semiHidden/>
    <w:unhideWhenUsed/>
    <w:rsid w:val="003D137E"/>
    <w:rPr>
      <w:sz w:val="20"/>
      <w:szCs w:val="20"/>
    </w:rPr>
  </w:style>
  <w:style w:type="character" w:customStyle="1" w:styleId="CommentTextChar">
    <w:name w:val="Comment Text Char"/>
    <w:basedOn w:val="DefaultParagraphFont"/>
    <w:link w:val="CommentText"/>
    <w:semiHidden/>
    <w:rsid w:val="003D137E"/>
  </w:style>
  <w:style w:type="paragraph" w:styleId="CommentSubject">
    <w:name w:val="annotation subject"/>
    <w:basedOn w:val="CommentText"/>
    <w:next w:val="CommentText"/>
    <w:link w:val="CommentSubjectChar"/>
    <w:semiHidden/>
    <w:unhideWhenUsed/>
    <w:rsid w:val="003D137E"/>
    <w:rPr>
      <w:b/>
      <w:bCs/>
    </w:rPr>
  </w:style>
  <w:style w:type="character" w:customStyle="1" w:styleId="CommentSubjectChar">
    <w:name w:val="Comment Subject Char"/>
    <w:basedOn w:val="CommentTextChar"/>
    <w:link w:val="CommentSubject"/>
    <w:semiHidden/>
    <w:rsid w:val="003D137E"/>
    <w:rPr>
      <w:b/>
      <w:bCs/>
    </w:rPr>
  </w:style>
  <w:style w:type="character" w:styleId="FollowedHyperlink">
    <w:name w:val="FollowedHyperlink"/>
    <w:basedOn w:val="DefaultParagraphFont"/>
    <w:semiHidden/>
    <w:unhideWhenUsed/>
    <w:rsid w:val="006E2BFD"/>
    <w:rPr>
      <w:color w:val="800080" w:themeColor="followedHyperlink"/>
      <w:u w:val="single"/>
    </w:rPr>
  </w:style>
  <w:style w:type="paragraph" w:styleId="Revision">
    <w:name w:val="Revision"/>
    <w:hidden/>
    <w:uiPriority w:val="99"/>
    <w:semiHidden/>
    <w:rsid w:val="004A77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ontereycoe.org/about/index" TargetMode="External"/><Relationship Id="rId7" Type="http://schemas.openxmlformats.org/officeDocument/2006/relationships/hyperlink" Target="https://apps.fcc.gov/edocs_public/attachmatch/DOC-331866A1.pdf" TargetMode="External"/><Relationship Id="rId2" Type="http://schemas.openxmlformats.org/officeDocument/2006/relationships/hyperlink" Target="http://www.montereycoe.org/about/index" TargetMode="External"/><Relationship Id="rId1" Type="http://schemas.openxmlformats.org/officeDocument/2006/relationships/hyperlink" Target="http://www.mcoeannualen.org/" TargetMode="External"/><Relationship Id="rId6" Type="http://schemas.openxmlformats.org/officeDocument/2006/relationships/hyperlink" Target="http://www.fns.usda.gov/sites/default/files/NSLPFactSheet.pdf" TargetMode="External"/><Relationship Id="rId5" Type="http://schemas.openxmlformats.org/officeDocument/2006/relationships/hyperlink" Target="https://www.fcc.gov/general/lifeline-program-low-income-consumers" TargetMode="External"/><Relationship Id="rId4" Type="http://schemas.openxmlformats.org/officeDocument/2006/relationships/hyperlink" Target="http://factfinder.census.gov/faces/tableservices/jsf/pages/productview.xhtml?pid=ACS_14_5YR_S1501&amp;src=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2213</Words>
  <Characters>12095</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2008-07-09T22:02:00Z</cp:lastPrinted>
  <dcterms:created xsi:type="dcterms:W3CDTF">2016-12-19T19:40:00Z</dcterms:created>
  <dcterms:modified xsi:type="dcterms:W3CDTF">2016-12-19T19:40:00Z</dcterms:modified>
  <cp:category> </cp:category>
  <cp:contentStatus> </cp:contentStatus>
</cp:coreProperties>
</file>