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FD" w:rsidRDefault="00FC1CFD">
      <w:pPr>
        <w:jc w:val="center"/>
        <w:rPr>
          <w:b/>
          <w:sz w:val="22"/>
          <w:szCs w:val="22"/>
        </w:rPr>
      </w:pPr>
      <w:bookmarkStart w:id="0" w:name="_GoBack"/>
      <w:bookmarkEnd w:id="0"/>
      <w:r>
        <w:rPr>
          <w:b/>
          <w:sz w:val="22"/>
          <w:szCs w:val="22"/>
        </w:rPr>
        <w:t xml:space="preserve">Before the </w:t>
      </w:r>
    </w:p>
    <w:p w:rsidR="00FC1CFD" w:rsidRDefault="00FC1CFD">
      <w:pPr>
        <w:jc w:val="center"/>
        <w:rPr>
          <w:b/>
          <w:sz w:val="22"/>
          <w:szCs w:val="22"/>
        </w:rPr>
      </w:pPr>
      <w:r>
        <w:rPr>
          <w:b/>
          <w:sz w:val="22"/>
          <w:szCs w:val="22"/>
        </w:rPr>
        <w:t>Federal Communications Commission</w:t>
      </w:r>
    </w:p>
    <w:p w:rsidR="00FC1CFD" w:rsidRDefault="00FC1CFD">
      <w:pPr>
        <w:jc w:val="center"/>
        <w:rPr>
          <w:b/>
          <w:sz w:val="22"/>
          <w:szCs w:val="22"/>
        </w:rPr>
      </w:pPr>
      <w:r>
        <w:rPr>
          <w:b/>
          <w:sz w:val="22"/>
          <w:szCs w:val="22"/>
        </w:rPr>
        <w:t>Washington, D.C. 20554</w:t>
      </w:r>
    </w:p>
    <w:p w:rsidR="00FC1CFD" w:rsidRDefault="00FC1CFD">
      <w:pPr>
        <w:rPr>
          <w:sz w:val="22"/>
          <w:szCs w:val="22"/>
        </w:rPr>
      </w:pPr>
    </w:p>
    <w:p w:rsidR="00D860AB" w:rsidRDefault="00D860AB">
      <w:pPr>
        <w:rPr>
          <w:sz w:val="22"/>
          <w:szCs w:val="22"/>
        </w:rPr>
      </w:pPr>
    </w:p>
    <w:tbl>
      <w:tblPr>
        <w:tblW w:w="9648" w:type="dxa"/>
        <w:tblLayout w:type="fixed"/>
        <w:tblLook w:val="0000" w:firstRow="0" w:lastRow="0" w:firstColumn="0" w:lastColumn="0" w:noHBand="0" w:noVBand="0"/>
      </w:tblPr>
      <w:tblGrid>
        <w:gridCol w:w="4698"/>
        <w:gridCol w:w="720"/>
        <w:gridCol w:w="4230"/>
      </w:tblGrid>
      <w:tr w:rsidR="00FC1CFD">
        <w:tc>
          <w:tcPr>
            <w:tcW w:w="4698" w:type="dxa"/>
          </w:tcPr>
          <w:p w:rsidR="00FC1CFD" w:rsidRDefault="00FC1CFD">
            <w:pPr>
              <w:ind w:right="-18"/>
              <w:rPr>
                <w:sz w:val="22"/>
                <w:szCs w:val="22"/>
              </w:rPr>
            </w:pPr>
            <w:r>
              <w:rPr>
                <w:sz w:val="22"/>
                <w:szCs w:val="22"/>
              </w:rPr>
              <w:t>In the Matter of Application</w:t>
            </w:r>
            <w:r w:rsidR="00CB3358">
              <w:rPr>
                <w:sz w:val="22"/>
                <w:szCs w:val="22"/>
              </w:rPr>
              <w:t>s</w:t>
            </w:r>
            <w:r>
              <w:rPr>
                <w:sz w:val="22"/>
                <w:szCs w:val="22"/>
              </w:rPr>
              <w:t xml:space="preserve"> of</w:t>
            </w:r>
          </w:p>
          <w:p w:rsidR="00FC1CFD" w:rsidRDefault="00FC1CFD">
            <w:pPr>
              <w:ind w:right="-18"/>
              <w:rPr>
                <w:sz w:val="22"/>
                <w:szCs w:val="22"/>
              </w:rPr>
            </w:pPr>
          </w:p>
          <w:p w:rsidR="00FC1CFD" w:rsidRDefault="002A4F10">
            <w:pPr>
              <w:ind w:right="-18"/>
              <w:rPr>
                <w:sz w:val="22"/>
                <w:szCs w:val="22"/>
              </w:rPr>
            </w:pPr>
            <w:r>
              <w:rPr>
                <w:sz w:val="22"/>
                <w:szCs w:val="22"/>
              </w:rPr>
              <w:t>KINGS COUNTY SUPERINTENDENT OF SCHOOLS</w:t>
            </w:r>
          </w:p>
          <w:p w:rsidR="00D860AB" w:rsidRDefault="00D860AB">
            <w:pPr>
              <w:ind w:right="-18"/>
              <w:rPr>
                <w:sz w:val="22"/>
                <w:szCs w:val="22"/>
              </w:rPr>
            </w:pPr>
          </w:p>
          <w:p w:rsidR="00FC1CFD" w:rsidRDefault="00AF7FEC">
            <w:pPr>
              <w:ind w:right="-198"/>
              <w:rPr>
                <w:sz w:val="22"/>
                <w:szCs w:val="22"/>
              </w:rPr>
            </w:pPr>
            <w:r>
              <w:rPr>
                <w:sz w:val="22"/>
                <w:szCs w:val="22"/>
              </w:rPr>
              <w:t>For</w:t>
            </w:r>
            <w:r w:rsidR="00FC1CFD">
              <w:rPr>
                <w:sz w:val="22"/>
                <w:szCs w:val="22"/>
              </w:rPr>
              <w:t xml:space="preserve"> New Educational Broadband Service </w:t>
            </w:r>
            <w:r w:rsidR="00D6752D">
              <w:rPr>
                <w:sz w:val="22"/>
                <w:szCs w:val="22"/>
              </w:rPr>
              <w:t>Station</w:t>
            </w:r>
            <w:r>
              <w:rPr>
                <w:sz w:val="22"/>
                <w:szCs w:val="22"/>
              </w:rPr>
              <w:t>s</w:t>
            </w:r>
          </w:p>
        </w:tc>
        <w:tc>
          <w:tcPr>
            <w:tcW w:w="720" w:type="dxa"/>
          </w:tcPr>
          <w:p w:rsidR="00FC1CFD" w:rsidRDefault="00FC1CFD">
            <w:pPr>
              <w:rPr>
                <w:b/>
                <w:sz w:val="22"/>
                <w:szCs w:val="22"/>
              </w:rPr>
            </w:pPr>
            <w:r>
              <w:rPr>
                <w:b/>
                <w:sz w:val="22"/>
                <w:szCs w:val="22"/>
              </w:rPr>
              <w:t>)</w:t>
            </w:r>
          </w:p>
          <w:p w:rsidR="00FC1CFD" w:rsidRDefault="00FC1CFD">
            <w:pPr>
              <w:rPr>
                <w:b/>
                <w:sz w:val="22"/>
                <w:szCs w:val="22"/>
              </w:rPr>
            </w:pPr>
            <w:r>
              <w:rPr>
                <w:b/>
                <w:sz w:val="22"/>
                <w:szCs w:val="22"/>
              </w:rPr>
              <w:t>)</w:t>
            </w:r>
          </w:p>
          <w:p w:rsidR="00FC1CFD" w:rsidRDefault="00FC1CFD">
            <w:pPr>
              <w:rPr>
                <w:b/>
                <w:sz w:val="22"/>
                <w:szCs w:val="22"/>
              </w:rPr>
            </w:pPr>
            <w:r>
              <w:rPr>
                <w:b/>
                <w:sz w:val="22"/>
                <w:szCs w:val="22"/>
              </w:rPr>
              <w:t>)</w:t>
            </w:r>
          </w:p>
          <w:p w:rsidR="00FC1CFD" w:rsidRDefault="00FC1CFD">
            <w:pPr>
              <w:rPr>
                <w:b/>
                <w:sz w:val="22"/>
                <w:szCs w:val="22"/>
              </w:rPr>
            </w:pPr>
            <w:r>
              <w:rPr>
                <w:b/>
                <w:sz w:val="22"/>
                <w:szCs w:val="22"/>
              </w:rPr>
              <w:t>)</w:t>
            </w:r>
          </w:p>
          <w:p w:rsidR="00FC1CFD" w:rsidRDefault="00FC1CFD">
            <w:pPr>
              <w:rPr>
                <w:b/>
                <w:sz w:val="22"/>
                <w:szCs w:val="22"/>
              </w:rPr>
            </w:pPr>
            <w:r>
              <w:rPr>
                <w:b/>
                <w:sz w:val="22"/>
                <w:szCs w:val="22"/>
              </w:rPr>
              <w:t>)</w:t>
            </w:r>
          </w:p>
          <w:p w:rsidR="00FC1CFD" w:rsidRDefault="00FC1CFD">
            <w:pPr>
              <w:rPr>
                <w:b/>
                <w:sz w:val="22"/>
                <w:szCs w:val="22"/>
              </w:rPr>
            </w:pPr>
            <w:r>
              <w:rPr>
                <w:b/>
                <w:sz w:val="22"/>
                <w:szCs w:val="22"/>
              </w:rPr>
              <w:t>)</w:t>
            </w:r>
          </w:p>
          <w:p w:rsidR="00FC1CFD" w:rsidRDefault="00FC1CFD">
            <w:pPr>
              <w:rPr>
                <w:b/>
                <w:sz w:val="22"/>
                <w:szCs w:val="22"/>
              </w:rPr>
            </w:pPr>
            <w:r>
              <w:rPr>
                <w:b/>
                <w:sz w:val="22"/>
                <w:szCs w:val="22"/>
              </w:rPr>
              <w:t>)</w:t>
            </w:r>
          </w:p>
        </w:tc>
        <w:tc>
          <w:tcPr>
            <w:tcW w:w="4230" w:type="dxa"/>
          </w:tcPr>
          <w:p w:rsidR="00FC1CFD" w:rsidRDefault="00FC1CFD">
            <w:pPr>
              <w:rPr>
                <w:sz w:val="22"/>
                <w:szCs w:val="22"/>
              </w:rPr>
            </w:pPr>
          </w:p>
          <w:p w:rsidR="00FC1CFD" w:rsidRDefault="00FC1CFD">
            <w:pPr>
              <w:rPr>
                <w:sz w:val="22"/>
                <w:szCs w:val="22"/>
              </w:rPr>
            </w:pPr>
          </w:p>
          <w:p w:rsidR="00FC1CFD" w:rsidRDefault="00FC1CFD">
            <w:pPr>
              <w:rPr>
                <w:spacing w:val="-2"/>
                <w:sz w:val="22"/>
                <w:szCs w:val="22"/>
              </w:rPr>
            </w:pPr>
            <w:r>
              <w:rPr>
                <w:spacing w:val="-2"/>
                <w:sz w:val="22"/>
                <w:szCs w:val="22"/>
              </w:rPr>
              <w:t>File No</w:t>
            </w:r>
            <w:r w:rsidR="00EB6F6E">
              <w:rPr>
                <w:spacing w:val="-2"/>
                <w:sz w:val="22"/>
                <w:szCs w:val="22"/>
              </w:rPr>
              <w:t>s</w:t>
            </w:r>
            <w:r>
              <w:rPr>
                <w:spacing w:val="-2"/>
                <w:sz w:val="22"/>
                <w:szCs w:val="22"/>
              </w:rPr>
              <w:t xml:space="preserve">. </w:t>
            </w:r>
            <w:r>
              <w:rPr>
                <w:sz w:val="22"/>
                <w:szCs w:val="22"/>
              </w:rPr>
              <w:t>000</w:t>
            </w:r>
            <w:r w:rsidR="00EB6F6E">
              <w:rPr>
                <w:sz w:val="22"/>
                <w:szCs w:val="22"/>
              </w:rPr>
              <w:t>7</w:t>
            </w:r>
            <w:r w:rsidR="002A4F10">
              <w:rPr>
                <w:sz w:val="22"/>
                <w:szCs w:val="22"/>
              </w:rPr>
              <w:t>432862 and 0007432863</w:t>
            </w:r>
          </w:p>
          <w:p w:rsidR="00FC1CFD" w:rsidRDefault="00FC1CFD">
            <w:pPr>
              <w:rPr>
                <w:sz w:val="22"/>
                <w:szCs w:val="22"/>
              </w:rPr>
            </w:pPr>
          </w:p>
          <w:p w:rsidR="00FC1CFD" w:rsidRDefault="00FC1CFD">
            <w:pPr>
              <w:rPr>
                <w:sz w:val="22"/>
                <w:szCs w:val="22"/>
              </w:rPr>
            </w:pPr>
          </w:p>
        </w:tc>
      </w:tr>
    </w:tbl>
    <w:p w:rsidR="00FC1CFD" w:rsidRDefault="00FC1CFD">
      <w:pPr>
        <w:rPr>
          <w:sz w:val="22"/>
          <w:szCs w:val="22"/>
        </w:rPr>
      </w:pPr>
    </w:p>
    <w:p w:rsidR="00D860AB" w:rsidRDefault="00D860AB">
      <w:pPr>
        <w:rPr>
          <w:sz w:val="22"/>
          <w:szCs w:val="22"/>
        </w:rPr>
      </w:pPr>
    </w:p>
    <w:p w:rsidR="00FC1CFD" w:rsidRDefault="00FC1CFD">
      <w:pPr>
        <w:jc w:val="center"/>
        <w:rPr>
          <w:b/>
          <w:sz w:val="22"/>
          <w:szCs w:val="22"/>
        </w:rPr>
      </w:pPr>
      <w:r>
        <w:rPr>
          <w:b/>
          <w:sz w:val="22"/>
          <w:szCs w:val="22"/>
        </w:rPr>
        <w:t>MEMORANDUM OPINION AND ORDER</w:t>
      </w:r>
    </w:p>
    <w:p w:rsidR="00FC1CFD" w:rsidRDefault="00FC1CFD">
      <w:pPr>
        <w:rPr>
          <w:sz w:val="22"/>
          <w:szCs w:val="22"/>
        </w:rPr>
      </w:pPr>
    </w:p>
    <w:p w:rsidR="00FC1CFD" w:rsidRDefault="00FC1CFD">
      <w:pPr>
        <w:tabs>
          <w:tab w:val="left" w:pos="6480"/>
        </w:tabs>
        <w:rPr>
          <w:b/>
          <w:sz w:val="22"/>
          <w:szCs w:val="22"/>
        </w:rPr>
      </w:pPr>
      <w:r w:rsidRPr="00406CAC">
        <w:rPr>
          <w:b/>
          <w:sz w:val="22"/>
          <w:szCs w:val="22"/>
        </w:rPr>
        <w:t xml:space="preserve">Adopted:  </w:t>
      </w:r>
      <w:r w:rsidR="00B258A6">
        <w:rPr>
          <w:b/>
          <w:sz w:val="22"/>
          <w:szCs w:val="22"/>
        </w:rPr>
        <w:t xml:space="preserve">December </w:t>
      </w:r>
      <w:r w:rsidR="008D0D24">
        <w:rPr>
          <w:b/>
          <w:sz w:val="22"/>
          <w:szCs w:val="22"/>
        </w:rPr>
        <w:t>1</w:t>
      </w:r>
      <w:r w:rsidR="009D1222">
        <w:rPr>
          <w:b/>
          <w:sz w:val="22"/>
          <w:szCs w:val="22"/>
        </w:rPr>
        <w:t>9</w:t>
      </w:r>
      <w:r w:rsidR="00EB6F6E" w:rsidRPr="00B258A6">
        <w:rPr>
          <w:b/>
          <w:sz w:val="22"/>
          <w:szCs w:val="22"/>
        </w:rPr>
        <w:t>, 2016</w:t>
      </w:r>
      <w:r w:rsidRPr="00406CAC">
        <w:rPr>
          <w:sz w:val="22"/>
          <w:szCs w:val="22"/>
        </w:rPr>
        <w:tab/>
      </w:r>
      <w:r w:rsidRPr="00406CAC">
        <w:rPr>
          <w:b/>
          <w:sz w:val="22"/>
          <w:szCs w:val="22"/>
        </w:rPr>
        <w:t xml:space="preserve">Released: </w:t>
      </w:r>
      <w:r w:rsidR="00B258A6">
        <w:rPr>
          <w:b/>
          <w:sz w:val="22"/>
          <w:szCs w:val="22"/>
        </w:rPr>
        <w:t xml:space="preserve">December </w:t>
      </w:r>
      <w:r w:rsidR="009D1222">
        <w:rPr>
          <w:b/>
          <w:sz w:val="22"/>
          <w:szCs w:val="22"/>
        </w:rPr>
        <w:t>20</w:t>
      </w:r>
      <w:r w:rsidR="002A4F10" w:rsidRPr="00B258A6">
        <w:rPr>
          <w:b/>
          <w:sz w:val="22"/>
          <w:szCs w:val="22"/>
        </w:rPr>
        <w:t>,</w:t>
      </w:r>
      <w:r w:rsidR="003A1F43" w:rsidRPr="00B258A6">
        <w:rPr>
          <w:b/>
          <w:sz w:val="22"/>
          <w:szCs w:val="22"/>
        </w:rPr>
        <w:t xml:space="preserve"> 201</w:t>
      </w:r>
      <w:r w:rsidR="00EB6F6E" w:rsidRPr="00B258A6">
        <w:rPr>
          <w:b/>
          <w:sz w:val="22"/>
          <w:szCs w:val="22"/>
        </w:rPr>
        <w:t>6</w:t>
      </w:r>
    </w:p>
    <w:p w:rsidR="00FC1CFD" w:rsidRDefault="00FC1CFD">
      <w:pPr>
        <w:rPr>
          <w:b/>
          <w:sz w:val="22"/>
          <w:szCs w:val="22"/>
        </w:rPr>
      </w:pPr>
    </w:p>
    <w:p w:rsidR="00FC1CFD" w:rsidRDefault="00FC1CFD">
      <w:pPr>
        <w:rPr>
          <w:sz w:val="22"/>
          <w:szCs w:val="22"/>
        </w:rPr>
      </w:pPr>
      <w:r>
        <w:rPr>
          <w:sz w:val="22"/>
          <w:szCs w:val="22"/>
        </w:rPr>
        <w:t xml:space="preserve">By the </w:t>
      </w:r>
      <w:r w:rsidR="00A77374">
        <w:rPr>
          <w:sz w:val="22"/>
          <w:szCs w:val="22"/>
        </w:rPr>
        <w:t xml:space="preserve">Deputy </w:t>
      </w:r>
      <w:r>
        <w:rPr>
          <w:sz w:val="22"/>
          <w:szCs w:val="22"/>
        </w:rPr>
        <w:t xml:space="preserve">Chief, </w:t>
      </w:r>
      <w:r w:rsidR="00E67598">
        <w:rPr>
          <w:sz w:val="22"/>
          <w:szCs w:val="22"/>
        </w:rPr>
        <w:t xml:space="preserve">Broadband Division, </w:t>
      </w:r>
      <w:r>
        <w:rPr>
          <w:sz w:val="22"/>
          <w:szCs w:val="22"/>
        </w:rPr>
        <w:t>Wireless Telecommunications Bureau:</w:t>
      </w:r>
    </w:p>
    <w:p w:rsidR="00FC1CFD" w:rsidRDefault="00FC1CFD">
      <w:pPr>
        <w:rPr>
          <w:sz w:val="22"/>
          <w:szCs w:val="22"/>
        </w:rPr>
      </w:pPr>
    </w:p>
    <w:p w:rsidR="00FC1CFD" w:rsidRDefault="00FC1CFD">
      <w:pPr>
        <w:rPr>
          <w:b/>
          <w:sz w:val="22"/>
          <w:szCs w:val="22"/>
        </w:rPr>
      </w:pPr>
      <w:r>
        <w:rPr>
          <w:b/>
          <w:sz w:val="22"/>
          <w:szCs w:val="22"/>
        </w:rPr>
        <w:t>I.</w:t>
      </w:r>
      <w:r>
        <w:rPr>
          <w:b/>
          <w:sz w:val="22"/>
          <w:szCs w:val="22"/>
        </w:rPr>
        <w:tab/>
      </w:r>
      <w:r>
        <w:rPr>
          <w:rStyle w:val="Heading1Char"/>
          <w:rFonts w:ascii="Times New Roman" w:hAnsi="Times New Roman" w:cs="Times New Roman"/>
          <w:sz w:val="22"/>
          <w:szCs w:val="22"/>
        </w:rPr>
        <w:t>INTRODUCTION</w:t>
      </w:r>
    </w:p>
    <w:p w:rsidR="00FC1CFD" w:rsidRDefault="00FC1CFD">
      <w:pPr>
        <w:rPr>
          <w:sz w:val="22"/>
          <w:szCs w:val="22"/>
        </w:rPr>
      </w:pPr>
    </w:p>
    <w:p w:rsidR="002A1A73" w:rsidRDefault="0014237B">
      <w:pPr>
        <w:numPr>
          <w:ilvl w:val="1"/>
          <w:numId w:val="16"/>
        </w:numPr>
        <w:tabs>
          <w:tab w:val="clear" w:pos="2160"/>
          <w:tab w:val="num" w:pos="1440"/>
        </w:tabs>
        <w:spacing w:after="220"/>
        <w:ind w:left="0"/>
        <w:rPr>
          <w:sz w:val="22"/>
          <w:szCs w:val="22"/>
        </w:rPr>
      </w:pPr>
      <w:r>
        <w:rPr>
          <w:sz w:val="22"/>
          <w:szCs w:val="22"/>
        </w:rPr>
        <w:t xml:space="preserve">On </w:t>
      </w:r>
      <w:r w:rsidR="002A4F10">
        <w:rPr>
          <w:sz w:val="22"/>
          <w:szCs w:val="22"/>
        </w:rPr>
        <w:t>August 17, 2016</w:t>
      </w:r>
      <w:r>
        <w:rPr>
          <w:sz w:val="22"/>
          <w:szCs w:val="22"/>
        </w:rPr>
        <w:t>, t</w:t>
      </w:r>
      <w:r w:rsidR="00383B08">
        <w:rPr>
          <w:sz w:val="22"/>
          <w:szCs w:val="22"/>
        </w:rPr>
        <w:t xml:space="preserve">he </w:t>
      </w:r>
      <w:r w:rsidR="002A4F10">
        <w:rPr>
          <w:sz w:val="22"/>
          <w:szCs w:val="22"/>
        </w:rPr>
        <w:t xml:space="preserve">Kings County Superintendent of Schools </w:t>
      </w:r>
      <w:r w:rsidR="00383B08">
        <w:rPr>
          <w:sz w:val="22"/>
          <w:szCs w:val="22"/>
        </w:rPr>
        <w:t>(</w:t>
      </w:r>
      <w:r w:rsidR="00B35093">
        <w:rPr>
          <w:sz w:val="22"/>
          <w:szCs w:val="22"/>
        </w:rPr>
        <w:t>KCSS</w:t>
      </w:r>
      <w:r w:rsidR="00383B08">
        <w:rPr>
          <w:sz w:val="22"/>
          <w:szCs w:val="22"/>
        </w:rPr>
        <w:t>) filed applications and a w</w:t>
      </w:r>
      <w:r w:rsidR="00DC0112">
        <w:rPr>
          <w:sz w:val="22"/>
          <w:szCs w:val="22"/>
        </w:rPr>
        <w:t xml:space="preserve">aiver request in support of those </w:t>
      </w:r>
      <w:r w:rsidR="00383B08">
        <w:rPr>
          <w:sz w:val="22"/>
          <w:szCs w:val="22"/>
        </w:rPr>
        <w:t xml:space="preserve">applications for </w:t>
      </w:r>
      <w:r w:rsidR="00C94523">
        <w:rPr>
          <w:sz w:val="22"/>
          <w:szCs w:val="22"/>
        </w:rPr>
        <w:t xml:space="preserve">new </w:t>
      </w:r>
      <w:r w:rsidR="00383B08">
        <w:rPr>
          <w:sz w:val="22"/>
          <w:szCs w:val="22"/>
        </w:rPr>
        <w:t xml:space="preserve">Educational Broadband Service (EBS) channels </w:t>
      </w:r>
      <w:r w:rsidR="00E67598">
        <w:rPr>
          <w:sz w:val="22"/>
          <w:szCs w:val="22"/>
        </w:rPr>
        <w:t>for</w:t>
      </w:r>
      <w:r w:rsidR="002A4F10">
        <w:rPr>
          <w:sz w:val="22"/>
          <w:szCs w:val="22"/>
        </w:rPr>
        <w:t xml:space="preserve"> certain areas</w:t>
      </w:r>
      <w:r w:rsidR="00E67598">
        <w:rPr>
          <w:sz w:val="22"/>
          <w:szCs w:val="22"/>
        </w:rPr>
        <w:t xml:space="preserve"> covering </w:t>
      </w:r>
      <w:r w:rsidR="002A4F10">
        <w:rPr>
          <w:sz w:val="22"/>
          <w:szCs w:val="22"/>
        </w:rPr>
        <w:t>Kings County, California outside of</w:t>
      </w:r>
      <w:r w:rsidR="00CF56D4">
        <w:rPr>
          <w:sz w:val="22"/>
          <w:szCs w:val="22"/>
        </w:rPr>
        <w:t xml:space="preserve"> areas already </w:t>
      </w:r>
      <w:r w:rsidR="004F2188">
        <w:rPr>
          <w:sz w:val="22"/>
          <w:szCs w:val="22"/>
        </w:rPr>
        <w:t>perman</w:t>
      </w:r>
      <w:r w:rsidR="00304622">
        <w:rPr>
          <w:sz w:val="22"/>
          <w:szCs w:val="22"/>
        </w:rPr>
        <w:t xml:space="preserve">ently </w:t>
      </w:r>
      <w:r w:rsidR="00CF56D4">
        <w:rPr>
          <w:sz w:val="22"/>
          <w:szCs w:val="22"/>
        </w:rPr>
        <w:t>licensed to KCSS</w:t>
      </w:r>
      <w:r w:rsidR="002A4F10">
        <w:rPr>
          <w:sz w:val="22"/>
          <w:szCs w:val="22"/>
        </w:rPr>
        <w:t>.</w:t>
      </w:r>
      <w:r w:rsidR="002F0A63">
        <w:rPr>
          <w:rStyle w:val="FootnoteReference"/>
          <w:sz w:val="22"/>
          <w:szCs w:val="22"/>
        </w:rPr>
        <w:footnoteReference w:id="1"/>
      </w:r>
      <w:r w:rsidR="00383B08">
        <w:rPr>
          <w:sz w:val="22"/>
          <w:szCs w:val="22"/>
        </w:rPr>
        <w:t xml:space="preserve">  </w:t>
      </w:r>
      <w:r w:rsidR="002A1A73">
        <w:rPr>
          <w:sz w:val="22"/>
          <w:szCs w:val="22"/>
        </w:rPr>
        <w:t xml:space="preserve">In this </w:t>
      </w:r>
      <w:r w:rsidR="002A1A73" w:rsidRPr="007242BD">
        <w:rPr>
          <w:i/>
          <w:sz w:val="22"/>
          <w:szCs w:val="22"/>
        </w:rPr>
        <w:t>Memorandum Opinion and Order</w:t>
      </w:r>
      <w:r w:rsidR="002A1A73">
        <w:rPr>
          <w:sz w:val="22"/>
          <w:szCs w:val="22"/>
        </w:rPr>
        <w:t xml:space="preserve">, subject to certain conditions, we grant </w:t>
      </w:r>
      <w:r w:rsidR="00C94523">
        <w:rPr>
          <w:sz w:val="22"/>
          <w:szCs w:val="22"/>
        </w:rPr>
        <w:t>to</w:t>
      </w:r>
      <w:r w:rsidR="00EC436B">
        <w:rPr>
          <w:sz w:val="22"/>
          <w:szCs w:val="22"/>
        </w:rPr>
        <w:t xml:space="preserve"> KCSS</w:t>
      </w:r>
      <w:r w:rsidR="00FC1CFD">
        <w:rPr>
          <w:sz w:val="22"/>
          <w:szCs w:val="22"/>
        </w:rPr>
        <w:t xml:space="preserve"> </w:t>
      </w:r>
      <w:r w:rsidR="002A1A73">
        <w:rPr>
          <w:sz w:val="22"/>
          <w:szCs w:val="22"/>
        </w:rPr>
        <w:t xml:space="preserve">a waiver of the filing freeze on new </w:t>
      </w:r>
      <w:r w:rsidR="00DC0112">
        <w:rPr>
          <w:sz w:val="22"/>
          <w:szCs w:val="22"/>
        </w:rPr>
        <w:t>EBS</w:t>
      </w:r>
      <w:r w:rsidR="002A1A73">
        <w:rPr>
          <w:sz w:val="22"/>
          <w:szCs w:val="22"/>
        </w:rPr>
        <w:t xml:space="preserve"> applicat</w:t>
      </w:r>
      <w:r w:rsidR="00012B1E">
        <w:rPr>
          <w:sz w:val="22"/>
          <w:szCs w:val="22"/>
        </w:rPr>
        <w:t>ions and a waiver of Section 1.</w:t>
      </w:r>
      <w:r w:rsidR="002A1A73">
        <w:rPr>
          <w:sz w:val="22"/>
          <w:szCs w:val="22"/>
        </w:rPr>
        <w:t>913(b)</w:t>
      </w:r>
      <w:r w:rsidR="00012B1E">
        <w:rPr>
          <w:rStyle w:val="FootnoteReference"/>
          <w:sz w:val="22"/>
          <w:szCs w:val="22"/>
        </w:rPr>
        <w:footnoteReference w:id="2"/>
      </w:r>
      <w:r w:rsidR="002A1A73">
        <w:rPr>
          <w:sz w:val="22"/>
          <w:szCs w:val="22"/>
        </w:rPr>
        <w:t xml:space="preserve"> of the Commission’s rules to permit manual filing of its application</w:t>
      </w:r>
      <w:r w:rsidR="00EB6F6E">
        <w:rPr>
          <w:sz w:val="22"/>
          <w:szCs w:val="22"/>
        </w:rPr>
        <w:t>s</w:t>
      </w:r>
      <w:r w:rsidR="002A1A73">
        <w:rPr>
          <w:sz w:val="22"/>
          <w:szCs w:val="22"/>
        </w:rPr>
        <w:t>.</w:t>
      </w:r>
    </w:p>
    <w:p w:rsidR="00FC1CFD" w:rsidRDefault="00FC1CFD">
      <w:pPr>
        <w:pStyle w:val="Heading1"/>
        <w:spacing w:before="0" w:after="220"/>
        <w:rPr>
          <w:rFonts w:ascii="Times New Roman" w:hAnsi="Times New Roman"/>
          <w:sz w:val="22"/>
        </w:rPr>
      </w:pPr>
      <w:r>
        <w:rPr>
          <w:rFonts w:ascii="Times New Roman" w:hAnsi="Times New Roman"/>
          <w:sz w:val="22"/>
        </w:rPr>
        <w:t>II.</w:t>
      </w:r>
      <w:r>
        <w:rPr>
          <w:rFonts w:ascii="Times New Roman" w:hAnsi="Times New Roman"/>
          <w:sz w:val="22"/>
        </w:rPr>
        <w:tab/>
        <w:t>BACKGROUND</w:t>
      </w:r>
    </w:p>
    <w:p w:rsidR="00FC1CFD" w:rsidRDefault="00FC1CFD">
      <w:pPr>
        <w:numPr>
          <w:ilvl w:val="1"/>
          <w:numId w:val="16"/>
        </w:numPr>
        <w:tabs>
          <w:tab w:val="clear" w:pos="2160"/>
          <w:tab w:val="num" w:pos="1440"/>
        </w:tabs>
        <w:spacing w:after="220"/>
        <w:ind w:left="0"/>
        <w:rPr>
          <w:sz w:val="22"/>
          <w:szCs w:val="22"/>
        </w:rPr>
      </w:pPr>
      <w:r>
        <w:rPr>
          <w:i/>
          <w:sz w:val="22"/>
          <w:szCs w:val="22"/>
        </w:rPr>
        <w:t>2500-2690 MHz Band Generally</w:t>
      </w:r>
      <w:r>
        <w:rPr>
          <w:sz w:val="22"/>
          <w:szCs w:val="22"/>
        </w:rPr>
        <w:t>.  In developing regulatory policies in the 2500-2690 MHz band over the last several decades, the Commission has been cognizant of this band’s potential to host a variety of services.  In 1963, the Commission established the Instructional Television Fixed Service (ITFS) in the 2500-2690 MHz band,</w:t>
      </w:r>
      <w:r>
        <w:rPr>
          <w:rStyle w:val="FootnoteReference"/>
          <w:sz w:val="22"/>
          <w:szCs w:val="22"/>
        </w:rPr>
        <w:footnoteReference w:id="3"/>
      </w:r>
      <w:r>
        <w:rPr>
          <w:sz w:val="22"/>
          <w:szCs w:val="22"/>
        </w:rPr>
        <w:t xml:space="preserve"> envisioning that it would be used for transmission of instructional material to accredited public and private schools, colleges and universities for the formal education of students.</w:t>
      </w:r>
      <w:r>
        <w:rPr>
          <w:rStyle w:val="FootnoteReference"/>
          <w:sz w:val="22"/>
          <w:szCs w:val="22"/>
        </w:rPr>
        <w:footnoteReference w:id="4"/>
      </w:r>
      <w:r>
        <w:rPr>
          <w:sz w:val="22"/>
          <w:szCs w:val="22"/>
        </w:rPr>
        <w:t xml:space="preserve">  In 1983, in response to the demand for additional spectrum for delivery of video entertainment programming to subscribers, the Commission re-allotted eight ITFS channels (the E and F channel </w:t>
      </w:r>
      <w:r>
        <w:rPr>
          <w:sz w:val="22"/>
          <w:szCs w:val="22"/>
        </w:rPr>
        <w:lastRenderedPageBreak/>
        <w:t>blocks) and associated response channels for use by the Multipoint Distribution Service (MDS).</w:t>
      </w:r>
      <w:r>
        <w:rPr>
          <w:rStyle w:val="FootnoteReference"/>
          <w:sz w:val="22"/>
          <w:szCs w:val="22"/>
        </w:rPr>
        <w:footnoteReference w:id="5"/>
      </w:r>
      <w:r>
        <w:rPr>
          <w:sz w:val="22"/>
          <w:szCs w:val="22"/>
        </w:rPr>
        <w:t xml:space="preserve"> </w:t>
      </w:r>
      <w:r w:rsidR="00A93A92">
        <w:rPr>
          <w:sz w:val="22"/>
          <w:szCs w:val="22"/>
        </w:rPr>
        <w:t xml:space="preserve"> </w:t>
      </w:r>
      <w:r>
        <w:rPr>
          <w:sz w:val="22"/>
          <w:szCs w:val="22"/>
        </w:rPr>
        <w:t>In conjunction with this re-allotment, the FCC permitted ITFS licensees to lease “excess capacity” on their facilities to commercial entities.</w:t>
      </w:r>
      <w:r>
        <w:rPr>
          <w:rStyle w:val="FootnoteReference"/>
          <w:sz w:val="22"/>
          <w:szCs w:val="22"/>
        </w:rPr>
        <w:footnoteReference w:id="6"/>
      </w:r>
    </w:p>
    <w:p w:rsidR="00FC1CFD" w:rsidRDefault="00FC1CFD">
      <w:pPr>
        <w:numPr>
          <w:ilvl w:val="1"/>
          <w:numId w:val="16"/>
        </w:numPr>
        <w:tabs>
          <w:tab w:val="clear" w:pos="2160"/>
          <w:tab w:val="num" w:pos="1440"/>
        </w:tabs>
        <w:spacing w:after="220"/>
        <w:ind w:left="0"/>
        <w:rPr>
          <w:sz w:val="22"/>
          <w:szCs w:val="22"/>
        </w:rPr>
      </w:pPr>
      <w:r>
        <w:rPr>
          <w:sz w:val="22"/>
          <w:szCs w:val="22"/>
        </w:rPr>
        <w:t>In April 2003, the Commission proposed new technical rules and a new band plan for ITFS and MDS spectrum (changing the service names to EBS and Broadband Radio Service (BRS), respectively).</w:t>
      </w:r>
      <w:r w:rsidR="00A93A92">
        <w:rPr>
          <w:rStyle w:val="FootnoteReference"/>
          <w:sz w:val="22"/>
          <w:szCs w:val="22"/>
        </w:rPr>
        <w:footnoteReference w:id="7"/>
      </w:r>
      <w:r w:rsidR="00CE0D87">
        <w:rPr>
          <w:sz w:val="22"/>
          <w:szCs w:val="22"/>
        </w:rPr>
        <w:t xml:space="preserve">  At </w:t>
      </w:r>
      <w:r>
        <w:rPr>
          <w:sz w:val="22"/>
          <w:szCs w:val="22"/>
        </w:rPr>
        <w:t>the same time, it implemented a filing freeze with respect to all applications for new BRS and EBS licenses, as well as for major modifications of those licenses, in order to permit the orderly and effective resolution of issues in the BRS/EBS proceeding.</w:t>
      </w:r>
      <w:r>
        <w:rPr>
          <w:rStyle w:val="FootnoteReference"/>
          <w:sz w:val="22"/>
          <w:szCs w:val="22"/>
        </w:rPr>
        <w:footnoteReference w:id="8"/>
      </w:r>
      <w:r>
        <w:rPr>
          <w:sz w:val="22"/>
          <w:szCs w:val="22"/>
        </w:rPr>
        <w:t xml:space="preserve">  In August 2003, the Commission modified the freeze by permitting the filing of applications for new BRS licenses and major modifications of those licenses.</w:t>
      </w:r>
      <w:r>
        <w:rPr>
          <w:rStyle w:val="FootnoteReference"/>
          <w:sz w:val="22"/>
          <w:szCs w:val="22"/>
        </w:rPr>
        <w:footnoteReference w:id="9"/>
      </w:r>
      <w:r>
        <w:rPr>
          <w:sz w:val="22"/>
          <w:szCs w:val="22"/>
        </w:rPr>
        <w:t xml:space="preserve">  The Commission also permitted the filing of applications for major modifications of EBS licenses, but maintained the filing freeze with respect to applications for new EBS licenses.</w:t>
      </w:r>
      <w:r>
        <w:rPr>
          <w:rStyle w:val="FootnoteReference"/>
          <w:sz w:val="22"/>
          <w:szCs w:val="22"/>
        </w:rPr>
        <w:footnoteReference w:id="10"/>
      </w:r>
      <w:r>
        <w:rPr>
          <w:sz w:val="22"/>
          <w:szCs w:val="22"/>
        </w:rPr>
        <w:t xml:space="preserve"> </w:t>
      </w:r>
      <w:r w:rsidR="00764A1C">
        <w:rPr>
          <w:sz w:val="22"/>
          <w:szCs w:val="22"/>
        </w:rPr>
        <w:t xml:space="preserve"> </w:t>
      </w:r>
      <w:r>
        <w:rPr>
          <w:sz w:val="22"/>
          <w:szCs w:val="22"/>
        </w:rPr>
        <w:t>On June 10, 2004, the Commission adopted new rules that initiated a fundamental restructuring of the 2500-2690 MHz band in order to provide both existing EBS and BRS licensees and potential new entrants greater flexibility in order to encourage the highest and best use of spectrum domestically and internationally.</w:t>
      </w:r>
      <w:r>
        <w:rPr>
          <w:rStyle w:val="FootnoteReference"/>
          <w:sz w:val="22"/>
          <w:szCs w:val="22"/>
        </w:rPr>
        <w:t xml:space="preserve"> </w:t>
      </w:r>
      <w:r>
        <w:rPr>
          <w:rStyle w:val="FootnoteReference"/>
          <w:sz w:val="22"/>
          <w:szCs w:val="22"/>
        </w:rPr>
        <w:footnoteReference w:id="11"/>
      </w:r>
      <w:r>
        <w:rPr>
          <w:sz w:val="22"/>
          <w:szCs w:val="22"/>
        </w:rPr>
        <w:t xml:space="preserve">  </w:t>
      </w:r>
      <w:r w:rsidR="00D6752D">
        <w:rPr>
          <w:sz w:val="22"/>
          <w:szCs w:val="22"/>
        </w:rPr>
        <w:t>In 2008</w:t>
      </w:r>
      <w:r>
        <w:rPr>
          <w:sz w:val="22"/>
          <w:szCs w:val="22"/>
        </w:rPr>
        <w:t>, the Commission sought comment on how to license unassigned EBS spectrum.</w:t>
      </w:r>
      <w:r>
        <w:rPr>
          <w:rStyle w:val="FootnoteReference"/>
          <w:sz w:val="22"/>
          <w:szCs w:val="22"/>
        </w:rPr>
        <w:footnoteReference w:id="12"/>
      </w:r>
    </w:p>
    <w:p w:rsidR="00EC436B" w:rsidRPr="00753D8C" w:rsidRDefault="007142AB" w:rsidP="00753D8C">
      <w:pPr>
        <w:numPr>
          <w:ilvl w:val="1"/>
          <w:numId w:val="16"/>
        </w:numPr>
        <w:tabs>
          <w:tab w:val="clear" w:pos="2160"/>
          <w:tab w:val="num" w:pos="1440"/>
        </w:tabs>
        <w:spacing w:after="220"/>
        <w:ind w:left="0"/>
        <w:rPr>
          <w:sz w:val="22"/>
          <w:szCs w:val="22"/>
        </w:rPr>
      </w:pPr>
      <w:r>
        <w:rPr>
          <w:i/>
          <w:sz w:val="22"/>
          <w:szCs w:val="22"/>
        </w:rPr>
        <w:t>Kings County</w:t>
      </w:r>
      <w:r w:rsidR="00FC1CFD">
        <w:rPr>
          <w:i/>
          <w:sz w:val="22"/>
          <w:szCs w:val="22"/>
        </w:rPr>
        <w:t xml:space="preserve"> Application</w:t>
      </w:r>
      <w:r w:rsidR="007A7C52">
        <w:rPr>
          <w:i/>
          <w:sz w:val="22"/>
          <w:szCs w:val="22"/>
        </w:rPr>
        <w:t>s</w:t>
      </w:r>
      <w:r w:rsidR="00FC1CFD">
        <w:rPr>
          <w:sz w:val="22"/>
          <w:szCs w:val="22"/>
        </w:rPr>
        <w:t xml:space="preserve">.  </w:t>
      </w:r>
      <w:r w:rsidR="00530BCA" w:rsidRPr="00530BCA">
        <w:rPr>
          <w:sz w:val="22"/>
          <w:szCs w:val="22"/>
        </w:rPr>
        <w:t>KCSS is the official name for the Kings County Office of Education, one of fifty-eight county offices of education in the State of California.</w:t>
      </w:r>
      <w:r w:rsidR="00E9412C">
        <w:rPr>
          <w:rStyle w:val="FootnoteReference"/>
          <w:sz w:val="22"/>
          <w:szCs w:val="22"/>
        </w:rPr>
        <w:footnoteReference w:id="13"/>
      </w:r>
      <w:r w:rsidR="00530BCA" w:rsidRPr="00530BCA">
        <w:rPr>
          <w:sz w:val="22"/>
          <w:szCs w:val="22"/>
        </w:rPr>
        <w:t xml:space="preserve">  KCSS provides technical assistance, curriculum and instructional support, staff development, financial support services, and oversight to all</w:t>
      </w:r>
      <w:r w:rsidR="00534FFF">
        <w:rPr>
          <w:sz w:val="22"/>
          <w:szCs w:val="22"/>
        </w:rPr>
        <w:t xml:space="preserve"> </w:t>
      </w:r>
      <w:r w:rsidR="00530BCA" w:rsidRPr="00530BCA">
        <w:rPr>
          <w:sz w:val="22"/>
          <w:szCs w:val="22"/>
        </w:rPr>
        <w:t>Kings County public school districts.</w:t>
      </w:r>
      <w:r w:rsidR="00E9412C">
        <w:rPr>
          <w:rStyle w:val="FootnoteReference"/>
          <w:sz w:val="22"/>
          <w:szCs w:val="22"/>
        </w:rPr>
        <w:footnoteReference w:id="14"/>
      </w:r>
      <w:r w:rsidR="00530BCA" w:rsidRPr="00530BCA">
        <w:rPr>
          <w:sz w:val="22"/>
          <w:szCs w:val="22"/>
        </w:rPr>
        <w:t xml:space="preserve">  KCSS delivers education to more than 27,000 </w:t>
      </w:r>
      <w:r w:rsidR="00530BCA" w:rsidRPr="00530BCA">
        <w:rPr>
          <w:sz w:val="22"/>
          <w:szCs w:val="22"/>
        </w:rPr>
        <w:lastRenderedPageBreak/>
        <w:t>K-12 public school students in the county.</w:t>
      </w:r>
      <w:r w:rsidR="00E9412C">
        <w:rPr>
          <w:rStyle w:val="FootnoteReference"/>
          <w:sz w:val="22"/>
          <w:szCs w:val="22"/>
        </w:rPr>
        <w:footnoteReference w:id="15"/>
      </w:r>
      <w:r w:rsidR="00530BCA" w:rsidRPr="00530BCA">
        <w:rPr>
          <w:sz w:val="22"/>
          <w:szCs w:val="22"/>
        </w:rPr>
        <w:t xml:space="preserve">  In addition, KCSS is itself an accredited educational institution, providing direct instruction to students by operating four schools: two alternative schools for Court and Community School, and two special education schools providing for pupils with special needs throughout Kings County.</w:t>
      </w:r>
      <w:r w:rsidR="00001B6D">
        <w:rPr>
          <w:rStyle w:val="FootnoteReference"/>
          <w:sz w:val="22"/>
          <w:szCs w:val="22"/>
        </w:rPr>
        <w:footnoteReference w:id="16"/>
      </w:r>
      <w:r w:rsidR="00753D8C">
        <w:rPr>
          <w:sz w:val="22"/>
          <w:szCs w:val="22"/>
        </w:rPr>
        <w:t xml:space="preserve">  </w:t>
      </w:r>
    </w:p>
    <w:p w:rsidR="00EC436B" w:rsidRPr="00636E87" w:rsidRDefault="00EC436B" w:rsidP="00636E87">
      <w:pPr>
        <w:numPr>
          <w:ilvl w:val="1"/>
          <w:numId w:val="16"/>
        </w:numPr>
        <w:tabs>
          <w:tab w:val="clear" w:pos="2160"/>
          <w:tab w:val="num" w:pos="1440"/>
        </w:tabs>
        <w:spacing w:after="220"/>
        <w:ind w:left="0"/>
        <w:rPr>
          <w:sz w:val="22"/>
          <w:szCs w:val="22"/>
        </w:rPr>
      </w:pPr>
      <w:r w:rsidRPr="00EC436B">
        <w:rPr>
          <w:sz w:val="22"/>
          <w:szCs w:val="22"/>
        </w:rPr>
        <w:t>KCSS is the current licensee of EBS station WNC785 on the B channel group, with a GSA that covers the eastern-most portion of Kings County.</w:t>
      </w:r>
      <w:r w:rsidR="006E70B4">
        <w:rPr>
          <w:rStyle w:val="FootnoteReference"/>
          <w:sz w:val="22"/>
          <w:szCs w:val="22"/>
        </w:rPr>
        <w:footnoteReference w:id="17"/>
      </w:r>
      <w:r w:rsidRPr="00EC436B">
        <w:rPr>
          <w:sz w:val="22"/>
          <w:szCs w:val="22"/>
        </w:rPr>
        <w:t xml:space="preserve">  KCSS also utilizes capacity on the G channel group channels of EBS station WNC790 within the same portion of Kings County under a cooperative arrangement with neighboring Tulare County Superintendent of Schools, which is the licensee of WNC790.</w:t>
      </w:r>
      <w:r>
        <w:rPr>
          <w:rStyle w:val="FootnoteReference"/>
          <w:sz w:val="22"/>
          <w:szCs w:val="22"/>
        </w:rPr>
        <w:footnoteReference w:id="18"/>
      </w:r>
      <w:r w:rsidR="009875EF" w:rsidRPr="009875EF">
        <w:rPr>
          <w:sz w:val="22"/>
          <w:szCs w:val="22"/>
        </w:rPr>
        <w:t xml:space="preserve"> </w:t>
      </w:r>
      <w:r w:rsidR="00636E87">
        <w:rPr>
          <w:sz w:val="22"/>
          <w:szCs w:val="22"/>
        </w:rPr>
        <w:t xml:space="preserve"> </w:t>
      </w:r>
    </w:p>
    <w:p w:rsidR="00CC2575" w:rsidRPr="00CC2575" w:rsidRDefault="00CC2575" w:rsidP="00CC2575">
      <w:pPr>
        <w:numPr>
          <w:ilvl w:val="1"/>
          <w:numId w:val="16"/>
        </w:numPr>
        <w:tabs>
          <w:tab w:val="clear" w:pos="2160"/>
          <w:tab w:val="num" w:pos="1440"/>
        </w:tabs>
        <w:spacing w:after="220"/>
        <w:ind w:left="0"/>
        <w:rPr>
          <w:sz w:val="22"/>
          <w:szCs w:val="22"/>
        </w:rPr>
      </w:pPr>
      <w:r>
        <w:rPr>
          <w:sz w:val="22"/>
          <w:szCs w:val="22"/>
        </w:rPr>
        <w:t>On June 27, 2011</w:t>
      </w:r>
      <w:r w:rsidR="00CF56D4">
        <w:rPr>
          <w:sz w:val="22"/>
          <w:szCs w:val="22"/>
        </w:rPr>
        <w:t xml:space="preserve">, KCSS applied for </w:t>
      </w:r>
      <w:r w:rsidR="00EC436B" w:rsidRPr="00EC436B">
        <w:rPr>
          <w:sz w:val="22"/>
          <w:szCs w:val="22"/>
        </w:rPr>
        <w:t>S</w:t>
      </w:r>
      <w:r w:rsidR="00CF56D4">
        <w:rPr>
          <w:sz w:val="22"/>
          <w:szCs w:val="22"/>
        </w:rPr>
        <w:t xml:space="preserve">pecial </w:t>
      </w:r>
      <w:r w:rsidR="00EC436B" w:rsidRPr="00EC436B">
        <w:rPr>
          <w:sz w:val="22"/>
          <w:szCs w:val="22"/>
        </w:rPr>
        <w:t>T</w:t>
      </w:r>
      <w:r w:rsidR="00CF56D4">
        <w:rPr>
          <w:sz w:val="22"/>
          <w:szCs w:val="22"/>
        </w:rPr>
        <w:t xml:space="preserve">emporary </w:t>
      </w:r>
      <w:r w:rsidR="00EC436B" w:rsidRPr="00EC436B">
        <w:rPr>
          <w:sz w:val="22"/>
          <w:szCs w:val="22"/>
        </w:rPr>
        <w:t>A</w:t>
      </w:r>
      <w:r w:rsidR="00CF56D4">
        <w:rPr>
          <w:sz w:val="22"/>
          <w:szCs w:val="22"/>
        </w:rPr>
        <w:t>uthority (STA)</w:t>
      </w:r>
      <w:r w:rsidR="00EC436B" w:rsidRPr="00EC436B">
        <w:rPr>
          <w:sz w:val="22"/>
          <w:szCs w:val="22"/>
        </w:rPr>
        <w:t xml:space="preserve"> to operate the B and G group EBS channels within the portions of Kings County that were not within the GSA of any other licensed co-channel EBS station.</w:t>
      </w:r>
      <w:r w:rsidR="006E70B4">
        <w:rPr>
          <w:rStyle w:val="FootnoteReference"/>
          <w:sz w:val="22"/>
          <w:szCs w:val="22"/>
        </w:rPr>
        <w:footnoteReference w:id="19"/>
      </w:r>
      <w:r w:rsidR="00EC436B" w:rsidRPr="00EC436B">
        <w:rPr>
          <w:sz w:val="22"/>
          <w:szCs w:val="22"/>
        </w:rPr>
        <w:t xml:space="preserve">   </w:t>
      </w:r>
      <w:r w:rsidR="004A2809">
        <w:rPr>
          <w:sz w:val="22"/>
          <w:szCs w:val="22"/>
        </w:rPr>
        <w:t>The Wireles</w:t>
      </w:r>
      <w:r>
        <w:rPr>
          <w:sz w:val="22"/>
          <w:szCs w:val="22"/>
        </w:rPr>
        <w:t>s Telecommunications Bureau (“Bureau”)</w:t>
      </w:r>
      <w:r w:rsidR="00EC436B" w:rsidRPr="00EC436B">
        <w:rPr>
          <w:sz w:val="22"/>
          <w:szCs w:val="22"/>
        </w:rPr>
        <w:t xml:space="preserve"> granted STA</w:t>
      </w:r>
      <w:r w:rsidR="008C5DEF">
        <w:rPr>
          <w:sz w:val="22"/>
          <w:szCs w:val="22"/>
        </w:rPr>
        <w:t>s</w:t>
      </w:r>
      <w:r w:rsidR="00EC436B" w:rsidRPr="00EC436B">
        <w:rPr>
          <w:sz w:val="22"/>
          <w:szCs w:val="22"/>
        </w:rPr>
        <w:t xml:space="preserve"> on the B group </w:t>
      </w:r>
      <w:r w:rsidR="008C5DEF">
        <w:rPr>
          <w:sz w:val="22"/>
          <w:szCs w:val="22"/>
        </w:rPr>
        <w:t xml:space="preserve">(call sign WQOE779) </w:t>
      </w:r>
      <w:r w:rsidR="00EC436B" w:rsidRPr="00EC436B">
        <w:rPr>
          <w:sz w:val="22"/>
          <w:szCs w:val="22"/>
        </w:rPr>
        <w:t xml:space="preserve">and G group </w:t>
      </w:r>
      <w:r w:rsidR="008C5DEF" w:rsidRPr="008C5DEF">
        <w:rPr>
          <w:sz w:val="22"/>
          <w:szCs w:val="22"/>
        </w:rPr>
        <w:t>(call sign WQ</w:t>
      </w:r>
      <w:r w:rsidR="008C5DEF">
        <w:rPr>
          <w:sz w:val="22"/>
          <w:szCs w:val="22"/>
        </w:rPr>
        <w:t>O</w:t>
      </w:r>
      <w:r w:rsidR="008C5DEF" w:rsidRPr="008C5DEF">
        <w:rPr>
          <w:sz w:val="22"/>
          <w:szCs w:val="22"/>
        </w:rPr>
        <w:t>E77</w:t>
      </w:r>
      <w:r w:rsidR="008C5DEF">
        <w:rPr>
          <w:sz w:val="22"/>
          <w:szCs w:val="22"/>
        </w:rPr>
        <w:t>8</w:t>
      </w:r>
      <w:r w:rsidR="008C5DEF" w:rsidRPr="008C5DEF">
        <w:rPr>
          <w:sz w:val="22"/>
          <w:szCs w:val="22"/>
        </w:rPr>
        <w:t>)</w:t>
      </w:r>
      <w:r w:rsidR="008C5DEF">
        <w:rPr>
          <w:sz w:val="22"/>
          <w:szCs w:val="22"/>
        </w:rPr>
        <w:t xml:space="preserve"> </w:t>
      </w:r>
      <w:r w:rsidR="00EC436B" w:rsidRPr="00EC436B">
        <w:rPr>
          <w:sz w:val="22"/>
          <w:szCs w:val="22"/>
        </w:rPr>
        <w:t>on September 2, 2011.</w:t>
      </w:r>
      <w:r w:rsidR="006E70B4">
        <w:rPr>
          <w:rStyle w:val="FootnoteReference"/>
          <w:sz w:val="22"/>
          <w:szCs w:val="22"/>
        </w:rPr>
        <w:footnoteReference w:id="20"/>
      </w:r>
      <w:r w:rsidR="00EC436B" w:rsidRPr="00EC436B">
        <w:rPr>
          <w:sz w:val="22"/>
          <w:szCs w:val="22"/>
        </w:rPr>
        <w:t xml:space="preserve">  </w:t>
      </w:r>
      <w:r w:rsidRPr="00E661DF">
        <w:rPr>
          <w:sz w:val="22"/>
          <w:szCs w:val="22"/>
        </w:rPr>
        <w:t>The Bureau placed conditions on the grant</w:t>
      </w:r>
      <w:r w:rsidR="00510625">
        <w:rPr>
          <w:sz w:val="22"/>
          <w:szCs w:val="22"/>
        </w:rPr>
        <w:t>s of STA</w:t>
      </w:r>
      <w:r>
        <w:rPr>
          <w:sz w:val="22"/>
          <w:szCs w:val="22"/>
        </w:rPr>
        <w:t>, based on commitments made by KCSS</w:t>
      </w:r>
      <w:r w:rsidRPr="00E661DF">
        <w:rPr>
          <w:sz w:val="22"/>
          <w:szCs w:val="22"/>
        </w:rPr>
        <w:t xml:space="preserve">.  First, </w:t>
      </w:r>
      <w:r>
        <w:rPr>
          <w:sz w:val="22"/>
          <w:szCs w:val="22"/>
        </w:rPr>
        <w:t>the Bureau ad</w:t>
      </w:r>
      <w:r w:rsidR="00D91405">
        <w:rPr>
          <w:sz w:val="22"/>
          <w:szCs w:val="22"/>
        </w:rPr>
        <w:t>opted as a license condition KCSS</w:t>
      </w:r>
      <w:r>
        <w:rPr>
          <w:sz w:val="22"/>
          <w:szCs w:val="22"/>
        </w:rPr>
        <w:t>’s commitment not to lease its spectrum.</w:t>
      </w:r>
      <w:r>
        <w:rPr>
          <w:rStyle w:val="FootnoteReference"/>
          <w:sz w:val="22"/>
          <w:szCs w:val="22"/>
        </w:rPr>
        <w:footnoteReference w:id="21"/>
      </w:r>
      <w:r>
        <w:rPr>
          <w:sz w:val="22"/>
          <w:szCs w:val="22"/>
        </w:rPr>
        <w:t xml:space="preserve">  Second, the Bureau held, consistent with KCSS’s request, that KCSS</w:t>
      </w:r>
      <w:r w:rsidRPr="00E661DF">
        <w:rPr>
          <w:sz w:val="22"/>
          <w:szCs w:val="22"/>
        </w:rPr>
        <w:t>’s GSA</w:t>
      </w:r>
      <w:r>
        <w:rPr>
          <w:sz w:val="22"/>
          <w:szCs w:val="22"/>
        </w:rPr>
        <w:t>s</w:t>
      </w:r>
      <w:r w:rsidRPr="00E661DF">
        <w:rPr>
          <w:sz w:val="22"/>
          <w:szCs w:val="22"/>
        </w:rPr>
        <w:t xml:space="preserve"> shall not include any area within the GSA of any previously licensed co-channel EBS station.</w:t>
      </w:r>
      <w:r w:rsidRPr="00E661DF">
        <w:rPr>
          <w:rStyle w:val="FootnoteReference"/>
          <w:sz w:val="22"/>
          <w:szCs w:val="22"/>
        </w:rPr>
        <w:footnoteReference w:id="22"/>
      </w:r>
    </w:p>
    <w:p w:rsidR="00636E87" w:rsidRDefault="00CF56D4" w:rsidP="00EC436B">
      <w:pPr>
        <w:numPr>
          <w:ilvl w:val="1"/>
          <w:numId w:val="16"/>
        </w:numPr>
        <w:tabs>
          <w:tab w:val="clear" w:pos="2160"/>
          <w:tab w:val="num" w:pos="1440"/>
        </w:tabs>
        <w:spacing w:after="220"/>
        <w:ind w:left="0"/>
        <w:rPr>
          <w:sz w:val="22"/>
          <w:szCs w:val="22"/>
        </w:rPr>
      </w:pPr>
      <w:r>
        <w:rPr>
          <w:sz w:val="22"/>
          <w:szCs w:val="22"/>
        </w:rPr>
        <w:t xml:space="preserve">Subsequently, </w:t>
      </w:r>
      <w:r w:rsidR="00EC436B" w:rsidRPr="00EC436B">
        <w:rPr>
          <w:sz w:val="22"/>
          <w:szCs w:val="22"/>
        </w:rPr>
        <w:t>KC</w:t>
      </w:r>
      <w:r>
        <w:rPr>
          <w:sz w:val="22"/>
          <w:szCs w:val="22"/>
        </w:rPr>
        <w:t>SS</w:t>
      </w:r>
      <w:r w:rsidR="00510625">
        <w:rPr>
          <w:sz w:val="22"/>
          <w:szCs w:val="22"/>
        </w:rPr>
        <w:t xml:space="preserve"> constructed and operated </w:t>
      </w:r>
      <w:r w:rsidR="00EC436B" w:rsidRPr="00EC436B">
        <w:rPr>
          <w:sz w:val="22"/>
          <w:szCs w:val="22"/>
        </w:rPr>
        <w:t xml:space="preserve">a WiMAX system </w:t>
      </w:r>
      <w:r w:rsidR="00510625">
        <w:rPr>
          <w:sz w:val="22"/>
          <w:szCs w:val="22"/>
        </w:rPr>
        <w:t xml:space="preserve">that has been since converted to </w:t>
      </w:r>
      <w:r w:rsidR="00EC436B" w:rsidRPr="00EC436B">
        <w:rPr>
          <w:sz w:val="22"/>
          <w:szCs w:val="22"/>
        </w:rPr>
        <w:t xml:space="preserve">an LTE wireless system on the B and G groups within the combined GSAs of </w:t>
      </w:r>
      <w:r>
        <w:rPr>
          <w:sz w:val="22"/>
          <w:szCs w:val="22"/>
        </w:rPr>
        <w:t xml:space="preserve">EBS Stations </w:t>
      </w:r>
      <w:r w:rsidR="00EC436B" w:rsidRPr="00EC436B">
        <w:rPr>
          <w:sz w:val="22"/>
          <w:szCs w:val="22"/>
        </w:rPr>
        <w:t>WNC785, WNC790, WQOE778 and WQOE779 in Kings County.</w:t>
      </w:r>
      <w:r w:rsidR="006E70B4">
        <w:rPr>
          <w:rStyle w:val="FootnoteReference"/>
          <w:sz w:val="22"/>
          <w:szCs w:val="22"/>
        </w:rPr>
        <w:footnoteReference w:id="23"/>
      </w:r>
      <w:r w:rsidR="00EC436B" w:rsidRPr="00EC436B">
        <w:rPr>
          <w:sz w:val="22"/>
          <w:szCs w:val="22"/>
        </w:rPr>
        <w:t xml:space="preserve">  Because the term of an STA is limited to six months, KCSS has (to date) </w:t>
      </w:r>
      <w:r w:rsidR="007A7631">
        <w:rPr>
          <w:sz w:val="22"/>
          <w:szCs w:val="22"/>
        </w:rPr>
        <w:t xml:space="preserve">sought </w:t>
      </w:r>
      <w:r w:rsidR="00510625">
        <w:rPr>
          <w:sz w:val="22"/>
          <w:szCs w:val="22"/>
        </w:rPr>
        <w:t>eight (8) renewals</w:t>
      </w:r>
      <w:r w:rsidR="00EC436B" w:rsidRPr="00EC436B">
        <w:rPr>
          <w:sz w:val="22"/>
          <w:szCs w:val="22"/>
        </w:rPr>
        <w:t xml:space="preserve"> of the STA for each channel group, the current term of which expired on September 3, 2016,</w:t>
      </w:r>
      <w:r w:rsidR="006E70B4">
        <w:rPr>
          <w:rStyle w:val="FootnoteReference"/>
          <w:sz w:val="22"/>
          <w:szCs w:val="22"/>
        </w:rPr>
        <w:footnoteReference w:id="24"/>
      </w:r>
      <w:r w:rsidR="00EC436B" w:rsidRPr="00EC436B">
        <w:rPr>
          <w:sz w:val="22"/>
          <w:szCs w:val="22"/>
        </w:rPr>
        <w:t xml:space="preserve"> and </w:t>
      </w:r>
      <w:r w:rsidR="00510625">
        <w:rPr>
          <w:sz w:val="22"/>
          <w:szCs w:val="22"/>
        </w:rPr>
        <w:t>for which requests for renewal</w:t>
      </w:r>
      <w:r w:rsidR="00EC436B" w:rsidRPr="00EC436B">
        <w:rPr>
          <w:sz w:val="22"/>
          <w:szCs w:val="22"/>
        </w:rPr>
        <w:t xml:space="preserve"> were timely filed and remain pending.</w:t>
      </w:r>
      <w:r w:rsidR="006E70B4">
        <w:rPr>
          <w:rStyle w:val="FootnoteReference"/>
          <w:sz w:val="22"/>
          <w:szCs w:val="22"/>
        </w:rPr>
        <w:footnoteReference w:id="25"/>
      </w:r>
      <w:r w:rsidR="00636E87" w:rsidRPr="00636E87">
        <w:rPr>
          <w:sz w:val="22"/>
          <w:szCs w:val="22"/>
        </w:rPr>
        <w:t xml:space="preserve"> </w:t>
      </w:r>
    </w:p>
    <w:p w:rsidR="00EC436B" w:rsidRPr="00EC436B" w:rsidRDefault="00636E87" w:rsidP="00EC436B">
      <w:pPr>
        <w:numPr>
          <w:ilvl w:val="1"/>
          <w:numId w:val="16"/>
        </w:numPr>
        <w:tabs>
          <w:tab w:val="clear" w:pos="2160"/>
          <w:tab w:val="num" w:pos="1440"/>
        </w:tabs>
        <w:spacing w:after="220"/>
        <w:ind w:left="0"/>
        <w:rPr>
          <w:sz w:val="22"/>
          <w:szCs w:val="22"/>
        </w:rPr>
      </w:pPr>
      <w:r w:rsidRPr="00636E87">
        <w:rPr>
          <w:sz w:val="22"/>
          <w:szCs w:val="22"/>
        </w:rPr>
        <w:t>KCSS has recently transitioned from a 2.5 GHz WiMAX network to a 2.5 GHz LTE network which it utilizes to provide educational services within its coverage area.</w:t>
      </w:r>
      <w:r>
        <w:rPr>
          <w:rStyle w:val="FootnoteReference"/>
          <w:sz w:val="22"/>
          <w:szCs w:val="22"/>
        </w:rPr>
        <w:footnoteReference w:id="26"/>
      </w:r>
      <w:r w:rsidRPr="00636E87">
        <w:rPr>
          <w:sz w:val="22"/>
          <w:szCs w:val="22"/>
        </w:rPr>
        <w:t xml:space="preserve">  The system currently consists of seven LTE cell sites – two in Corcoran, and one each in Kit Carson, Island, Lemoore, Avenal and Kettleman City.</w:t>
      </w:r>
      <w:r>
        <w:rPr>
          <w:rStyle w:val="FootnoteReference"/>
          <w:sz w:val="22"/>
          <w:szCs w:val="22"/>
        </w:rPr>
        <w:footnoteReference w:id="27"/>
      </w:r>
      <w:r w:rsidRPr="00636E87">
        <w:rPr>
          <w:sz w:val="22"/>
          <w:szCs w:val="22"/>
        </w:rPr>
        <w:t xml:space="preserve">  Using this network, the school districts in those locations are now providing wireless broadband service to about 4,200 students.</w:t>
      </w:r>
      <w:r>
        <w:rPr>
          <w:rStyle w:val="FootnoteReference"/>
          <w:sz w:val="22"/>
          <w:szCs w:val="22"/>
        </w:rPr>
        <w:footnoteReference w:id="28"/>
      </w:r>
      <w:r w:rsidRPr="00636E87">
        <w:rPr>
          <w:sz w:val="22"/>
          <w:szCs w:val="22"/>
        </w:rPr>
        <w:t xml:space="preserve">  In addition, the network currently serves over a thousand staff accounts and KCSS managed home user accounts not served by the local school district.</w:t>
      </w:r>
      <w:r>
        <w:rPr>
          <w:rStyle w:val="FootnoteReference"/>
          <w:sz w:val="22"/>
          <w:szCs w:val="22"/>
        </w:rPr>
        <w:footnoteReference w:id="29"/>
      </w:r>
      <w:r w:rsidRPr="00636E87">
        <w:rPr>
          <w:sz w:val="22"/>
          <w:szCs w:val="22"/>
        </w:rPr>
        <w:t xml:space="preserve">  This includes 31 families are located on the Santa Rosa Rancheria of the Tachi Yokuts Tribe, a federally recognized tribal entity.</w:t>
      </w:r>
      <w:r>
        <w:rPr>
          <w:rStyle w:val="FootnoteReference"/>
          <w:sz w:val="22"/>
          <w:szCs w:val="22"/>
        </w:rPr>
        <w:footnoteReference w:id="30"/>
      </w:r>
      <w:r w:rsidRPr="00636E87">
        <w:rPr>
          <w:sz w:val="22"/>
          <w:szCs w:val="22"/>
        </w:rPr>
        <w:t xml:space="preserve">  Participating school districts provide students with computing devices that are connected to the KCSS LTE network.</w:t>
      </w:r>
      <w:r>
        <w:rPr>
          <w:rStyle w:val="FootnoteReference"/>
          <w:sz w:val="22"/>
          <w:szCs w:val="22"/>
        </w:rPr>
        <w:footnoteReference w:id="31"/>
      </w:r>
      <w:r w:rsidRPr="00636E87">
        <w:rPr>
          <w:sz w:val="22"/>
          <w:szCs w:val="22"/>
        </w:rPr>
        <w:t xml:space="preserve">  Students are encouraged to take such devices home to share with their families.</w:t>
      </w:r>
      <w:r>
        <w:rPr>
          <w:rStyle w:val="FootnoteReference"/>
          <w:sz w:val="22"/>
          <w:szCs w:val="22"/>
        </w:rPr>
        <w:footnoteReference w:id="32"/>
      </w:r>
      <w:r w:rsidRPr="00636E87">
        <w:rPr>
          <w:sz w:val="22"/>
          <w:szCs w:val="22"/>
        </w:rPr>
        <w:t xml:space="preserve">  Many of these students are from the “lower end of the socio-economic spectrum and are very challenged to obtain alternative Internet access services, which in many cases are limited even if they exist at all.”</w:t>
      </w:r>
      <w:r>
        <w:rPr>
          <w:rStyle w:val="FootnoteReference"/>
          <w:sz w:val="22"/>
          <w:szCs w:val="22"/>
        </w:rPr>
        <w:footnoteReference w:id="33"/>
      </w:r>
    </w:p>
    <w:p w:rsidR="00FC1CFD" w:rsidRDefault="004A10CB" w:rsidP="00A632F6">
      <w:pPr>
        <w:numPr>
          <w:ilvl w:val="1"/>
          <w:numId w:val="16"/>
        </w:numPr>
        <w:tabs>
          <w:tab w:val="clear" w:pos="2160"/>
          <w:tab w:val="num" w:pos="1440"/>
        </w:tabs>
        <w:spacing w:after="220"/>
        <w:ind w:left="0"/>
        <w:rPr>
          <w:sz w:val="22"/>
          <w:szCs w:val="22"/>
        </w:rPr>
      </w:pPr>
      <w:r>
        <w:rPr>
          <w:sz w:val="22"/>
          <w:szCs w:val="22"/>
        </w:rPr>
        <w:t xml:space="preserve">On </w:t>
      </w:r>
      <w:r w:rsidR="004A2809">
        <w:rPr>
          <w:sz w:val="22"/>
          <w:szCs w:val="22"/>
        </w:rPr>
        <w:t>August 17, 2016</w:t>
      </w:r>
      <w:r>
        <w:rPr>
          <w:sz w:val="22"/>
          <w:szCs w:val="22"/>
        </w:rPr>
        <w:t>,</w:t>
      </w:r>
      <w:r w:rsidR="004A2809">
        <w:rPr>
          <w:sz w:val="22"/>
          <w:szCs w:val="22"/>
        </w:rPr>
        <w:t xml:space="preserve"> KCSS</w:t>
      </w:r>
      <w:r w:rsidR="00C96ADB" w:rsidRPr="00A9590F">
        <w:rPr>
          <w:sz w:val="22"/>
          <w:szCs w:val="22"/>
        </w:rPr>
        <w:t xml:space="preserve"> filed the instant application</w:t>
      </w:r>
      <w:r>
        <w:rPr>
          <w:sz w:val="22"/>
          <w:szCs w:val="22"/>
        </w:rPr>
        <w:t>s</w:t>
      </w:r>
      <w:r w:rsidR="00C96ADB" w:rsidRPr="00A9590F">
        <w:rPr>
          <w:sz w:val="22"/>
          <w:szCs w:val="22"/>
        </w:rPr>
        <w:t xml:space="preserve"> and </w:t>
      </w:r>
      <w:r w:rsidR="00DC0112">
        <w:rPr>
          <w:sz w:val="22"/>
          <w:szCs w:val="22"/>
        </w:rPr>
        <w:t xml:space="preserve">associated requests for </w:t>
      </w:r>
      <w:r w:rsidR="00C96ADB" w:rsidRPr="00A9590F">
        <w:rPr>
          <w:sz w:val="22"/>
          <w:szCs w:val="22"/>
        </w:rPr>
        <w:t>w</w:t>
      </w:r>
      <w:r w:rsidR="00E67598">
        <w:rPr>
          <w:sz w:val="22"/>
          <w:szCs w:val="22"/>
        </w:rPr>
        <w:t>aiver</w:t>
      </w:r>
      <w:r w:rsidR="00CE72E7">
        <w:rPr>
          <w:sz w:val="22"/>
          <w:szCs w:val="22"/>
        </w:rPr>
        <w:t>s of the EBS filings freeze and the electronic filing requirement of Section 1.913(b)</w:t>
      </w:r>
      <w:r w:rsidR="00E67598">
        <w:rPr>
          <w:sz w:val="22"/>
          <w:szCs w:val="22"/>
        </w:rPr>
        <w:t xml:space="preserve"> </w:t>
      </w:r>
      <w:r w:rsidR="00CE72E7">
        <w:rPr>
          <w:sz w:val="22"/>
          <w:szCs w:val="22"/>
        </w:rPr>
        <w:t xml:space="preserve">of the Commission’s rules, </w:t>
      </w:r>
      <w:r w:rsidR="00E67598">
        <w:rPr>
          <w:sz w:val="22"/>
          <w:szCs w:val="22"/>
        </w:rPr>
        <w:t xml:space="preserve">in support of those </w:t>
      </w:r>
      <w:r w:rsidR="00C96ADB" w:rsidRPr="00A9590F">
        <w:rPr>
          <w:sz w:val="22"/>
          <w:szCs w:val="22"/>
        </w:rPr>
        <w:t>appli</w:t>
      </w:r>
      <w:r>
        <w:rPr>
          <w:sz w:val="22"/>
          <w:szCs w:val="22"/>
        </w:rPr>
        <w:t>cation</w:t>
      </w:r>
      <w:r w:rsidR="00E67598">
        <w:rPr>
          <w:sz w:val="22"/>
          <w:szCs w:val="22"/>
        </w:rPr>
        <w:t>s</w:t>
      </w:r>
      <w:r w:rsidR="00DC0112">
        <w:rPr>
          <w:sz w:val="22"/>
          <w:szCs w:val="22"/>
        </w:rPr>
        <w:t xml:space="preserve"> requesting </w:t>
      </w:r>
      <w:r w:rsidR="00C96ADB" w:rsidRPr="00A9590F">
        <w:rPr>
          <w:sz w:val="22"/>
          <w:szCs w:val="22"/>
        </w:rPr>
        <w:t xml:space="preserve">additional </w:t>
      </w:r>
      <w:r w:rsidR="00D50D6E">
        <w:rPr>
          <w:sz w:val="22"/>
          <w:szCs w:val="22"/>
        </w:rPr>
        <w:t xml:space="preserve">permanent </w:t>
      </w:r>
      <w:r w:rsidR="00CE72E7">
        <w:rPr>
          <w:sz w:val="22"/>
          <w:szCs w:val="22"/>
        </w:rPr>
        <w:t>EBS</w:t>
      </w:r>
      <w:r w:rsidR="00C96ADB" w:rsidRPr="00A9590F">
        <w:rPr>
          <w:sz w:val="22"/>
          <w:szCs w:val="22"/>
        </w:rPr>
        <w:t xml:space="preserve"> channel</w:t>
      </w:r>
      <w:r>
        <w:rPr>
          <w:sz w:val="22"/>
          <w:szCs w:val="22"/>
        </w:rPr>
        <w:t>s</w:t>
      </w:r>
      <w:r w:rsidR="00EC3C06">
        <w:rPr>
          <w:sz w:val="22"/>
          <w:szCs w:val="22"/>
        </w:rPr>
        <w:t xml:space="preserve"> (to replace channels being operated pursuant to STA)</w:t>
      </w:r>
      <w:r w:rsidR="00E67598">
        <w:rPr>
          <w:sz w:val="22"/>
          <w:szCs w:val="22"/>
        </w:rPr>
        <w:t xml:space="preserve"> </w:t>
      </w:r>
      <w:r w:rsidR="00D50D6E">
        <w:rPr>
          <w:sz w:val="22"/>
          <w:szCs w:val="22"/>
        </w:rPr>
        <w:t>in unserved and underserved areas</w:t>
      </w:r>
      <w:r w:rsidR="00E242E0">
        <w:rPr>
          <w:sz w:val="22"/>
          <w:szCs w:val="22"/>
        </w:rPr>
        <w:t xml:space="preserve"> in Kings County, California.  KCSS explains that it plans to deploy an additional eight sites within Kings County, including five sites in Hanford, one </w:t>
      </w:r>
      <w:r w:rsidR="00D91405">
        <w:rPr>
          <w:sz w:val="22"/>
          <w:szCs w:val="22"/>
        </w:rPr>
        <w:t xml:space="preserve">site </w:t>
      </w:r>
      <w:r w:rsidR="00E242E0">
        <w:rPr>
          <w:sz w:val="22"/>
          <w:szCs w:val="22"/>
        </w:rPr>
        <w:t xml:space="preserve">in Armona, one </w:t>
      </w:r>
      <w:r w:rsidR="00D91405">
        <w:rPr>
          <w:sz w:val="22"/>
          <w:szCs w:val="22"/>
        </w:rPr>
        <w:t xml:space="preserve">site </w:t>
      </w:r>
      <w:r w:rsidR="00E242E0">
        <w:rPr>
          <w:sz w:val="22"/>
          <w:szCs w:val="22"/>
        </w:rPr>
        <w:t xml:space="preserve">in Central and one </w:t>
      </w:r>
      <w:r w:rsidR="00D91405">
        <w:rPr>
          <w:sz w:val="22"/>
          <w:szCs w:val="22"/>
        </w:rPr>
        <w:t xml:space="preserve">site </w:t>
      </w:r>
      <w:r w:rsidR="00E242E0">
        <w:rPr>
          <w:sz w:val="22"/>
          <w:szCs w:val="22"/>
        </w:rPr>
        <w:t>in Stratford.</w:t>
      </w:r>
      <w:r w:rsidR="00E242E0">
        <w:rPr>
          <w:rStyle w:val="FootnoteReference"/>
          <w:sz w:val="22"/>
          <w:szCs w:val="22"/>
        </w:rPr>
        <w:footnoteReference w:id="34"/>
      </w:r>
      <w:r w:rsidR="00E242E0">
        <w:rPr>
          <w:sz w:val="22"/>
          <w:szCs w:val="22"/>
        </w:rPr>
        <w:t xml:space="preserve">  Construction of these eight additional sites will ensure that all populated areas of Kings County will be served and will allow KCSS to provide wireless broadband service to most of their 27,000 students and their families.</w:t>
      </w:r>
      <w:r w:rsidR="00E242E0">
        <w:rPr>
          <w:rStyle w:val="FootnoteReference"/>
          <w:sz w:val="22"/>
          <w:szCs w:val="22"/>
        </w:rPr>
        <w:footnoteReference w:id="35"/>
      </w:r>
      <w:r w:rsidR="00E242E0">
        <w:rPr>
          <w:sz w:val="22"/>
          <w:szCs w:val="22"/>
        </w:rPr>
        <w:t xml:space="preserve">  Without the grant of the subject applications (or the grant of the pending STA renewal applications), only three of these additional sites could be constructed, and </w:t>
      </w:r>
      <w:r w:rsidR="00EC3C06">
        <w:rPr>
          <w:sz w:val="22"/>
          <w:szCs w:val="22"/>
        </w:rPr>
        <w:t xml:space="preserve">certain of the constructed </w:t>
      </w:r>
      <w:r w:rsidR="00BB0319">
        <w:rPr>
          <w:sz w:val="22"/>
          <w:szCs w:val="22"/>
        </w:rPr>
        <w:t xml:space="preserve">sites </w:t>
      </w:r>
      <w:r w:rsidR="00E242E0">
        <w:rPr>
          <w:sz w:val="22"/>
          <w:szCs w:val="22"/>
        </w:rPr>
        <w:t>would have to be shut down.</w:t>
      </w:r>
      <w:r w:rsidR="00E242E0">
        <w:rPr>
          <w:rStyle w:val="FootnoteReference"/>
          <w:sz w:val="22"/>
          <w:szCs w:val="22"/>
        </w:rPr>
        <w:footnoteReference w:id="36"/>
      </w:r>
    </w:p>
    <w:p w:rsidR="00E242E0" w:rsidRDefault="00E242E0" w:rsidP="00A632F6">
      <w:pPr>
        <w:numPr>
          <w:ilvl w:val="1"/>
          <w:numId w:val="16"/>
        </w:numPr>
        <w:tabs>
          <w:tab w:val="clear" w:pos="2160"/>
          <w:tab w:val="num" w:pos="1440"/>
        </w:tabs>
        <w:spacing w:after="220"/>
        <w:ind w:left="0"/>
        <w:rPr>
          <w:sz w:val="22"/>
          <w:szCs w:val="22"/>
        </w:rPr>
      </w:pPr>
      <w:r>
        <w:rPr>
          <w:sz w:val="22"/>
          <w:szCs w:val="22"/>
        </w:rPr>
        <w:t xml:space="preserve">Based on the comparison of certain metrics from before and after the construction and deployment of the existing KCSS </w:t>
      </w:r>
      <w:r w:rsidR="00BB0319">
        <w:rPr>
          <w:sz w:val="22"/>
          <w:szCs w:val="22"/>
        </w:rPr>
        <w:t xml:space="preserve">wireless broadband </w:t>
      </w:r>
      <w:r>
        <w:rPr>
          <w:sz w:val="22"/>
          <w:szCs w:val="22"/>
        </w:rPr>
        <w:t xml:space="preserve">network, and the provision of devices and broadband services to students, KCSS has found that student suspensions </w:t>
      </w:r>
      <w:r w:rsidR="00001B6D">
        <w:rPr>
          <w:sz w:val="22"/>
          <w:szCs w:val="22"/>
        </w:rPr>
        <w:t xml:space="preserve">and failures </w:t>
      </w:r>
      <w:r>
        <w:rPr>
          <w:sz w:val="22"/>
          <w:szCs w:val="22"/>
        </w:rPr>
        <w:t>have decreased, the number of students</w:t>
      </w:r>
      <w:r w:rsidR="00001B6D">
        <w:rPr>
          <w:sz w:val="22"/>
          <w:szCs w:val="22"/>
        </w:rPr>
        <w:t xml:space="preserve"> being promoted and </w:t>
      </w:r>
      <w:r>
        <w:rPr>
          <w:sz w:val="22"/>
          <w:szCs w:val="22"/>
        </w:rPr>
        <w:t>making the honor roll has increased, the number of high school students taking and passing college level courses has increased, and there has been significant improvement in student reading and math proficiency.</w:t>
      </w:r>
      <w:r>
        <w:rPr>
          <w:rStyle w:val="FootnoteReference"/>
          <w:sz w:val="22"/>
          <w:szCs w:val="22"/>
        </w:rPr>
        <w:footnoteReference w:id="37"/>
      </w:r>
      <w:r w:rsidR="00A01759">
        <w:rPr>
          <w:sz w:val="22"/>
          <w:szCs w:val="22"/>
        </w:rPr>
        <w:t xml:space="preserve">  In addition to these substantial educational benefits, the schools have launched applications </w:t>
      </w:r>
      <w:r w:rsidR="00001B6D">
        <w:rPr>
          <w:sz w:val="22"/>
          <w:szCs w:val="22"/>
        </w:rPr>
        <w:t>that have successfully</w:t>
      </w:r>
      <w:r w:rsidR="00A01759">
        <w:rPr>
          <w:sz w:val="22"/>
          <w:szCs w:val="22"/>
        </w:rPr>
        <w:t xml:space="preserve"> increase</w:t>
      </w:r>
      <w:r w:rsidR="00001B6D">
        <w:rPr>
          <w:sz w:val="22"/>
          <w:szCs w:val="22"/>
        </w:rPr>
        <w:t>d</w:t>
      </w:r>
      <w:r w:rsidR="00A01759">
        <w:rPr>
          <w:sz w:val="22"/>
          <w:szCs w:val="22"/>
        </w:rPr>
        <w:t xml:space="preserve"> parental involvement.</w:t>
      </w:r>
      <w:r w:rsidR="00A01759">
        <w:rPr>
          <w:rStyle w:val="FootnoteReference"/>
          <w:sz w:val="22"/>
          <w:szCs w:val="22"/>
        </w:rPr>
        <w:footnoteReference w:id="38"/>
      </w:r>
      <w:r w:rsidR="00001B6D">
        <w:rPr>
          <w:sz w:val="22"/>
          <w:szCs w:val="22"/>
        </w:rPr>
        <w:t xml:space="preserve">  In addition, the city of Avenal is now partnering with KCSS to make KCSS’s </w:t>
      </w:r>
      <w:r w:rsidR="00BB0319">
        <w:rPr>
          <w:sz w:val="22"/>
          <w:szCs w:val="22"/>
        </w:rPr>
        <w:t xml:space="preserve">wireless broadband </w:t>
      </w:r>
      <w:r w:rsidR="00001B6D">
        <w:rPr>
          <w:sz w:val="22"/>
          <w:szCs w:val="22"/>
        </w:rPr>
        <w:t>service available to the entire community.</w:t>
      </w:r>
      <w:r w:rsidR="00001B6D">
        <w:rPr>
          <w:rStyle w:val="FootnoteReference"/>
          <w:sz w:val="22"/>
          <w:szCs w:val="22"/>
        </w:rPr>
        <w:footnoteReference w:id="39"/>
      </w:r>
      <w:r w:rsidR="00001B6D">
        <w:rPr>
          <w:sz w:val="22"/>
          <w:szCs w:val="22"/>
        </w:rPr>
        <w:t xml:space="preserve">  To that end, the city recently dedicated the Avenal Technology Center, a facility intended to help members of the communication develop new skills and increase opportunities for success.</w:t>
      </w:r>
      <w:r w:rsidR="00001B6D">
        <w:rPr>
          <w:rStyle w:val="FootnoteReference"/>
          <w:sz w:val="22"/>
          <w:szCs w:val="22"/>
        </w:rPr>
        <w:footnoteReference w:id="40"/>
      </w:r>
      <w:r w:rsidR="00001B6D">
        <w:rPr>
          <w:sz w:val="22"/>
          <w:szCs w:val="22"/>
        </w:rPr>
        <w:t xml:space="preserve">  According to KCSS, all of this at risk if the 2016 Applications are not granted.</w:t>
      </w:r>
      <w:r w:rsidR="00001B6D">
        <w:rPr>
          <w:rStyle w:val="FootnoteReference"/>
          <w:sz w:val="22"/>
          <w:szCs w:val="22"/>
        </w:rPr>
        <w:footnoteReference w:id="41"/>
      </w:r>
    </w:p>
    <w:p w:rsidR="00A632F6" w:rsidRPr="00A632F6" w:rsidRDefault="00A632F6" w:rsidP="00A632F6">
      <w:pPr>
        <w:numPr>
          <w:ilvl w:val="1"/>
          <w:numId w:val="16"/>
        </w:numPr>
        <w:tabs>
          <w:tab w:val="clear" w:pos="2160"/>
          <w:tab w:val="num" w:pos="1440"/>
        </w:tabs>
        <w:spacing w:after="220"/>
        <w:ind w:left="0"/>
        <w:rPr>
          <w:sz w:val="22"/>
          <w:szCs w:val="22"/>
        </w:rPr>
      </w:pPr>
      <w:r>
        <w:rPr>
          <w:sz w:val="22"/>
          <w:szCs w:val="22"/>
        </w:rPr>
        <w:t xml:space="preserve">Included as attachments to the </w:t>
      </w:r>
      <w:r w:rsidR="00BB0319">
        <w:rPr>
          <w:sz w:val="22"/>
          <w:szCs w:val="22"/>
        </w:rPr>
        <w:t xml:space="preserve">2016 </w:t>
      </w:r>
      <w:r w:rsidR="00EC3C06">
        <w:rPr>
          <w:sz w:val="22"/>
          <w:szCs w:val="22"/>
        </w:rPr>
        <w:t>Applications a</w:t>
      </w:r>
      <w:r>
        <w:rPr>
          <w:sz w:val="22"/>
          <w:szCs w:val="22"/>
        </w:rPr>
        <w:t>re letters of support from the Honorable D</w:t>
      </w:r>
      <w:r w:rsidR="006A6BC9">
        <w:rPr>
          <w:sz w:val="22"/>
          <w:szCs w:val="22"/>
        </w:rPr>
        <w:t>avid G. Valado</w:t>
      </w:r>
      <w:r w:rsidR="006302DC">
        <w:rPr>
          <w:sz w:val="22"/>
          <w:szCs w:val="22"/>
        </w:rPr>
        <w:t xml:space="preserve">, United States </w:t>
      </w:r>
      <w:r w:rsidR="006A6BC9">
        <w:rPr>
          <w:sz w:val="22"/>
          <w:szCs w:val="22"/>
        </w:rPr>
        <w:t>Representative</w:t>
      </w:r>
      <w:r w:rsidR="006302DC">
        <w:rPr>
          <w:sz w:val="22"/>
          <w:szCs w:val="22"/>
        </w:rPr>
        <w:t>;</w:t>
      </w:r>
      <w:r w:rsidR="009739C5" w:rsidRPr="009739C5">
        <w:rPr>
          <w:rStyle w:val="FootnoteReference"/>
          <w:sz w:val="22"/>
          <w:szCs w:val="22"/>
        </w:rPr>
        <w:t xml:space="preserve"> </w:t>
      </w:r>
      <w:r w:rsidR="006A6BC9">
        <w:rPr>
          <w:sz w:val="22"/>
          <w:szCs w:val="22"/>
        </w:rPr>
        <w:t xml:space="preserve">the Honorable Andy </w:t>
      </w:r>
      <w:r w:rsidR="00BB0319">
        <w:rPr>
          <w:sz w:val="22"/>
          <w:szCs w:val="22"/>
        </w:rPr>
        <w:t>Vidak, California State Senator;</w:t>
      </w:r>
      <w:r w:rsidR="006A6BC9">
        <w:rPr>
          <w:sz w:val="22"/>
          <w:szCs w:val="22"/>
        </w:rPr>
        <w:t xml:space="preserve">  Thomas Addington, Superintendent of th</w:t>
      </w:r>
      <w:r w:rsidR="00BB0319">
        <w:rPr>
          <w:sz w:val="22"/>
          <w:szCs w:val="22"/>
        </w:rPr>
        <w:t>e Central Union School District;</w:t>
      </w:r>
      <w:r w:rsidR="006A6BC9">
        <w:rPr>
          <w:sz w:val="22"/>
          <w:szCs w:val="22"/>
        </w:rPr>
        <w:t xml:space="preserve"> Superintendent David East of the Reef-Sunset Unified School District</w:t>
      </w:r>
      <w:r w:rsidR="00BB0319">
        <w:rPr>
          <w:sz w:val="22"/>
          <w:szCs w:val="22"/>
        </w:rPr>
        <w:t>;</w:t>
      </w:r>
      <w:r w:rsidR="006A6BC9">
        <w:rPr>
          <w:sz w:val="22"/>
          <w:szCs w:val="22"/>
        </w:rPr>
        <w:t xml:space="preserve"> and Melissa Whitten, City Manager for the City of Avenal, </w:t>
      </w:r>
      <w:r>
        <w:rPr>
          <w:sz w:val="22"/>
          <w:szCs w:val="22"/>
        </w:rPr>
        <w:t>all indicat</w:t>
      </w:r>
      <w:r w:rsidR="006E70B4">
        <w:rPr>
          <w:sz w:val="22"/>
          <w:szCs w:val="22"/>
        </w:rPr>
        <w:t>ing support for the grant to KCSS</w:t>
      </w:r>
      <w:r w:rsidR="00BB0319">
        <w:rPr>
          <w:sz w:val="22"/>
          <w:szCs w:val="22"/>
        </w:rPr>
        <w:t xml:space="preserve"> of the 2016 </w:t>
      </w:r>
      <w:r>
        <w:rPr>
          <w:sz w:val="22"/>
          <w:szCs w:val="22"/>
        </w:rPr>
        <w:t>Applications, and their desire to</w:t>
      </w:r>
      <w:r w:rsidR="006E70B4">
        <w:rPr>
          <w:sz w:val="22"/>
          <w:szCs w:val="22"/>
        </w:rPr>
        <w:t xml:space="preserve"> work with KCSS</w:t>
      </w:r>
      <w:r>
        <w:rPr>
          <w:sz w:val="22"/>
          <w:szCs w:val="22"/>
        </w:rPr>
        <w:t xml:space="preserve"> to </w:t>
      </w:r>
      <w:r w:rsidR="006A6BC9">
        <w:rPr>
          <w:sz w:val="22"/>
          <w:szCs w:val="22"/>
        </w:rPr>
        <w:t xml:space="preserve">bring broadband access to </w:t>
      </w:r>
      <w:r>
        <w:rPr>
          <w:sz w:val="22"/>
          <w:szCs w:val="22"/>
        </w:rPr>
        <w:t>students</w:t>
      </w:r>
      <w:r w:rsidR="00A01759">
        <w:rPr>
          <w:sz w:val="22"/>
          <w:szCs w:val="22"/>
        </w:rPr>
        <w:t xml:space="preserve"> (and their families) </w:t>
      </w:r>
      <w:r w:rsidR="00BB0319">
        <w:rPr>
          <w:sz w:val="22"/>
          <w:szCs w:val="22"/>
        </w:rPr>
        <w:t>located throughout</w:t>
      </w:r>
      <w:r w:rsidR="006A6BC9">
        <w:rPr>
          <w:sz w:val="22"/>
          <w:szCs w:val="22"/>
        </w:rPr>
        <w:t xml:space="preserve"> Kings County</w:t>
      </w:r>
      <w:r>
        <w:rPr>
          <w:sz w:val="22"/>
          <w:szCs w:val="22"/>
        </w:rPr>
        <w:t>.</w:t>
      </w:r>
      <w:r w:rsidR="00A01759">
        <w:rPr>
          <w:rStyle w:val="FootnoteReference"/>
          <w:sz w:val="22"/>
          <w:szCs w:val="22"/>
        </w:rPr>
        <w:footnoteReference w:id="42"/>
      </w:r>
    </w:p>
    <w:p w:rsidR="00C828CF" w:rsidRPr="003A37B2" w:rsidRDefault="00D50D6E" w:rsidP="00146042">
      <w:pPr>
        <w:numPr>
          <w:ilvl w:val="1"/>
          <w:numId w:val="16"/>
        </w:numPr>
        <w:tabs>
          <w:tab w:val="clear" w:pos="2160"/>
          <w:tab w:val="num" w:pos="1440"/>
        </w:tabs>
        <w:spacing w:after="220"/>
        <w:ind w:left="0"/>
        <w:rPr>
          <w:sz w:val="22"/>
          <w:szCs w:val="22"/>
        </w:rPr>
      </w:pPr>
      <w:r>
        <w:rPr>
          <w:sz w:val="22"/>
          <w:szCs w:val="22"/>
        </w:rPr>
        <w:t>KCSS</w:t>
      </w:r>
      <w:r w:rsidR="00FC1CFD" w:rsidRPr="003A37B2">
        <w:rPr>
          <w:sz w:val="22"/>
          <w:szCs w:val="22"/>
        </w:rPr>
        <w:t xml:space="preserve">’s </w:t>
      </w:r>
      <w:r w:rsidR="00F22506">
        <w:rPr>
          <w:sz w:val="22"/>
          <w:szCs w:val="22"/>
        </w:rPr>
        <w:t>A</w:t>
      </w:r>
      <w:r w:rsidR="00FC1CFD" w:rsidRPr="003A37B2">
        <w:rPr>
          <w:sz w:val="22"/>
          <w:szCs w:val="22"/>
        </w:rPr>
        <w:t>pplication</w:t>
      </w:r>
      <w:r w:rsidR="00C279D5">
        <w:rPr>
          <w:sz w:val="22"/>
          <w:szCs w:val="22"/>
        </w:rPr>
        <w:t>s were</w:t>
      </w:r>
      <w:r w:rsidR="00FC1CFD" w:rsidRPr="003A37B2">
        <w:rPr>
          <w:sz w:val="22"/>
          <w:szCs w:val="22"/>
        </w:rPr>
        <w:t xml:space="preserve"> listed on public notice as accepted for filing on </w:t>
      </w:r>
      <w:r>
        <w:rPr>
          <w:sz w:val="22"/>
          <w:szCs w:val="22"/>
        </w:rPr>
        <w:t>September 7, 2016</w:t>
      </w:r>
      <w:r w:rsidR="00FC1CFD" w:rsidRPr="003A37B2">
        <w:rPr>
          <w:sz w:val="22"/>
          <w:szCs w:val="22"/>
        </w:rPr>
        <w:t>.</w:t>
      </w:r>
      <w:r w:rsidR="00FC1CFD" w:rsidRPr="003A37B2">
        <w:rPr>
          <w:rStyle w:val="FootnoteReference"/>
          <w:sz w:val="22"/>
          <w:szCs w:val="22"/>
        </w:rPr>
        <w:footnoteReference w:id="43"/>
      </w:r>
      <w:r w:rsidR="00FC1CFD" w:rsidRPr="003A37B2">
        <w:rPr>
          <w:sz w:val="22"/>
          <w:szCs w:val="22"/>
        </w:rPr>
        <w:t xml:space="preserve">  No petitions to deny or</w:t>
      </w:r>
      <w:r w:rsidR="00E531E4">
        <w:rPr>
          <w:sz w:val="22"/>
          <w:szCs w:val="22"/>
        </w:rPr>
        <w:t xml:space="preserve"> other oppositions </w:t>
      </w:r>
      <w:r w:rsidR="00A632F6">
        <w:rPr>
          <w:sz w:val="22"/>
          <w:szCs w:val="22"/>
        </w:rPr>
        <w:t>were filed.</w:t>
      </w:r>
    </w:p>
    <w:p w:rsidR="00FC1CFD" w:rsidRPr="00C828CF" w:rsidRDefault="00FC1CFD" w:rsidP="00C828CF">
      <w:pPr>
        <w:spacing w:after="220"/>
        <w:rPr>
          <w:b/>
        </w:rPr>
      </w:pPr>
      <w:r w:rsidRPr="00C828CF">
        <w:rPr>
          <w:b/>
        </w:rPr>
        <w:t>III.</w:t>
      </w:r>
      <w:r w:rsidRPr="00C828CF">
        <w:rPr>
          <w:b/>
        </w:rPr>
        <w:tab/>
        <w:t>DISCUSSION</w:t>
      </w:r>
    </w:p>
    <w:p w:rsidR="00FC1CFD" w:rsidRDefault="006E70B4">
      <w:pPr>
        <w:numPr>
          <w:ilvl w:val="1"/>
          <w:numId w:val="16"/>
        </w:numPr>
        <w:tabs>
          <w:tab w:val="clear" w:pos="2160"/>
          <w:tab w:val="num" w:pos="1440"/>
        </w:tabs>
        <w:spacing w:after="220"/>
        <w:ind w:left="0"/>
        <w:rPr>
          <w:sz w:val="22"/>
          <w:szCs w:val="22"/>
        </w:rPr>
      </w:pPr>
      <w:r>
        <w:rPr>
          <w:sz w:val="22"/>
          <w:szCs w:val="22"/>
        </w:rPr>
        <w:t>As noted, KCSS</w:t>
      </w:r>
      <w:r w:rsidR="00FC1CFD">
        <w:rPr>
          <w:sz w:val="22"/>
          <w:szCs w:val="22"/>
        </w:rPr>
        <w:t xml:space="preserve"> seeks both a waiver of the filing freeze on new EBS applications</w:t>
      </w:r>
      <w:r w:rsidR="00FC1CFD">
        <w:rPr>
          <w:rStyle w:val="FootnoteReference"/>
          <w:sz w:val="22"/>
          <w:szCs w:val="22"/>
        </w:rPr>
        <w:t xml:space="preserve"> </w:t>
      </w:r>
      <w:r w:rsidR="00FC1CFD">
        <w:rPr>
          <w:sz w:val="22"/>
          <w:szCs w:val="22"/>
        </w:rPr>
        <w:t xml:space="preserve">and a waiver of the electronic filing requirement </w:t>
      </w:r>
      <w:r w:rsidR="009739C5">
        <w:rPr>
          <w:sz w:val="22"/>
          <w:szCs w:val="22"/>
        </w:rPr>
        <w:t xml:space="preserve">contained in Section 1.913(b) of the Commission’s rules </w:t>
      </w:r>
      <w:r w:rsidR="00FC1CFD">
        <w:rPr>
          <w:sz w:val="22"/>
          <w:szCs w:val="22"/>
        </w:rPr>
        <w:t>for such applications, to permit it to use available</w:t>
      </w:r>
      <w:r w:rsidR="00653AC1">
        <w:rPr>
          <w:sz w:val="22"/>
          <w:szCs w:val="22"/>
        </w:rPr>
        <w:t xml:space="preserve"> EBS channels to operate a LTE</w:t>
      </w:r>
      <w:r w:rsidR="00FC1CFD">
        <w:rPr>
          <w:sz w:val="22"/>
          <w:szCs w:val="22"/>
        </w:rPr>
        <w:t xml:space="preserve"> network for the provision of educational and instructional material.</w:t>
      </w:r>
      <w:r w:rsidR="00FC1CFD">
        <w:rPr>
          <w:rStyle w:val="FootnoteReference"/>
          <w:sz w:val="22"/>
          <w:szCs w:val="22"/>
        </w:rPr>
        <w:footnoteReference w:id="44"/>
      </w:r>
      <w:r w:rsidR="00FC1CFD">
        <w:rPr>
          <w:sz w:val="22"/>
          <w:szCs w:val="22"/>
        </w:rPr>
        <w:t xml:space="preserve">    The Commission may grant a request for a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sidR="00FC1CFD">
        <w:rPr>
          <w:rStyle w:val="FootnoteReference"/>
          <w:sz w:val="22"/>
          <w:szCs w:val="22"/>
        </w:rPr>
        <w:footnoteReference w:id="45"/>
      </w:r>
      <w:r w:rsidR="00FC1CFD">
        <w:rPr>
          <w:sz w:val="22"/>
          <w:szCs w:val="22"/>
        </w:rPr>
        <w:t xml:space="preserve">   As discu</w:t>
      </w:r>
      <w:r w:rsidR="00530BCA">
        <w:rPr>
          <w:sz w:val="22"/>
          <w:szCs w:val="22"/>
        </w:rPr>
        <w:t>ssed belo</w:t>
      </w:r>
      <w:r w:rsidR="00BB0319">
        <w:rPr>
          <w:sz w:val="22"/>
          <w:szCs w:val="22"/>
        </w:rPr>
        <w:t>w, we conclude that KCSS</w:t>
      </w:r>
      <w:r w:rsidR="00FC1CFD">
        <w:rPr>
          <w:sz w:val="22"/>
          <w:szCs w:val="22"/>
        </w:rPr>
        <w:t xml:space="preserve"> has met the waiver standard with respect to both of its requests, </w:t>
      </w:r>
      <w:r w:rsidR="00A01759">
        <w:rPr>
          <w:sz w:val="22"/>
          <w:szCs w:val="22"/>
        </w:rPr>
        <w:t>such a grant would be consistent with Bureau precedent</w:t>
      </w:r>
      <w:r w:rsidR="00A01759">
        <w:rPr>
          <w:rStyle w:val="FootnoteReference"/>
          <w:sz w:val="22"/>
          <w:szCs w:val="22"/>
        </w:rPr>
        <w:footnoteReference w:id="46"/>
      </w:r>
      <w:r w:rsidR="00A01759">
        <w:rPr>
          <w:sz w:val="22"/>
          <w:szCs w:val="22"/>
        </w:rPr>
        <w:t xml:space="preserve"> </w:t>
      </w:r>
      <w:r w:rsidR="00FC1CFD">
        <w:rPr>
          <w:sz w:val="22"/>
          <w:szCs w:val="22"/>
        </w:rPr>
        <w:t xml:space="preserve">and accordingly we grant its </w:t>
      </w:r>
      <w:r w:rsidR="00D12F23">
        <w:rPr>
          <w:sz w:val="22"/>
          <w:szCs w:val="22"/>
        </w:rPr>
        <w:t>W</w:t>
      </w:r>
      <w:r w:rsidR="00FC1CFD">
        <w:rPr>
          <w:sz w:val="22"/>
          <w:szCs w:val="22"/>
        </w:rPr>
        <w:t xml:space="preserve">aiver </w:t>
      </w:r>
      <w:r w:rsidR="00D12F23">
        <w:rPr>
          <w:sz w:val="22"/>
          <w:szCs w:val="22"/>
        </w:rPr>
        <w:t>R</w:t>
      </w:r>
      <w:r w:rsidR="00FC1CFD">
        <w:rPr>
          <w:sz w:val="22"/>
          <w:szCs w:val="22"/>
        </w:rPr>
        <w:t>equest</w:t>
      </w:r>
      <w:r w:rsidR="00BB0319">
        <w:rPr>
          <w:sz w:val="22"/>
          <w:szCs w:val="22"/>
        </w:rPr>
        <w:t>s</w:t>
      </w:r>
      <w:r w:rsidR="00FC1CFD">
        <w:rPr>
          <w:sz w:val="22"/>
          <w:szCs w:val="22"/>
        </w:rPr>
        <w:t>, subject to the conditions outlined</w:t>
      </w:r>
      <w:r w:rsidR="00DD01C2">
        <w:rPr>
          <w:sz w:val="22"/>
          <w:szCs w:val="22"/>
        </w:rPr>
        <w:t xml:space="preserve"> below</w:t>
      </w:r>
      <w:r w:rsidR="00FC1CFD">
        <w:rPr>
          <w:sz w:val="22"/>
          <w:szCs w:val="22"/>
        </w:rPr>
        <w:t>.</w:t>
      </w:r>
    </w:p>
    <w:p w:rsidR="00FC1CFD" w:rsidRPr="00C16613" w:rsidRDefault="00FC1CFD">
      <w:pPr>
        <w:numPr>
          <w:ilvl w:val="1"/>
          <w:numId w:val="16"/>
        </w:numPr>
        <w:tabs>
          <w:tab w:val="clear" w:pos="2160"/>
          <w:tab w:val="num" w:pos="1440"/>
        </w:tabs>
        <w:spacing w:after="220"/>
        <w:ind w:left="0"/>
        <w:rPr>
          <w:sz w:val="22"/>
          <w:szCs w:val="22"/>
        </w:rPr>
      </w:pPr>
      <w:r w:rsidRPr="00C16613">
        <w:rPr>
          <w:sz w:val="22"/>
          <w:szCs w:val="22"/>
        </w:rPr>
        <w:t>We conclude that application of the filing freeze would be inequitable and contrary to the public interest under the uniqu</w:t>
      </w:r>
      <w:r w:rsidR="00530BCA" w:rsidRPr="00C16613">
        <w:rPr>
          <w:sz w:val="22"/>
          <w:szCs w:val="22"/>
        </w:rPr>
        <w:t>e circums</w:t>
      </w:r>
      <w:r w:rsidR="009875EF">
        <w:rPr>
          <w:sz w:val="22"/>
          <w:szCs w:val="22"/>
        </w:rPr>
        <w:t>tances presented by KCSS</w:t>
      </w:r>
      <w:r w:rsidRPr="00C16613">
        <w:rPr>
          <w:sz w:val="22"/>
          <w:szCs w:val="22"/>
        </w:rPr>
        <w:t xml:space="preserve">.  Specifically, we find that, absent access to </w:t>
      </w:r>
      <w:r w:rsidR="00EE5730" w:rsidRPr="00C16613">
        <w:rPr>
          <w:sz w:val="22"/>
          <w:szCs w:val="22"/>
        </w:rPr>
        <w:t>the additional channel</w:t>
      </w:r>
      <w:r w:rsidR="000D26D6" w:rsidRPr="00C16613">
        <w:rPr>
          <w:sz w:val="22"/>
          <w:szCs w:val="22"/>
        </w:rPr>
        <w:t>s</w:t>
      </w:r>
      <w:r w:rsidR="00EE5730" w:rsidRPr="00C16613">
        <w:rPr>
          <w:sz w:val="22"/>
          <w:szCs w:val="22"/>
        </w:rPr>
        <w:t xml:space="preserve"> of </w:t>
      </w:r>
      <w:r w:rsidR="009875EF">
        <w:rPr>
          <w:sz w:val="22"/>
          <w:szCs w:val="22"/>
        </w:rPr>
        <w:t>EBS spectrum, KCSS</w:t>
      </w:r>
      <w:r w:rsidR="00530BCA" w:rsidRPr="00C16613">
        <w:rPr>
          <w:sz w:val="22"/>
          <w:szCs w:val="22"/>
        </w:rPr>
        <w:t xml:space="preserve"> </w:t>
      </w:r>
      <w:r w:rsidRPr="00C16613">
        <w:rPr>
          <w:sz w:val="22"/>
          <w:szCs w:val="22"/>
        </w:rPr>
        <w:t xml:space="preserve">would face substantial challenges in </w:t>
      </w:r>
      <w:r w:rsidR="00653AC1" w:rsidRPr="00C16613">
        <w:rPr>
          <w:sz w:val="22"/>
          <w:szCs w:val="22"/>
        </w:rPr>
        <w:t>b</w:t>
      </w:r>
      <w:r w:rsidR="005337DD" w:rsidRPr="00C16613">
        <w:rPr>
          <w:sz w:val="22"/>
          <w:szCs w:val="22"/>
        </w:rPr>
        <w:t>uilding the network necessary for</w:t>
      </w:r>
      <w:r w:rsidR="00653AC1" w:rsidRPr="00C16613">
        <w:rPr>
          <w:sz w:val="22"/>
          <w:szCs w:val="22"/>
        </w:rPr>
        <w:t xml:space="preserve"> </w:t>
      </w:r>
      <w:r w:rsidRPr="00C16613">
        <w:rPr>
          <w:sz w:val="22"/>
          <w:szCs w:val="22"/>
        </w:rPr>
        <w:t xml:space="preserve">providing educational content </w:t>
      </w:r>
      <w:r w:rsidR="00D50D6E" w:rsidRPr="00C16613">
        <w:rPr>
          <w:sz w:val="22"/>
          <w:szCs w:val="22"/>
        </w:rPr>
        <w:t xml:space="preserve">to unserved and underserved areas of Kings County, California.  </w:t>
      </w:r>
      <w:r w:rsidR="009875EF">
        <w:rPr>
          <w:sz w:val="22"/>
          <w:szCs w:val="22"/>
        </w:rPr>
        <w:t>Similar to what h</w:t>
      </w:r>
      <w:r w:rsidR="00EE5730" w:rsidRPr="00C16613">
        <w:rPr>
          <w:sz w:val="22"/>
          <w:szCs w:val="22"/>
        </w:rPr>
        <w:t xml:space="preserve">as determined in </w:t>
      </w:r>
      <w:r w:rsidR="00D50D6E" w:rsidRPr="00C16613">
        <w:rPr>
          <w:sz w:val="22"/>
          <w:szCs w:val="22"/>
        </w:rPr>
        <w:t>other cases,</w:t>
      </w:r>
      <w:r w:rsidRPr="00C16613">
        <w:rPr>
          <w:sz w:val="22"/>
          <w:szCs w:val="22"/>
        </w:rPr>
        <w:t xml:space="preserve"> </w:t>
      </w:r>
      <w:r w:rsidR="009875EF">
        <w:rPr>
          <w:sz w:val="22"/>
          <w:szCs w:val="22"/>
        </w:rPr>
        <w:t xml:space="preserve">there is </w:t>
      </w:r>
      <w:r w:rsidR="009739C5" w:rsidRPr="00C16613">
        <w:rPr>
          <w:sz w:val="22"/>
          <w:szCs w:val="22"/>
        </w:rPr>
        <w:t>limited br</w:t>
      </w:r>
      <w:r w:rsidR="009875EF">
        <w:rPr>
          <w:sz w:val="22"/>
          <w:szCs w:val="22"/>
        </w:rPr>
        <w:t>oadband available in those areas</w:t>
      </w:r>
      <w:r w:rsidR="005337DD" w:rsidRPr="00C16613">
        <w:rPr>
          <w:sz w:val="22"/>
          <w:szCs w:val="22"/>
        </w:rPr>
        <w:t>, and where such service is available, it is not affordable for these communities</w:t>
      </w:r>
      <w:r w:rsidR="009875EF">
        <w:rPr>
          <w:sz w:val="22"/>
          <w:szCs w:val="22"/>
        </w:rPr>
        <w:t>.</w:t>
      </w:r>
      <w:r w:rsidR="00C16613">
        <w:rPr>
          <w:rStyle w:val="FootnoteReference"/>
          <w:sz w:val="22"/>
          <w:szCs w:val="22"/>
        </w:rPr>
        <w:footnoteReference w:id="47"/>
      </w:r>
      <w:r w:rsidR="00EE5730" w:rsidRPr="00C16613">
        <w:rPr>
          <w:sz w:val="22"/>
          <w:szCs w:val="22"/>
        </w:rPr>
        <w:t xml:space="preserve"> </w:t>
      </w:r>
      <w:r w:rsidR="009875EF">
        <w:rPr>
          <w:sz w:val="22"/>
          <w:szCs w:val="22"/>
        </w:rPr>
        <w:t>In addition,</w:t>
      </w:r>
      <w:r w:rsidR="00EE5730" w:rsidRPr="00C16613">
        <w:rPr>
          <w:sz w:val="22"/>
          <w:szCs w:val="22"/>
        </w:rPr>
        <w:t xml:space="preserve"> </w:t>
      </w:r>
      <w:r w:rsidR="00C279D5" w:rsidRPr="00C16613">
        <w:rPr>
          <w:sz w:val="22"/>
          <w:szCs w:val="22"/>
        </w:rPr>
        <w:t>there are</w:t>
      </w:r>
      <w:r w:rsidR="00EE5730" w:rsidRPr="00C16613">
        <w:rPr>
          <w:sz w:val="22"/>
          <w:szCs w:val="22"/>
        </w:rPr>
        <w:t xml:space="preserve"> no </w:t>
      </w:r>
      <w:r w:rsidR="00653AC1" w:rsidRPr="00C16613">
        <w:rPr>
          <w:sz w:val="22"/>
          <w:szCs w:val="22"/>
        </w:rPr>
        <w:t xml:space="preserve">available </w:t>
      </w:r>
      <w:r w:rsidR="00EE5730" w:rsidRPr="00C16613">
        <w:rPr>
          <w:sz w:val="22"/>
          <w:szCs w:val="22"/>
        </w:rPr>
        <w:t>EBS licensee</w:t>
      </w:r>
      <w:r w:rsidR="00C279D5" w:rsidRPr="00C16613">
        <w:rPr>
          <w:sz w:val="22"/>
          <w:szCs w:val="22"/>
        </w:rPr>
        <w:t>s</w:t>
      </w:r>
      <w:r w:rsidR="001A3821" w:rsidRPr="00C16613">
        <w:rPr>
          <w:sz w:val="22"/>
          <w:szCs w:val="22"/>
        </w:rPr>
        <w:t xml:space="preserve"> that cover</w:t>
      </w:r>
      <w:r w:rsidR="00EE5730" w:rsidRPr="00C16613">
        <w:rPr>
          <w:sz w:val="22"/>
          <w:szCs w:val="22"/>
        </w:rPr>
        <w:t xml:space="preserve"> the</w:t>
      </w:r>
      <w:r w:rsidR="00C279D5" w:rsidRPr="00C16613">
        <w:rPr>
          <w:sz w:val="22"/>
          <w:szCs w:val="22"/>
        </w:rPr>
        <w:t>se</w:t>
      </w:r>
      <w:r w:rsidR="00EE5730" w:rsidRPr="00C16613">
        <w:rPr>
          <w:sz w:val="22"/>
          <w:szCs w:val="22"/>
        </w:rPr>
        <w:t xml:space="preserve"> area</w:t>
      </w:r>
      <w:r w:rsidR="00C279D5" w:rsidRPr="00C16613">
        <w:rPr>
          <w:sz w:val="22"/>
          <w:szCs w:val="22"/>
        </w:rPr>
        <w:t>s</w:t>
      </w:r>
      <w:r w:rsidRPr="00C16613">
        <w:rPr>
          <w:sz w:val="22"/>
          <w:szCs w:val="22"/>
        </w:rPr>
        <w:t>.</w:t>
      </w:r>
      <w:r w:rsidR="00001B6D">
        <w:rPr>
          <w:rStyle w:val="FootnoteReference"/>
          <w:sz w:val="22"/>
          <w:szCs w:val="22"/>
        </w:rPr>
        <w:footnoteReference w:id="48"/>
      </w:r>
      <w:r w:rsidRPr="00C16613">
        <w:rPr>
          <w:sz w:val="22"/>
          <w:szCs w:val="22"/>
        </w:rPr>
        <w:t xml:space="preserve">  </w:t>
      </w:r>
      <w:r w:rsidR="00DD01C2" w:rsidRPr="00C16613">
        <w:rPr>
          <w:sz w:val="22"/>
          <w:szCs w:val="22"/>
        </w:rPr>
        <w:t>W</w:t>
      </w:r>
      <w:r w:rsidR="00C279D5" w:rsidRPr="00C16613">
        <w:rPr>
          <w:sz w:val="22"/>
          <w:szCs w:val="22"/>
        </w:rPr>
        <w:t>ithout</w:t>
      </w:r>
      <w:r w:rsidR="00C828CF" w:rsidRPr="00C16613">
        <w:rPr>
          <w:sz w:val="22"/>
          <w:szCs w:val="22"/>
        </w:rPr>
        <w:t xml:space="preserve"> other</w:t>
      </w:r>
      <w:r w:rsidR="00EE5730" w:rsidRPr="00C16613">
        <w:rPr>
          <w:sz w:val="22"/>
          <w:szCs w:val="22"/>
        </w:rPr>
        <w:t xml:space="preserve"> </w:t>
      </w:r>
      <w:r w:rsidRPr="00C16613">
        <w:rPr>
          <w:sz w:val="22"/>
          <w:szCs w:val="22"/>
        </w:rPr>
        <w:t>EBS licensee</w:t>
      </w:r>
      <w:r w:rsidR="00C828CF" w:rsidRPr="00C16613">
        <w:rPr>
          <w:sz w:val="22"/>
          <w:szCs w:val="22"/>
        </w:rPr>
        <w:t>s</w:t>
      </w:r>
      <w:r w:rsidRPr="00C16613">
        <w:rPr>
          <w:sz w:val="22"/>
          <w:szCs w:val="22"/>
        </w:rPr>
        <w:t xml:space="preserve"> </w:t>
      </w:r>
      <w:r w:rsidR="00EE5730" w:rsidRPr="00C16613">
        <w:rPr>
          <w:sz w:val="22"/>
          <w:szCs w:val="22"/>
        </w:rPr>
        <w:t>in t</w:t>
      </w:r>
      <w:r w:rsidR="00C279D5" w:rsidRPr="00C16613">
        <w:rPr>
          <w:sz w:val="22"/>
          <w:szCs w:val="22"/>
        </w:rPr>
        <w:t xml:space="preserve">hese </w:t>
      </w:r>
      <w:r w:rsidRPr="00C16613">
        <w:rPr>
          <w:sz w:val="22"/>
          <w:szCs w:val="22"/>
        </w:rPr>
        <w:t>area</w:t>
      </w:r>
      <w:r w:rsidR="00D50D6E" w:rsidRPr="00C16613">
        <w:rPr>
          <w:sz w:val="22"/>
          <w:szCs w:val="22"/>
        </w:rPr>
        <w:t>s</w:t>
      </w:r>
      <w:r w:rsidRPr="00C16613">
        <w:rPr>
          <w:sz w:val="22"/>
          <w:szCs w:val="22"/>
        </w:rPr>
        <w:t xml:space="preserve">, </w:t>
      </w:r>
      <w:r w:rsidR="00D50D6E" w:rsidRPr="00C16613">
        <w:rPr>
          <w:sz w:val="22"/>
          <w:szCs w:val="22"/>
        </w:rPr>
        <w:t>KCSS</w:t>
      </w:r>
      <w:r w:rsidR="00EE5730" w:rsidRPr="00C16613">
        <w:rPr>
          <w:sz w:val="22"/>
          <w:szCs w:val="22"/>
        </w:rPr>
        <w:t xml:space="preserve"> </w:t>
      </w:r>
      <w:r w:rsidR="00DD01C2" w:rsidRPr="00C16613">
        <w:rPr>
          <w:sz w:val="22"/>
          <w:szCs w:val="22"/>
        </w:rPr>
        <w:t xml:space="preserve">cannot attempt to acquire or lease spectrum from another EBS licensee.  It therefore has no </w:t>
      </w:r>
      <w:r w:rsidR="00D12F23" w:rsidRPr="00C16613">
        <w:rPr>
          <w:sz w:val="22"/>
          <w:szCs w:val="22"/>
        </w:rPr>
        <w:t xml:space="preserve">alternative to asking </w:t>
      </w:r>
      <w:r w:rsidR="00D860AB" w:rsidRPr="00C16613">
        <w:rPr>
          <w:sz w:val="22"/>
          <w:szCs w:val="22"/>
        </w:rPr>
        <w:t xml:space="preserve">the </w:t>
      </w:r>
      <w:r w:rsidR="00D12F23" w:rsidRPr="00C16613">
        <w:rPr>
          <w:sz w:val="22"/>
          <w:szCs w:val="22"/>
        </w:rPr>
        <w:t xml:space="preserve">Commission </w:t>
      </w:r>
      <w:r w:rsidR="00D860AB" w:rsidRPr="00C16613">
        <w:rPr>
          <w:sz w:val="22"/>
          <w:szCs w:val="22"/>
        </w:rPr>
        <w:t>for additional</w:t>
      </w:r>
      <w:r w:rsidR="00D12F23" w:rsidRPr="00C16613">
        <w:rPr>
          <w:sz w:val="22"/>
          <w:szCs w:val="22"/>
        </w:rPr>
        <w:t xml:space="preserve"> channel</w:t>
      </w:r>
      <w:r w:rsidR="000D26D6" w:rsidRPr="00C16613">
        <w:rPr>
          <w:sz w:val="22"/>
          <w:szCs w:val="22"/>
        </w:rPr>
        <w:t>s</w:t>
      </w:r>
      <w:r w:rsidRPr="00C16613">
        <w:rPr>
          <w:sz w:val="22"/>
          <w:szCs w:val="22"/>
        </w:rPr>
        <w:t xml:space="preserve">.  </w:t>
      </w:r>
      <w:r w:rsidR="00DD01C2" w:rsidRPr="00C16613">
        <w:rPr>
          <w:sz w:val="22"/>
          <w:szCs w:val="22"/>
        </w:rPr>
        <w:t xml:space="preserve">Furthermore, given the urgent need for </w:t>
      </w:r>
      <w:r w:rsidR="009875EF">
        <w:rPr>
          <w:sz w:val="22"/>
          <w:szCs w:val="22"/>
        </w:rPr>
        <w:t xml:space="preserve">continued and additional </w:t>
      </w:r>
      <w:r w:rsidR="00DD01C2" w:rsidRPr="00C16613">
        <w:rPr>
          <w:sz w:val="22"/>
          <w:szCs w:val="22"/>
        </w:rPr>
        <w:t xml:space="preserve">educational broadband </w:t>
      </w:r>
      <w:r w:rsidR="000D26D6" w:rsidRPr="00C16613">
        <w:rPr>
          <w:sz w:val="22"/>
          <w:szCs w:val="22"/>
        </w:rPr>
        <w:t xml:space="preserve">service </w:t>
      </w:r>
      <w:r w:rsidR="00C279D5" w:rsidRPr="00C16613">
        <w:rPr>
          <w:sz w:val="22"/>
          <w:szCs w:val="22"/>
        </w:rPr>
        <w:t xml:space="preserve">in these </w:t>
      </w:r>
      <w:r w:rsidR="00DD01C2" w:rsidRPr="00C16613">
        <w:rPr>
          <w:sz w:val="22"/>
          <w:szCs w:val="22"/>
        </w:rPr>
        <w:t>areas, w</w:t>
      </w:r>
      <w:r w:rsidR="00D50D6E" w:rsidRPr="00C16613">
        <w:rPr>
          <w:sz w:val="22"/>
          <w:szCs w:val="22"/>
        </w:rPr>
        <w:t>e do not believe that asking KCSS</w:t>
      </w:r>
      <w:r w:rsidR="00DD01C2" w:rsidRPr="00C16613">
        <w:rPr>
          <w:sz w:val="22"/>
          <w:szCs w:val="22"/>
        </w:rPr>
        <w:t xml:space="preserve"> to wait until the Commission develops a new mechanism for assigning unassigned EBS spectrum is a</w:t>
      </w:r>
      <w:r w:rsidR="00A9590F" w:rsidRPr="00C16613">
        <w:rPr>
          <w:sz w:val="22"/>
          <w:szCs w:val="22"/>
        </w:rPr>
        <w:t>ppropriate</w:t>
      </w:r>
      <w:r w:rsidR="00DD01C2" w:rsidRPr="00C16613">
        <w:rPr>
          <w:sz w:val="22"/>
          <w:szCs w:val="22"/>
        </w:rPr>
        <w:t>.</w:t>
      </w:r>
      <w:r w:rsidR="00D50D6E" w:rsidRPr="00C16613">
        <w:rPr>
          <w:sz w:val="22"/>
          <w:szCs w:val="22"/>
        </w:rPr>
        <w:t xml:space="preserve">  We therefore conclude that KCSS</w:t>
      </w:r>
      <w:r w:rsidR="00DD01C2" w:rsidRPr="00C16613">
        <w:rPr>
          <w:sz w:val="22"/>
          <w:szCs w:val="22"/>
        </w:rPr>
        <w:t xml:space="preserve"> has justified a waiver of the EBS filing freeze under the second prong of the waiver standard.</w:t>
      </w:r>
    </w:p>
    <w:p w:rsidR="007D251F" w:rsidRDefault="00FC1CFD" w:rsidP="007D251F">
      <w:pPr>
        <w:numPr>
          <w:ilvl w:val="1"/>
          <w:numId w:val="16"/>
        </w:numPr>
        <w:tabs>
          <w:tab w:val="clear" w:pos="2160"/>
          <w:tab w:val="num" w:pos="1440"/>
        </w:tabs>
        <w:spacing w:after="220"/>
        <w:ind w:left="0"/>
        <w:rPr>
          <w:sz w:val="22"/>
          <w:szCs w:val="22"/>
        </w:rPr>
      </w:pPr>
      <w:r>
        <w:rPr>
          <w:sz w:val="22"/>
          <w:szCs w:val="22"/>
        </w:rPr>
        <w:t xml:space="preserve">We </w:t>
      </w:r>
      <w:r w:rsidR="007D251F">
        <w:rPr>
          <w:sz w:val="22"/>
          <w:szCs w:val="22"/>
        </w:rPr>
        <w:t xml:space="preserve">will impose the same conditions on the grant of this authorization that the Bureau </w:t>
      </w:r>
      <w:r w:rsidR="00530BCA">
        <w:rPr>
          <w:sz w:val="22"/>
          <w:szCs w:val="22"/>
        </w:rPr>
        <w:t xml:space="preserve">has </w:t>
      </w:r>
      <w:r w:rsidR="007D251F">
        <w:rPr>
          <w:sz w:val="22"/>
          <w:szCs w:val="22"/>
        </w:rPr>
        <w:t xml:space="preserve">imposed in </w:t>
      </w:r>
      <w:r w:rsidR="00530BCA">
        <w:rPr>
          <w:sz w:val="22"/>
          <w:szCs w:val="22"/>
        </w:rPr>
        <w:t>previous</w:t>
      </w:r>
      <w:r w:rsidR="00AB62BB">
        <w:rPr>
          <w:sz w:val="22"/>
          <w:szCs w:val="22"/>
        </w:rPr>
        <w:t xml:space="preserve"> cases</w:t>
      </w:r>
      <w:r w:rsidR="007D251F">
        <w:rPr>
          <w:sz w:val="22"/>
          <w:szCs w:val="22"/>
        </w:rPr>
        <w:t xml:space="preserve">.  </w:t>
      </w:r>
      <w:r w:rsidR="00A9590F">
        <w:rPr>
          <w:sz w:val="22"/>
          <w:szCs w:val="22"/>
        </w:rPr>
        <w:t>In this regard</w:t>
      </w:r>
      <w:r w:rsidR="007D251F">
        <w:rPr>
          <w:sz w:val="22"/>
          <w:szCs w:val="22"/>
        </w:rPr>
        <w:t xml:space="preserve">, we </w:t>
      </w:r>
      <w:r w:rsidR="00530BCA">
        <w:rPr>
          <w:sz w:val="22"/>
          <w:szCs w:val="22"/>
        </w:rPr>
        <w:t xml:space="preserve">adopt as </w:t>
      </w:r>
      <w:r w:rsidR="00D50D6E">
        <w:rPr>
          <w:sz w:val="22"/>
          <w:szCs w:val="22"/>
        </w:rPr>
        <w:t>a license condition KCSS</w:t>
      </w:r>
      <w:r w:rsidR="007D251F">
        <w:rPr>
          <w:sz w:val="22"/>
          <w:szCs w:val="22"/>
        </w:rPr>
        <w:t xml:space="preserve">’s </w:t>
      </w:r>
      <w:r w:rsidR="00495020">
        <w:rPr>
          <w:sz w:val="22"/>
          <w:szCs w:val="22"/>
        </w:rPr>
        <w:t xml:space="preserve">continued </w:t>
      </w:r>
      <w:r w:rsidR="007D251F">
        <w:rPr>
          <w:sz w:val="22"/>
          <w:szCs w:val="22"/>
        </w:rPr>
        <w:t>commitment not to lease its spectrum.</w:t>
      </w:r>
      <w:r w:rsidR="007D251F">
        <w:rPr>
          <w:rStyle w:val="FootnoteReference"/>
          <w:sz w:val="22"/>
          <w:szCs w:val="22"/>
        </w:rPr>
        <w:footnoteReference w:id="49"/>
      </w:r>
      <w:r w:rsidR="007D251F">
        <w:rPr>
          <w:sz w:val="22"/>
          <w:szCs w:val="22"/>
        </w:rPr>
        <w:t xml:space="preserve">  Section 27.1201(a) of the Commission’s Rules states that a “license for an Educational Broadband Service stations will be issued only to an accredited institution</w:t>
      </w:r>
      <w:r w:rsidR="009875EF">
        <w:rPr>
          <w:sz w:val="22"/>
          <w:szCs w:val="22"/>
        </w:rPr>
        <w:t xml:space="preserve"> or to a governmental organization engaged in the formal education of enrolled students</w:t>
      </w:r>
      <w:r w:rsidR="007D251F">
        <w:rPr>
          <w:sz w:val="22"/>
          <w:szCs w:val="22"/>
        </w:rPr>
        <w:t>.”</w:t>
      </w:r>
      <w:r w:rsidR="007D251F">
        <w:rPr>
          <w:rStyle w:val="FootnoteReference"/>
          <w:sz w:val="22"/>
          <w:szCs w:val="22"/>
        </w:rPr>
        <w:footnoteReference w:id="50"/>
      </w:r>
      <w:r w:rsidR="00D50D6E">
        <w:rPr>
          <w:sz w:val="22"/>
          <w:szCs w:val="22"/>
        </w:rPr>
        <w:t xml:space="preserve">  KCSS</w:t>
      </w:r>
      <w:r w:rsidR="007D251F">
        <w:rPr>
          <w:sz w:val="22"/>
          <w:szCs w:val="22"/>
        </w:rPr>
        <w:t xml:space="preserve"> is such an </w:t>
      </w:r>
      <w:r w:rsidR="009875EF">
        <w:rPr>
          <w:sz w:val="22"/>
          <w:szCs w:val="22"/>
        </w:rPr>
        <w:t xml:space="preserve">accredited </w:t>
      </w:r>
      <w:r w:rsidR="007D251F">
        <w:rPr>
          <w:sz w:val="22"/>
          <w:szCs w:val="22"/>
        </w:rPr>
        <w:t xml:space="preserve">institution </w:t>
      </w:r>
      <w:r w:rsidR="009875EF">
        <w:rPr>
          <w:sz w:val="22"/>
          <w:szCs w:val="22"/>
        </w:rPr>
        <w:t xml:space="preserve">and such a governmental organization </w:t>
      </w:r>
      <w:r w:rsidR="007D251F">
        <w:rPr>
          <w:sz w:val="22"/>
          <w:szCs w:val="22"/>
        </w:rPr>
        <w:t xml:space="preserve">and has indicated that it will use the proposed EBS system solely </w:t>
      </w:r>
      <w:r w:rsidR="009875EF">
        <w:rPr>
          <w:sz w:val="22"/>
          <w:szCs w:val="22"/>
        </w:rPr>
        <w:t>for ed</w:t>
      </w:r>
      <w:r w:rsidR="00D91405">
        <w:rPr>
          <w:sz w:val="22"/>
          <w:szCs w:val="22"/>
        </w:rPr>
        <w:t>ucational</w:t>
      </w:r>
      <w:r w:rsidR="009875EF">
        <w:rPr>
          <w:sz w:val="22"/>
          <w:szCs w:val="22"/>
        </w:rPr>
        <w:t xml:space="preserve"> purposes</w:t>
      </w:r>
      <w:r w:rsidR="007D251F">
        <w:rPr>
          <w:sz w:val="22"/>
          <w:szCs w:val="22"/>
        </w:rPr>
        <w:t>.</w:t>
      </w:r>
      <w:r w:rsidR="007D251F">
        <w:rPr>
          <w:rStyle w:val="FootnoteReference"/>
          <w:sz w:val="22"/>
          <w:szCs w:val="22"/>
        </w:rPr>
        <w:footnoteReference w:id="51"/>
      </w:r>
      <w:r w:rsidR="007D251F">
        <w:rPr>
          <w:sz w:val="22"/>
          <w:szCs w:val="22"/>
        </w:rPr>
        <w:t xml:space="preserve">  The provision of educ</w:t>
      </w:r>
      <w:r w:rsidR="00653AC1">
        <w:rPr>
          <w:sz w:val="22"/>
          <w:szCs w:val="22"/>
        </w:rPr>
        <w:t xml:space="preserve">ational broadband services via </w:t>
      </w:r>
      <w:r w:rsidR="007D251F">
        <w:rPr>
          <w:sz w:val="22"/>
          <w:szCs w:val="22"/>
        </w:rPr>
        <w:t>new EBS license</w:t>
      </w:r>
      <w:r w:rsidR="00653AC1">
        <w:rPr>
          <w:sz w:val="22"/>
          <w:szCs w:val="22"/>
        </w:rPr>
        <w:t>s</w:t>
      </w:r>
      <w:r w:rsidR="007D251F">
        <w:rPr>
          <w:sz w:val="22"/>
          <w:szCs w:val="22"/>
        </w:rPr>
        <w:t xml:space="preserve"> would be consistent with the Commission’s view that, “the public interest favors preserving [EBS] spectrum for licensing to [educators] and that doing so will further the educational objectives that led to the establishment of [EBS].”</w:t>
      </w:r>
      <w:r w:rsidR="007D251F">
        <w:rPr>
          <w:rStyle w:val="FootnoteReference"/>
          <w:sz w:val="22"/>
          <w:szCs w:val="22"/>
        </w:rPr>
        <w:footnoteReference w:id="52"/>
      </w:r>
      <w:r w:rsidR="00C16613">
        <w:rPr>
          <w:sz w:val="22"/>
          <w:szCs w:val="22"/>
        </w:rPr>
        <w:t xml:space="preserve">  </w:t>
      </w:r>
      <w:r w:rsidR="00530BCA">
        <w:rPr>
          <w:sz w:val="22"/>
          <w:szCs w:val="22"/>
        </w:rPr>
        <w:t xml:space="preserve">We find that </w:t>
      </w:r>
      <w:r w:rsidR="00D50D6E">
        <w:rPr>
          <w:sz w:val="22"/>
          <w:szCs w:val="22"/>
        </w:rPr>
        <w:t>KCSS</w:t>
      </w:r>
      <w:r w:rsidR="007D251F">
        <w:rPr>
          <w:sz w:val="22"/>
          <w:szCs w:val="22"/>
        </w:rPr>
        <w:t>’s concrete plan to put the spectrum to use immediately solely for educational purposes</w:t>
      </w:r>
      <w:r w:rsidR="00C16613">
        <w:rPr>
          <w:rStyle w:val="FootnoteReference"/>
          <w:sz w:val="22"/>
          <w:szCs w:val="22"/>
        </w:rPr>
        <w:footnoteReference w:id="53"/>
      </w:r>
      <w:r w:rsidR="007D251F">
        <w:rPr>
          <w:sz w:val="22"/>
          <w:szCs w:val="22"/>
        </w:rPr>
        <w:t xml:space="preserve"> </w:t>
      </w:r>
      <w:r w:rsidR="00DD01C2">
        <w:rPr>
          <w:sz w:val="22"/>
          <w:szCs w:val="22"/>
        </w:rPr>
        <w:t xml:space="preserve">and </w:t>
      </w:r>
      <w:r w:rsidR="00A9590F">
        <w:rPr>
          <w:sz w:val="22"/>
          <w:szCs w:val="22"/>
        </w:rPr>
        <w:t xml:space="preserve">its </w:t>
      </w:r>
      <w:r w:rsidR="00DD01C2">
        <w:rPr>
          <w:sz w:val="22"/>
          <w:szCs w:val="22"/>
        </w:rPr>
        <w:t>commitment not to lease the spectrum</w:t>
      </w:r>
      <w:r w:rsidR="00C16613">
        <w:rPr>
          <w:rStyle w:val="FootnoteReference"/>
          <w:sz w:val="22"/>
          <w:szCs w:val="22"/>
        </w:rPr>
        <w:footnoteReference w:id="54"/>
      </w:r>
      <w:r w:rsidR="00DD01C2">
        <w:rPr>
          <w:sz w:val="22"/>
          <w:szCs w:val="22"/>
        </w:rPr>
        <w:t xml:space="preserve"> </w:t>
      </w:r>
      <w:r w:rsidR="00A9590F">
        <w:rPr>
          <w:sz w:val="22"/>
          <w:szCs w:val="22"/>
        </w:rPr>
        <w:t>constitute</w:t>
      </w:r>
      <w:r w:rsidR="00DD01C2">
        <w:rPr>
          <w:sz w:val="22"/>
          <w:szCs w:val="22"/>
        </w:rPr>
        <w:t xml:space="preserve"> </w:t>
      </w:r>
      <w:r w:rsidR="007D251F">
        <w:rPr>
          <w:sz w:val="22"/>
          <w:szCs w:val="22"/>
        </w:rPr>
        <w:t>unique circumstance</w:t>
      </w:r>
      <w:r w:rsidR="00DD01C2">
        <w:rPr>
          <w:sz w:val="22"/>
          <w:szCs w:val="22"/>
        </w:rPr>
        <w:t>s</w:t>
      </w:r>
      <w:r w:rsidR="007D251F">
        <w:rPr>
          <w:sz w:val="22"/>
          <w:szCs w:val="22"/>
        </w:rPr>
        <w:t xml:space="preserve"> that will ensure “</w:t>
      </w:r>
      <w:r>
        <w:rPr>
          <w:sz w:val="22"/>
          <w:szCs w:val="22"/>
        </w:rPr>
        <w:t>that</w:t>
      </w:r>
      <w:r w:rsidR="007D251F">
        <w:rPr>
          <w:sz w:val="22"/>
          <w:szCs w:val="22"/>
        </w:rPr>
        <w:t xml:space="preserve"> the spectrum is used for educational purposes”</w:t>
      </w:r>
      <w:r w:rsidR="007D251F">
        <w:rPr>
          <w:rStyle w:val="FootnoteReference"/>
          <w:sz w:val="22"/>
          <w:szCs w:val="22"/>
        </w:rPr>
        <w:footnoteReference w:id="55"/>
      </w:r>
      <w:r w:rsidR="007D251F">
        <w:rPr>
          <w:sz w:val="22"/>
          <w:szCs w:val="22"/>
        </w:rPr>
        <w:t xml:space="preserve"> justif</w:t>
      </w:r>
      <w:r w:rsidR="00DD01C2">
        <w:rPr>
          <w:sz w:val="22"/>
          <w:szCs w:val="22"/>
        </w:rPr>
        <w:t>ying</w:t>
      </w:r>
      <w:r w:rsidR="007D251F">
        <w:rPr>
          <w:sz w:val="22"/>
          <w:szCs w:val="22"/>
        </w:rPr>
        <w:t xml:space="preserve"> a waiver of the filing freeze.</w:t>
      </w:r>
    </w:p>
    <w:p w:rsidR="00690245" w:rsidRPr="00D50D6E" w:rsidRDefault="00F12691" w:rsidP="000F0319">
      <w:pPr>
        <w:numPr>
          <w:ilvl w:val="1"/>
          <w:numId w:val="16"/>
        </w:numPr>
        <w:tabs>
          <w:tab w:val="clear" w:pos="2160"/>
          <w:tab w:val="num" w:pos="1440"/>
        </w:tabs>
        <w:spacing w:after="220"/>
        <w:ind w:left="0"/>
        <w:rPr>
          <w:sz w:val="22"/>
          <w:szCs w:val="22"/>
        </w:rPr>
      </w:pPr>
      <w:r w:rsidRPr="00D50D6E">
        <w:rPr>
          <w:sz w:val="22"/>
          <w:szCs w:val="22"/>
        </w:rPr>
        <w:t>We pl</w:t>
      </w:r>
      <w:r w:rsidR="00530BCA" w:rsidRPr="00D50D6E">
        <w:rPr>
          <w:sz w:val="22"/>
          <w:szCs w:val="22"/>
        </w:rPr>
        <w:t>ace the f</w:t>
      </w:r>
      <w:r w:rsidR="00D50D6E" w:rsidRPr="00D50D6E">
        <w:rPr>
          <w:sz w:val="22"/>
          <w:szCs w:val="22"/>
        </w:rPr>
        <w:t>urther condition on KCSS</w:t>
      </w:r>
      <w:r w:rsidRPr="00D50D6E">
        <w:rPr>
          <w:sz w:val="22"/>
          <w:szCs w:val="22"/>
        </w:rPr>
        <w:t>’s license that</w:t>
      </w:r>
      <w:r w:rsidR="007D251F" w:rsidRPr="00D50D6E">
        <w:rPr>
          <w:sz w:val="22"/>
          <w:szCs w:val="22"/>
        </w:rPr>
        <w:t xml:space="preserve"> its GSA</w:t>
      </w:r>
      <w:r w:rsidR="00653AC1" w:rsidRPr="00D50D6E">
        <w:rPr>
          <w:sz w:val="22"/>
          <w:szCs w:val="22"/>
        </w:rPr>
        <w:t>s</w:t>
      </w:r>
      <w:r w:rsidR="007D251F" w:rsidRPr="00D50D6E">
        <w:rPr>
          <w:sz w:val="22"/>
          <w:szCs w:val="22"/>
        </w:rPr>
        <w:t xml:space="preserve"> shall not include any area within the GSA of any previously licensed co-channel EBS station.</w:t>
      </w:r>
      <w:r w:rsidR="007D251F">
        <w:rPr>
          <w:rStyle w:val="FootnoteReference"/>
          <w:sz w:val="22"/>
          <w:szCs w:val="22"/>
        </w:rPr>
        <w:footnoteReference w:id="56"/>
      </w:r>
      <w:r w:rsidR="007D251F" w:rsidRPr="00D50D6E">
        <w:rPr>
          <w:sz w:val="22"/>
          <w:szCs w:val="22"/>
        </w:rPr>
        <w:t xml:space="preserve">  </w:t>
      </w:r>
      <w:r w:rsidR="00690245" w:rsidRPr="00D50D6E">
        <w:rPr>
          <w:sz w:val="22"/>
          <w:szCs w:val="22"/>
        </w:rPr>
        <w:t xml:space="preserve">In addition, we recognize that granting </w:t>
      </w:r>
      <w:r w:rsidR="00530BCA" w:rsidRPr="00D50D6E">
        <w:rPr>
          <w:sz w:val="22"/>
          <w:szCs w:val="22"/>
        </w:rPr>
        <w:t>these wai</w:t>
      </w:r>
      <w:r w:rsidR="00D50D6E">
        <w:rPr>
          <w:sz w:val="22"/>
          <w:szCs w:val="22"/>
        </w:rPr>
        <w:t>vers will result in KCSS</w:t>
      </w:r>
      <w:r w:rsidR="00690245" w:rsidRPr="00D50D6E">
        <w:rPr>
          <w:sz w:val="22"/>
          <w:szCs w:val="22"/>
        </w:rPr>
        <w:t xml:space="preserve"> obtaining valuable spectrum.  While we believe that there are substantial public</w:t>
      </w:r>
      <w:r w:rsidR="009739C5" w:rsidRPr="00D50D6E">
        <w:rPr>
          <w:sz w:val="22"/>
          <w:szCs w:val="22"/>
        </w:rPr>
        <w:t xml:space="preserve"> interest benefits to granting these</w:t>
      </w:r>
      <w:r w:rsidR="00690245" w:rsidRPr="00D50D6E">
        <w:rPr>
          <w:sz w:val="22"/>
          <w:szCs w:val="22"/>
        </w:rPr>
        <w:t xml:space="preserve"> waiver</w:t>
      </w:r>
      <w:r w:rsidR="009739C5" w:rsidRPr="00D50D6E">
        <w:rPr>
          <w:sz w:val="22"/>
          <w:szCs w:val="22"/>
        </w:rPr>
        <w:t>s</w:t>
      </w:r>
      <w:r w:rsidR="00690245" w:rsidRPr="00D50D6E">
        <w:rPr>
          <w:sz w:val="22"/>
          <w:szCs w:val="22"/>
        </w:rPr>
        <w:t xml:space="preserve">, we </w:t>
      </w:r>
      <w:r w:rsidR="009739C5" w:rsidRPr="00D50D6E">
        <w:rPr>
          <w:sz w:val="22"/>
          <w:szCs w:val="22"/>
        </w:rPr>
        <w:t xml:space="preserve">also </w:t>
      </w:r>
      <w:r w:rsidR="00690245" w:rsidRPr="00D50D6E">
        <w:rPr>
          <w:sz w:val="22"/>
          <w:szCs w:val="22"/>
        </w:rPr>
        <w:t>believe it appropriate to place conditions on the waiver grant to ensure that the anticipated public inter</w:t>
      </w:r>
      <w:r w:rsidR="009739C5" w:rsidRPr="00D50D6E">
        <w:rPr>
          <w:sz w:val="22"/>
          <w:szCs w:val="22"/>
        </w:rPr>
        <w:t>est benefits materialize.  Thus</w:t>
      </w:r>
      <w:r w:rsidR="00690245" w:rsidRPr="00D50D6E">
        <w:rPr>
          <w:sz w:val="22"/>
          <w:szCs w:val="22"/>
        </w:rPr>
        <w:t xml:space="preserve">, given the lack of broadband alternatives in the areas in questions, we believe </w:t>
      </w:r>
      <w:r w:rsidR="00530BCA" w:rsidRPr="00D50D6E">
        <w:rPr>
          <w:sz w:val="22"/>
          <w:szCs w:val="22"/>
        </w:rPr>
        <w:t xml:space="preserve">it is appropriate to require </w:t>
      </w:r>
      <w:r w:rsidR="00D50D6E">
        <w:rPr>
          <w:sz w:val="22"/>
          <w:szCs w:val="22"/>
        </w:rPr>
        <w:t>KCSS</w:t>
      </w:r>
      <w:r w:rsidR="00690245" w:rsidRPr="00D50D6E">
        <w:rPr>
          <w:sz w:val="22"/>
          <w:szCs w:val="22"/>
        </w:rPr>
        <w:t xml:space="preserve"> to build out on an accelerated schedule.  </w:t>
      </w:r>
      <w:r w:rsidR="009875EF">
        <w:rPr>
          <w:sz w:val="22"/>
          <w:szCs w:val="22"/>
        </w:rPr>
        <w:t xml:space="preserve">As </w:t>
      </w:r>
      <w:r w:rsidR="00D50D6E">
        <w:rPr>
          <w:sz w:val="22"/>
          <w:szCs w:val="22"/>
        </w:rPr>
        <w:t>KCSS</w:t>
      </w:r>
      <w:r w:rsidR="009875EF">
        <w:rPr>
          <w:sz w:val="22"/>
          <w:szCs w:val="22"/>
        </w:rPr>
        <w:t xml:space="preserve"> has already committed to an accelerated construction schedule</w:t>
      </w:r>
      <w:r w:rsidR="00CE1099" w:rsidRPr="00D50D6E">
        <w:rPr>
          <w:sz w:val="22"/>
          <w:szCs w:val="22"/>
        </w:rPr>
        <w:t>,</w:t>
      </w:r>
      <w:r w:rsidR="005D18FB">
        <w:rPr>
          <w:rStyle w:val="FootnoteReference"/>
          <w:sz w:val="22"/>
          <w:szCs w:val="22"/>
        </w:rPr>
        <w:footnoteReference w:id="57"/>
      </w:r>
      <w:r w:rsidR="00CE1099" w:rsidRPr="00D50D6E">
        <w:rPr>
          <w:sz w:val="22"/>
          <w:szCs w:val="22"/>
        </w:rPr>
        <w:t xml:space="preserve"> w</w:t>
      </w:r>
      <w:r w:rsidR="00D50D6E">
        <w:rPr>
          <w:sz w:val="22"/>
          <w:szCs w:val="22"/>
        </w:rPr>
        <w:t>e will require KCSS</w:t>
      </w:r>
      <w:r w:rsidR="00690245" w:rsidRPr="00D50D6E">
        <w:rPr>
          <w:sz w:val="22"/>
          <w:szCs w:val="22"/>
        </w:rPr>
        <w:t xml:space="preserve"> to provide substantial service pursuant to Section 27.14(o) within two years from the date the Applications are granted by the Bureau</w:t>
      </w:r>
      <w:r w:rsidR="00BF40C6" w:rsidRPr="00D50D6E">
        <w:rPr>
          <w:sz w:val="22"/>
          <w:szCs w:val="22"/>
        </w:rPr>
        <w:t>.</w:t>
      </w:r>
      <w:r w:rsidR="00690245">
        <w:rPr>
          <w:rStyle w:val="FootnoteReference"/>
          <w:sz w:val="22"/>
          <w:szCs w:val="22"/>
        </w:rPr>
        <w:footnoteReference w:id="58"/>
      </w:r>
    </w:p>
    <w:p w:rsidR="00FC1CFD" w:rsidRDefault="00FC1CFD" w:rsidP="00BF40C6">
      <w:pPr>
        <w:numPr>
          <w:ilvl w:val="1"/>
          <w:numId w:val="16"/>
        </w:numPr>
        <w:tabs>
          <w:tab w:val="clear" w:pos="2160"/>
          <w:tab w:val="num" w:pos="720"/>
        </w:tabs>
        <w:spacing w:after="220"/>
        <w:ind w:left="0"/>
        <w:rPr>
          <w:rStyle w:val="documentbody1"/>
          <w:rFonts w:ascii="Times New Roman" w:hAnsi="Times New Roman"/>
          <w:sz w:val="22"/>
          <w:szCs w:val="22"/>
          <w:shd w:val="clear" w:color="auto" w:fill="auto"/>
        </w:rPr>
      </w:pPr>
      <w:r>
        <w:rPr>
          <w:rStyle w:val="documentbody1"/>
          <w:rFonts w:ascii="Times New Roman" w:hAnsi="Times New Roman"/>
          <w:color w:val="000000"/>
          <w:sz w:val="22"/>
          <w:szCs w:val="22"/>
        </w:rPr>
        <w:t>With respect to the electronic filing requirement contained in Section 1.1913(b) of the Commission’s Rules,</w:t>
      </w:r>
      <w:r>
        <w:rPr>
          <w:rStyle w:val="FootnoteReference"/>
          <w:sz w:val="22"/>
          <w:szCs w:val="22"/>
        </w:rPr>
        <w:footnoteReference w:id="59"/>
      </w:r>
      <w:r w:rsidR="00495020">
        <w:rPr>
          <w:sz w:val="22"/>
          <w:szCs w:val="22"/>
        </w:rPr>
        <w:t xml:space="preserve"> we observe that </w:t>
      </w:r>
      <w:r>
        <w:rPr>
          <w:sz w:val="22"/>
          <w:szCs w:val="22"/>
        </w:rPr>
        <w:t xml:space="preserve">the Commission’s electronic </w:t>
      </w:r>
      <w:r w:rsidR="009739C5">
        <w:rPr>
          <w:sz w:val="22"/>
          <w:szCs w:val="22"/>
        </w:rPr>
        <w:t>ULS</w:t>
      </w:r>
      <w:r>
        <w:rPr>
          <w:sz w:val="22"/>
          <w:szCs w:val="22"/>
        </w:rPr>
        <w:t xml:space="preserve"> is not currently configured to accept applications </w:t>
      </w:r>
      <w:r w:rsidR="00530BCA">
        <w:rPr>
          <w:sz w:val="22"/>
          <w:szCs w:val="22"/>
        </w:rPr>
        <w:t>such as the ones</w:t>
      </w:r>
      <w:r w:rsidR="00D50D6E">
        <w:rPr>
          <w:sz w:val="22"/>
          <w:szCs w:val="22"/>
        </w:rPr>
        <w:t xml:space="preserve"> submitted by KCSS</w:t>
      </w:r>
      <w:r>
        <w:rPr>
          <w:sz w:val="22"/>
          <w:szCs w:val="22"/>
        </w:rPr>
        <w:t xml:space="preserve">.  We therefore conclude that, in light of these circumstances, </w:t>
      </w:r>
      <w:r>
        <w:rPr>
          <w:rStyle w:val="documentbody1"/>
          <w:rFonts w:ascii="Times New Roman" w:hAnsi="Times New Roman"/>
          <w:color w:val="000000"/>
          <w:sz w:val="22"/>
          <w:szCs w:val="22"/>
        </w:rPr>
        <w:t>application of the rule would be inequitable and contrary to the public interest because it would be unfair to reject an application for failure to file electronically when electronic filing capability is not av</w:t>
      </w:r>
      <w:r w:rsidR="00530BCA">
        <w:rPr>
          <w:rStyle w:val="documentbody1"/>
          <w:rFonts w:ascii="Times New Roman" w:hAnsi="Times New Roman"/>
          <w:color w:val="000000"/>
          <w:sz w:val="22"/>
          <w:szCs w:val="22"/>
        </w:rPr>
        <w:t>ailab</w:t>
      </w:r>
      <w:r w:rsidR="00D50D6E">
        <w:rPr>
          <w:rStyle w:val="documentbody1"/>
          <w:rFonts w:ascii="Times New Roman" w:hAnsi="Times New Roman"/>
          <w:color w:val="000000"/>
          <w:sz w:val="22"/>
          <w:szCs w:val="22"/>
        </w:rPr>
        <w:t>le.  We therefore grant KCSS</w:t>
      </w:r>
      <w:r>
        <w:rPr>
          <w:rStyle w:val="documentbody1"/>
          <w:rFonts w:ascii="Times New Roman" w:hAnsi="Times New Roman"/>
          <w:color w:val="000000"/>
          <w:sz w:val="22"/>
          <w:szCs w:val="22"/>
        </w:rPr>
        <w:t xml:space="preserve"> a waiver to permit manual filing of its Application</w:t>
      </w:r>
      <w:r w:rsidR="009739C5">
        <w:rPr>
          <w:rStyle w:val="documentbody1"/>
          <w:rFonts w:ascii="Times New Roman" w:hAnsi="Times New Roman"/>
          <w:color w:val="000000"/>
          <w:sz w:val="22"/>
          <w:szCs w:val="22"/>
        </w:rPr>
        <w:t>s</w:t>
      </w:r>
      <w:r>
        <w:rPr>
          <w:rStyle w:val="documentbody1"/>
          <w:rFonts w:ascii="Times New Roman" w:hAnsi="Times New Roman"/>
          <w:color w:val="000000"/>
          <w:sz w:val="22"/>
          <w:szCs w:val="22"/>
        </w:rPr>
        <w:t>.</w:t>
      </w:r>
    </w:p>
    <w:p w:rsidR="00FC1CFD" w:rsidRPr="00BF40C6" w:rsidRDefault="00FC1CFD" w:rsidP="00BF40C6">
      <w:pPr>
        <w:numPr>
          <w:ilvl w:val="1"/>
          <w:numId w:val="16"/>
        </w:numPr>
        <w:tabs>
          <w:tab w:val="clear" w:pos="2160"/>
          <w:tab w:val="num" w:pos="1440"/>
        </w:tabs>
        <w:spacing w:after="220"/>
        <w:ind w:left="0"/>
        <w:rPr>
          <w:sz w:val="22"/>
          <w:szCs w:val="22"/>
        </w:rPr>
      </w:pPr>
      <w:r w:rsidRPr="00BF40C6">
        <w:rPr>
          <w:sz w:val="22"/>
          <w:szCs w:val="22"/>
        </w:rPr>
        <w:t>Based upon the evaluation of the record before us, we concl</w:t>
      </w:r>
      <w:r w:rsidR="00530BCA">
        <w:rPr>
          <w:sz w:val="22"/>
          <w:szCs w:val="22"/>
        </w:rPr>
        <w:t>ude that K</w:t>
      </w:r>
      <w:r w:rsidR="00D50D6E">
        <w:rPr>
          <w:sz w:val="22"/>
          <w:szCs w:val="22"/>
        </w:rPr>
        <w:t>CSS</w:t>
      </w:r>
      <w:r w:rsidRPr="00BF40C6">
        <w:rPr>
          <w:sz w:val="22"/>
          <w:szCs w:val="22"/>
        </w:rPr>
        <w:t xml:space="preserve"> has demonstrated that continued application of the filing freeze and electronic filing requirement would be inequitable, unduly burdensome and contrary to the public interest, given the unique circumstances of this case.  We also find that waiving the filing freeze and the electronic filing requirement will facilitate the provision of educational material through a broadb</w:t>
      </w:r>
      <w:r w:rsidR="002F0A63" w:rsidRPr="00BF40C6">
        <w:rPr>
          <w:sz w:val="22"/>
          <w:szCs w:val="22"/>
        </w:rPr>
        <w:t xml:space="preserve">and network </w:t>
      </w:r>
      <w:r w:rsidR="00D50D6E">
        <w:rPr>
          <w:sz w:val="22"/>
          <w:szCs w:val="22"/>
        </w:rPr>
        <w:t xml:space="preserve">in unserved and underserved areas in Kings County, California </w:t>
      </w:r>
      <w:r w:rsidRPr="00BF40C6">
        <w:rPr>
          <w:sz w:val="22"/>
          <w:szCs w:val="22"/>
        </w:rPr>
        <w:t>and will further the Commission’s</w:t>
      </w:r>
      <w:r w:rsidR="00B31D76" w:rsidRPr="00B31D76">
        <w:rPr>
          <w:sz w:val="22"/>
          <w:szCs w:val="22"/>
        </w:rPr>
        <w:t xml:space="preserve"> goal of ultimately providing all Americans with access to ubiquitous wireless broadband connections, regardless of their location.</w:t>
      </w:r>
      <w:r w:rsidR="00B31D76" w:rsidRPr="00B31D76">
        <w:rPr>
          <w:sz w:val="22"/>
          <w:szCs w:val="22"/>
          <w:vertAlign w:val="superscript"/>
        </w:rPr>
        <w:footnoteReference w:id="60"/>
      </w:r>
      <w:r w:rsidRPr="00BF40C6">
        <w:rPr>
          <w:sz w:val="22"/>
          <w:szCs w:val="22"/>
        </w:rPr>
        <w:t xml:space="preserve">  We note that the waivers granted in the instant </w:t>
      </w:r>
      <w:r w:rsidR="00EA09F6" w:rsidRPr="00BF40C6">
        <w:rPr>
          <w:i/>
          <w:sz w:val="22"/>
          <w:szCs w:val="22"/>
        </w:rPr>
        <w:t xml:space="preserve">Memorandum Opinion and Order </w:t>
      </w:r>
      <w:r w:rsidRPr="00BF40C6">
        <w:rPr>
          <w:sz w:val="22"/>
          <w:szCs w:val="22"/>
        </w:rPr>
        <w:t>are based on the unique circumstances of this case, and do not prejudge the Commission’s consideration of the appropriate mechanism generally for licensing unassigned EBS spectrum.</w:t>
      </w:r>
      <w:r>
        <w:rPr>
          <w:rStyle w:val="FootnoteReference"/>
          <w:sz w:val="22"/>
          <w:szCs w:val="22"/>
        </w:rPr>
        <w:footnoteReference w:id="61"/>
      </w:r>
      <w:r w:rsidRPr="00BF40C6">
        <w:rPr>
          <w:sz w:val="22"/>
          <w:szCs w:val="22"/>
        </w:rPr>
        <w:t xml:space="preserve"> </w:t>
      </w:r>
    </w:p>
    <w:p w:rsidR="00FC1CFD" w:rsidRDefault="00FC1CFD">
      <w:pPr>
        <w:pStyle w:val="Heading1"/>
        <w:spacing w:before="0" w:after="2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t>CONCLUSION AND ORDERING CLAUSES</w:t>
      </w:r>
    </w:p>
    <w:p w:rsidR="00FC1CFD" w:rsidRDefault="00FC1CFD">
      <w:pPr>
        <w:numPr>
          <w:ilvl w:val="1"/>
          <w:numId w:val="16"/>
        </w:numPr>
        <w:tabs>
          <w:tab w:val="clear" w:pos="2160"/>
          <w:tab w:val="num" w:pos="1440"/>
        </w:tabs>
        <w:spacing w:after="220"/>
        <w:ind w:left="0"/>
        <w:rPr>
          <w:sz w:val="22"/>
          <w:szCs w:val="22"/>
        </w:rPr>
      </w:pPr>
      <w:r>
        <w:rPr>
          <w:sz w:val="22"/>
          <w:szCs w:val="22"/>
        </w:rPr>
        <w:t>For the reaso</w:t>
      </w:r>
      <w:r w:rsidR="00530BCA">
        <w:rPr>
          <w:sz w:val="22"/>
          <w:szCs w:val="22"/>
        </w:rPr>
        <w:t>ns discus</w:t>
      </w:r>
      <w:r w:rsidR="0058063C">
        <w:rPr>
          <w:sz w:val="22"/>
          <w:szCs w:val="22"/>
        </w:rPr>
        <w:t>sed above, we grant KCSS</w:t>
      </w:r>
      <w:r>
        <w:rPr>
          <w:sz w:val="22"/>
          <w:szCs w:val="22"/>
        </w:rPr>
        <w:t xml:space="preserve">’s requests for waiver of (1) the filing freeze that was imposed by the Commission on new EBS applications in the Commission’s April 2003, </w:t>
      </w:r>
      <w:r>
        <w:rPr>
          <w:i/>
          <w:sz w:val="22"/>
          <w:szCs w:val="22"/>
        </w:rPr>
        <w:t>NPRM and MO&amp;O</w:t>
      </w:r>
      <w:r>
        <w:rPr>
          <w:sz w:val="22"/>
          <w:szCs w:val="22"/>
        </w:rPr>
        <w:t>, and, (2) the electronic filing requirement in Section 1.1913(b) of the Commission’s Rules.  We also direct the Broadband Division to pr</w:t>
      </w:r>
      <w:r w:rsidR="00530BCA">
        <w:rPr>
          <w:sz w:val="22"/>
          <w:szCs w:val="22"/>
        </w:rPr>
        <w:t>ocess Kings County</w:t>
      </w:r>
      <w:r>
        <w:rPr>
          <w:sz w:val="22"/>
          <w:szCs w:val="22"/>
        </w:rPr>
        <w:t>’s Application</w:t>
      </w:r>
      <w:r w:rsidR="002F0A63">
        <w:rPr>
          <w:sz w:val="22"/>
          <w:szCs w:val="22"/>
        </w:rPr>
        <w:t>s</w:t>
      </w:r>
      <w:r>
        <w:rPr>
          <w:sz w:val="22"/>
          <w:szCs w:val="22"/>
        </w:rPr>
        <w:t xml:space="preserve"> in accordance with the requirements set forth in this </w:t>
      </w:r>
      <w:r>
        <w:rPr>
          <w:i/>
          <w:sz w:val="22"/>
          <w:szCs w:val="22"/>
        </w:rPr>
        <w:t>Memorandum Opinion and Order</w:t>
      </w:r>
      <w:r>
        <w:rPr>
          <w:sz w:val="22"/>
          <w:szCs w:val="22"/>
        </w:rPr>
        <w:t xml:space="preserve"> and the Commission’s rules.</w:t>
      </w:r>
    </w:p>
    <w:p w:rsidR="00FC1CFD" w:rsidRDefault="00FC1CFD">
      <w:pPr>
        <w:numPr>
          <w:ilvl w:val="1"/>
          <w:numId w:val="16"/>
        </w:numPr>
        <w:tabs>
          <w:tab w:val="clear" w:pos="2160"/>
          <w:tab w:val="num" w:pos="1440"/>
        </w:tabs>
        <w:spacing w:after="220"/>
        <w:ind w:left="0"/>
        <w:rPr>
          <w:sz w:val="22"/>
          <w:szCs w:val="22"/>
        </w:rPr>
      </w:pPr>
      <w:r>
        <w:rPr>
          <w:sz w:val="22"/>
          <w:szCs w:val="22"/>
        </w:rPr>
        <w:t xml:space="preserve">Accordingly, IT IS ORDERED, pursuant to Section 4(i) of the Communications Act of 1934, as amended 47 U.S.C. § 154(i), and Section 1.925(b)(3) of the Commission’s Rules, 47 C.F.R. § 1.925(b)(3), that the waiver requests filed by </w:t>
      </w:r>
      <w:r w:rsidR="00530BCA">
        <w:rPr>
          <w:sz w:val="22"/>
          <w:szCs w:val="22"/>
        </w:rPr>
        <w:t xml:space="preserve">Kings County Superintendent of Schools </w:t>
      </w:r>
      <w:r>
        <w:rPr>
          <w:sz w:val="22"/>
          <w:szCs w:val="22"/>
        </w:rPr>
        <w:t xml:space="preserve">on </w:t>
      </w:r>
      <w:r w:rsidR="00530BCA">
        <w:rPr>
          <w:sz w:val="22"/>
          <w:szCs w:val="22"/>
        </w:rPr>
        <w:t xml:space="preserve">August </w:t>
      </w:r>
      <w:r w:rsidR="00534FFF">
        <w:rPr>
          <w:sz w:val="22"/>
          <w:szCs w:val="22"/>
        </w:rPr>
        <w:t>17, 2016</w:t>
      </w:r>
      <w:r>
        <w:rPr>
          <w:sz w:val="22"/>
          <w:szCs w:val="22"/>
        </w:rPr>
        <w:t xml:space="preserve"> in connection with File No</w:t>
      </w:r>
      <w:r w:rsidR="002F0A63">
        <w:rPr>
          <w:sz w:val="22"/>
          <w:szCs w:val="22"/>
        </w:rPr>
        <w:t>s</w:t>
      </w:r>
      <w:r>
        <w:rPr>
          <w:sz w:val="22"/>
          <w:szCs w:val="22"/>
        </w:rPr>
        <w:t>. 000</w:t>
      </w:r>
      <w:r w:rsidR="00534FFF">
        <w:rPr>
          <w:sz w:val="22"/>
          <w:szCs w:val="22"/>
        </w:rPr>
        <w:t>7432862 and 0007432863</w:t>
      </w:r>
      <w:r>
        <w:rPr>
          <w:sz w:val="22"/>
          <w:szCs w:val="22"/>
        </w:rPr>
        <w:t xml:space="preserve"> ARE GRANTED, subject to the conditions noted below.</w:t>
      </w:r>
    </w:p>
    <w:p w:rsidR="00FC1CFD" w:rsidRDefault="00FC1CFD">
      <w:pPr>
        <w:numPr>
          <w:ilvl w:val="1"/>
          <w:numId w:val="16"/>
        </w:numPr>
        <w:tabs>
          <w:tab w:val="clear" w:pos="2160"/>
          <w:tab w:val="num" w:pos="1440"/>
        </w:tabs>
        <w:spacing w:after="220"/>
        <w:ind w:left="0"/>
        <w:rPr>
          <w:sz w:val="22"/>
          <w:szCs w:val="22"/>
        </w:rPr>
      </w:pPr>
      <w:r>
        <w:rPr>
          <w:sz w:val="22"/>
          <w:szCs w:val="22"/>
        </w:rPr>
        <w:t>IT IS FURTHER ORDERED, pursuant to Sections 4(i) and 309 of the Communications Act of 1934, as amended, 47 U.S.C. §§154(i), 309 that the licensing staff of the Broadband Division, Wireless Telecommunications Bureau SHALL PROCESS File No</w:t>
      </w:r>
      <w:r w:rsidR="002F0A63">
        <w:rPr>
          <w:sz w:val="22"/>
          <w:szCs w:val="22"/>
        </w:rPr>
        <w:t>s</w:t>
      </w:r>
      <w:r>
        <w:rPr>
          <w:sz w:val="22"/>
          <w:szCs w:val="22"/>
        </w:rPr>
        <w:t xml:space="preserve">. </w:t>
      </w:r>
      <w:r w:rsidR="00534FFF">
        <w:rPr>
          <w:sz w:val="22"/>
          <w:szCs w:val="22"/>
        </w:rPr>
        <w:t>0007432862 and 0007432863</w:t>
      </w:r>
      <w:r w:rsidR="002F0A63">
        <w:rPr>
          <w:sz w:val="22"/>
          <w:szCs w:val="22"/>
        </w:rPr>
        <w:t xml:space="preserve"> </w:t>
      </w:r>
      <w:r>
        <w:rPr>
          <w:sz w:val="22"/>
          <w:szCs w:val="22"/>
        </w:rPr>
        <w:t xml:space="preserve">in accordance with this </w:t>
      </w:r>
      <w:r>
        <w:rPr>
          <w:i/>
          <w:sz w:val="22"/>
          <w:szCs w:val="22"/>
        </w:rPr>
        <w:t>Memorandum Opinion and Order</w:t>
      </w:r>
      <w:r>
        <w:rPr>
          <w:sz w:val="22"/>
          <w:szCs w:val="22"/>
        </w:rPr>
        <w:t xml:space="preserve"> and the Commission’s Rules.</w:t>
      </w:r>
    </w:p>
    <w:p w:rsidR="00FC1CFD" w:rsidRDefault="00FC1CFD">
      <w:pPr>
        <w:numPr>
          <w:ilvl w:val="1"/>
          <w:numId w:val="16"/>
        </w:numPr>
        <w:tabs>
          <w:tab w:val="clear" w:pos="2160"/>
          <w:tab w:val="num" w:pos="1440"/>
        </w:tabs>
        <w:spacing w:after="220"/>
        <w:ind w:left="0"/>
        <w:rPr>
          <w:sz w:val="22"/>
          <w:szCs w:val="22"/>
        </w:rPr>
      </w:pPr>
      <w:r>
        <w:rPr>
          <w:sz w:val="22"/>
          <w:szCs w:val="22"/>
        </w:rPr>
        <w:t>IT IS FURTHER ORDERED, pursuant to Sections 4(i)  and 309 of the Communications Act of 1934, as amended, 47 U.S.C. § 154(i), 309 that the following co</w:t>
      </w:r>
      <w:r w:rsidR="00C279D5">
        <w:rPr>
          <w:sz w:val="22"/>
          <w:szCs w:val="22"/>
        </w:rPr>
        <w:t>nditions SHALL BE IMPOSED on each</w:t>
      </w:r>
      <w:r>
        <w:rPr>
          <w:sz w:val="22"/>
          <w:szCs w:val="22"/>
        </w:rPr>
        <w:t xml:space="preserve"> </w:t>
      </w:r>
      <w:r w:rsidR="00C279D5">
        <w:rPr>
          <w:sz w:val="22"/>
          <w:szCs w:val="22"/>
        </w:rPr>
        <w:t>authorization</w:t>
      </w:r>
      <w:r>
        <w:rPr>
          <w:sz w:val="22"/>
          <w:szCs w:val="22"/>
        </w:rPr>
        <w:t xml:space="preserve"> issued to </w:t>
      </w:r>
      <w:r w:rsidR="009875EF">
        <w:rPr>
          <w:sz w:val="22"/>
          <w:szCs w:val="22"/>
        </w:rPr>
        <w:t xml:space="preserve">Kings County Superintendent of Schools </w:t>
      </w:r>
      <w:r>
        <w:rPr>
          <w:sz w:val="22"/>
          <w:szCs w:val="22"/>
        </w:rPr>
        <w:t>as a result of the application</w:t>
      </w:r>
      <w:r w:rsidR="009875EF">
        <w:rPr>
          <w:sz w:val="22"/>
          <w:szCs w:val="22"/>
        </w:rPr>
        <w:t>s</w:t>
      </w:r>
      <w:r>
        <w:rPr>
          <w:sz w:val="22"/>
          <w:szCs w:val="22"/>
        </w:rPr>
        <w:t xml:space="preserve"> it has filed:</w:t>
      </w:r>
    </w:p>
    <w:p w:rsidR="00FC1CFD" w:rsidRDefault="00FC1CFD">
      <w:pPr>
        <w:ind w:left="720" w:right="720"/>
        <w:rPr>
          <w:sz w:val="22"/>
          <w:szCs w:val="22"/>
        </w:rPr>
      </w:pPr>
      <w:r>
        <w:rPr>
          <w:sz w:val="22"/>
          <w:szCs w:val="22"/>
        </w:rPr>
        <w:t>The Geographic Service Area of this station shall not include any area within the GSA of any previously licensed co-channel EBS station.</w:t>
      </w:r>
    </w:p>
    <w:p w:rsidR="00EA09F6" w:rsidRDefault="00EA09F6" w:rsidP="00534FFF">
      <w:pPr>
        <w:ind w:right="720"/>
        <w:rPr>
          <w:sz w:val="22"/>
          <w:szCs w:val="22"/>
        </w:rPr>
      </w:pPr>
    </w:p>
    <w:p w:rsidR="00FC1CFD" w:rsidRDefault="00534FFF">
      <w:pPr>
        <w:ind w:left="720" w:right="720"/>
        <w:rPr>
          <w:sz w:val="22"/>
          <w:szCs w:val="22"/>
        </w:rPr>
      </w:pPr>
      <w:r>
        <w:rPr>
          <w:sz w:val="22"/>
          <w:szCs w:val="22"/>
        </w:rPr>
        <w:t>The Kings County Superintendent of Schools</w:t>
      </w:r>
      <w:r w:rsidR="00FC1CFD">
        <w:rPr>
          <w:sz w:val="22"/>
          <w:szCs w:val="22"/>
        </w:rPr>
        <w:t xml:space="preserve"> shall not lease any spectrum associated with this license to another entity. </w:t>
      </w:r>
    </w:p>
    <w:p w:rsidR="00690245" w:rsidRDefault="00690245">
      <w:pPr>
        <w:ind w:left="720" w:right="720"/>
        <w:rPr>
          <w:sz w:val="22"/>
          <w:szCs w:val="22"/>
        </w:rPr>
      </w:pPr>
    </w:p>
    <w:p w:rsidR="00690245" w:rsidRDefault="00690245">
      <w:pPr>
        <w:ind w:left="720" w:right="720"/>
        <w:rPr>
          <w:sz w:val="22"/>
          <w:szCs w:val="22"/>
        </w:rPr>
      </w:pPr>
      <w:r>
        <w:rPr>
          <w:sz w:val="22"/>
          <w:szCs w:val="22"/>
        </w:rPr>
        <w:t xml:space="preserve">The </w:t>
      </w:r>
      <w:r w:rsidR="00534FFF">
        <w:rPr>
          <w:sz w:val="22"/>
          <w:szCs w:val="22"/>
        </w:rPr>
        <w:t xml:space="preserve">Kings County Superintendent of Schools </w:t>
      </w:r>
      <w:r>
        <w:rPr>
          <w:sz w:val="22"/>
          <w:szCs w:val="22"/>
        </w:rPr>
        <w:t xml:space="preserve">shall </w:t>
      </w:r>
      <w:r w:rsidR="002631E0">
        <w:rPr>
          <w:sz w:val="22"/>
          <w:szCs w:val="22"/>
        </w:rPr>
        <w:t xml:space="preserve">demonstrate </w:t>
      </w:r>
      <w:r>
        <w:rPr>
          <w:sz w:val="22"/>
          <w:szCs w:val="22"/>
        </w:rPr>
        <w:t xml:space="preserve">substantial service </w:t>
      </w:r>
      <w:r w:rsidR="002631E0">
        <w:rPr>
          <w:sz w:val="22"/>
          <w:szCs w:val="22"/>
        </w:rPr>
        <w:t>within two years after the grant of their applications.</w:t>
      </w:r>
    </w:p>
    <w:p w:rsidR="00FC1CFD" w:rsidRDefault="00FC1CFD">
      <w:pPr>
        <w:ind w:left="720" w:right="720"/>
        <w:rPr>
          <w:sz w:val="22"/>
          <w:szCs w:val="22"/>
        </w:rPr>
      </w:pPr>
    </w:p>
    <w:p w:rsidR="00FC1CFD" w:rsidRDefault="00FC1CFD">
      <w:pPr>
        <w:numPr>
          <w:ilvl w:val="1"/>
          <w:numId w:val="16"/>
        </w:numPr>
        <w:tabs>
          <w:tab w:val="clear" w:pos="2160"/>
          <w:tab w:val="num" w:pos="1440"/>
        </w:tabs>
        <w:spacing w:after="220"/>
        <w:ind w:left="0"/>
        <w:rPr>
          <w:sz w:val="22"/>
          <w:szCs w:val="22"/>
        </w:rPr>
      </w:pPr>
      <w:r>
        <w:rPr>
          <w:sz w:val="22"/>
          <w:szCs w:val="22"/>
        </w:rPr>
        <w:t>This action is taken under delegated authority pursuant to Sections 0.131 and 0.331 of the Commission’s Rules, 47 C.F.R. §§ 0.131, 0.331.</w:t>
      </w:r>
    </w:p>
    <w:p w:rsidR="00DD01C2" w:rsidRDefault="00DD01C2">
      <w:pPr>
        <w:rPr>
          <w:sz w:val="22"/>
          <w:szCs w:val="22"/>
        </w:rPr>
      </w:pPr>
    </w:p>
    <w:p w:rsidR="00FC1CFD" w:rsidRDefault="00FC1CFD">
      <w:pPr>
        <w:rPr>
          <w:sz w:val="22"/>
          <w:szCs w:val="22"/>
        </w:rPr>
      </w:pPr>
      <w:r>
        <w:rPr>
          <w:sz w:val="22"/>
          <w:szCs w:val="22"/>
        </w:rPr>
        <w:tab/>
      </w:r>
      <w:r>
        <w:rPr>
          <w:sz w:val="22"/>
          <w:szCs w:val="22"/>
        </w:rPr>
        <w:tab/>
      </w:r>
      <w:r>
        <w:rPr>
          <w:sz w:val="22"/>
          <w:szCs w:val="22"/>
        </w:rPr>
        <w:tab/>
      </w:r>
      <w:r>
        <w:rPr>
          <w:sz w:val="22"/>
          <w:szCs w:val="22"/>
        </w:rPr>
        <w:tab/>
      </w:r>
      <w:r>
        <w:rPr>
          <w:sz w:val="22"/>
          <w:szCs w:val="22"/>
        </w:rPr>
        <w:tab/>
        <w:t>FEDERAL COMMUNICATIONS COMMISSION</w:t>
      </w:r>
    </w:p>
    <w:p w:rsidR="00FC1CFD" w:rsidRDefault="00FC1CFD">
      <w:pPr>
        <w:rPr>
          <w:sz w:val="22"/>
          <w:szCs w:val="22"/>
        </w:rPr>
      </w:pPr>
    </w:p>
    <w:p w:rsidR="00C563FA" w:rsidRDefault="00FC1CFD">
      <w:pPr>
        <w:rPr>
          <w:sz w:val="22"/>
          <w:szCs w:val="22"/>
        </w:rPr>
      </w:pPr>
      <w:r>
        <w:rPr>
          <w:sz w:val="22"/>
          <w:szCs w:val="22"/>
        </w:rPr>
        <w:tab/>
      </w:r>
    </w:p>
    <w:p w:rsidR="00C563FA" w:rsidRDefault="00C563FA">
      <w:pPr>
        <w:rPr>
          <w:sz w:val="22"/>
          <w:szCs w:val="22"/>
        </w:rPr>
      </w:pPr>
    </w:p>
    <w:p w:rsidR="00FC1CFD" w:rsidRDefault="00C563FA">
      <w:pPr>
        <w:rPr>
          <w:sz w:val="22"/>
          <w:szCs w:val="22"/>
        </w:rPr>
      </w:pPr>
      <w:r>
        <w:rPr>
          <w:sz w:val="22"/>
          <w:szCs w:val="22"/>
        </w:rPr>
        <w:tab/>
      </w:r>
      <w:r w:rsidR="00FC1CFD">
        <w:rPr>
          <w:sz w:val="22"/>
          <w:szCs w:val="22"/>
        </w:rPr>
        <w:tab/>
      </w:r>
      <w:r w:rsidR="00FC1CFD">
        <w:rPr>
          <w:sz w:val="22"/>
          <w:szCs w:val="22"/>
        </w:rPr>
        <w:tab/>
      </w:r>
      <w:r w:rsidR="00FC1CFD">
        <w:rPr>
          <w:sz w:val="22"/>
          <w:szCs w:val="22"/>
        </w:rPr>
        <w:tab/>
      </w:r>
      <w:r w:rsidR="00C828CF">
        <w:rPr>
          <w:sz w:val="22"/>
          <w:szCs w:val="22"/>
        </w:rPr>
        <w:tab/>
      </w:r>
      <w:r w:rsidR="00A77374">
        <w:rPr>
          <w:sz w:val="22"/>
          <w:szCs w:val="22"/>
        </w:rPr>
        <w:t>Jo</w:t>
      </w:r>
      <w:r w:rsidR="00F12691">
        <w:rPr>
          <w:sz w:val="22"/>
          <w:szCs w:val="22"/>
        </w:rPr>
        <w:t xml:space="preserve">hn </w:t>
      </w:r>
      <w:r w:rsidR="003A4E96">
        <w:rPr>
          <w:sz w:val="22"/>
          <w:szCs w:val="22"/>
        </w:rPr>
        <w:t>J</w:t>
      </w:r>
      <w:r w:rsidR="00F12691">
        <w:rPr>
          <w:sz w:val="22"/>
          <w:szCs w:val="22"/>
        </w:rPr>
        <w:t xml:space="preserve">. </w:t>
      </w:r>
      <w:r w:rsidR="003A4E96">
        <w:rPr>
          <w:sz w:val="22"/>
          <w:szCs w:val="22"/>
        </w:rPr>
        <w:t>Schauble</w:t>
      </w:r>
    </w:p>
    <w:p w:rsidR="003A4E96" w:rsidRDefault="00456F8A">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A77374">
        <w:rPr>
          <w:sz w:val="22"/>
          <w:szCs w:val="22"/>
        </w:rPr>
        <w:t xml:space="preserve">Deputy </w:t>
      </w:r>
      <w:r w:rsidR="00FC1CFD">
        <w:rPr>
          <w:sz w:val="22"/>
          <w:szCs w:val="22"/>
        </w:rPr>
        <w:t xml:space="preserve">Chief, </w:t>
      </w:r>
      <w:r w:rsidR="003A4E96">
        <w:rPr>
          <w:sz w:val="22"/>
          <w:szCs w:val="22"/>
        </w:rPr>
        <w:t>Broadband Division</w:t>
      </w:r>
    </w:p>
    <w:p w:rsidR="00FC1CFD" w:rsidRDefault="00FC1CFD" w:rsidP="003A4E96">
      <w:pPr>
        <w:ind w:left="2880" w:firstLine="720"/>
        <w:rPr>
          <w:sz w:val="22"/>
          <w:szCs w:val="22"/>
        </w:rPr>
      </w:pPr>
      <w:r>
        <w:rPr>
          <w:sz w:val="22"/>
          <w:szCs w:val="22"/>
        </w:rPr>
        <w:t>Wireless Telecommunications Bureau</w:t>
      </w:r>
    </w:p>
    <w:sectPr w:rsidR="00FC1C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A3" w:rsidRDefault="00DF26A3">
      <w:r>
        <w:separator/>
      </w:r>
    </w:p>
  </w:endnote>
  <w:endnote w:type="continuationSeparator" w:id="0">
    <w:p w:rsidR="00DF26A3" w:rsidRDefault="00DF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20" w:rsidRDefault="004950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5020" w:rsidRDefault="00495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20" w:rsidRDefault="00495020">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EF016C">
      <w:rPr>
        <w:rStyle w:val="PageNumber"/>
        <w:noProof/>
        <w:sz w:val="22"/>
        <w:szCs w:val="22"/>
      </w:rPr>
      <w:t>2</w:t>
    </w:r>
    <w:r>
      <w:rPr>
        <w:rStyle w:val="PageNumber"/>
        <w:sz w:val="22"/>
        <w:szCs w:val="22"/>
      </w:rPr>
      <w:fldChar w:fldCharType="end"/>
    </w:r>
  </w:p>
  <w:p w:rsidR="00495020" w:rsidRDefault="00495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93" w:rsidRDefault="00234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A3" w:rsidRDefault="00DF26A3">
      <w:r>
        <w:separator/>
      </w:r>
    </w:p>
  </w:footnote>
  <w:footnote w:type="continuationSeparator" w:id="0">
    <w:p w:rsidR="00DF26A3" w:rsidRDefault="00DF26A3">
      <w:r>
        <w:continuationSeparator/>
      </w:r>
    </w:p>
  </w:footnote>
  <w:footnote w:id="1">
    <w:p w:rsidR="00495020" w:rsidRDefault="00495020" w:rsidP="00BA7CD0">
      <w:pPr>
        <w:pStyle w:val="FootnoteText"/>
        <w:spacing w:after="120"/>
      </w:pPr>
      <w:r>
        <w:rPr>
          <w:rStyle w:val="FootnoteReference"/>
        </w:rPr>
        <w:footnoteRef/>
      </w:r>
      <w:r w:rsidR="00304622">
        <w:t xml:space="preserve">  </w:t>
      </w:r>
      <w:r w:rsidR="00BB0319">
        <w:t xml:space="preserve">Application </w:t>
      </w:r>
      <w:r w:rsidR="007142AB">
        <w:t xml:space="preserve">File Nos. 0007432862 and 0007432863 (2016 Applications); </w:t>
      </w:r>
      <w:r w:rsidR="00175A05">
        <w:t>Request</w:t>
      </w:r>
      <w:r w:rsidR="007142AB">
        <w:t xml:space="preserve"> for Waiver (2016</w:t>
      </w:r>
      <w:r>
        <w:t xml:space="preserve"> </w:t>
      </w:r>
      <w:r w:rsidR="00864DD1">
        <w:t>Waiver</w:t>
      </w:r>
      <w:r w:rsidR="00D91405">
        <w:t xml:space="preserve"> Request</w:t>
      </w:r>
      <w:r>
        <w:t xml:space="preserve">) (filed </w:t>
      </w:r>
      <w:r w:rsidR="007142AB">
        <w:t>August 17, 2016</w:t>
      </w:r>
      <w:r>
        <w:t>).</w:t>
      </w:r>
    </w:p>
  </w:footnote>
  <w:footnote w:id="2">
    <w:p w:rsidR="00495020" w:rsidRDefault="00495020" w:rsidP="00BA7CD0">
      <w:pPr>
        <w:pStyle w:val="FootnoteText"/>
        <w:spacing w:after="120"/>
      </w:pPr>
      <w:r>
        <w:rPr>
          <w:rStyle w:val="FootnoteReference"/>
        </w:rPr>
        <w:footnoteRef/>
      </w:r>
      <w:r w:rsidR="00304622">
        <w:t xml:space="preserve">  </w:t>
      </w:r>
      <w:r>
        <w:t>47 CFR § 1.913(b).</w:t>
      </w:r>
    </w:p>
  </w:footnote>
  <w:footnote w:id="3">
    <w:p w:rsidR="00495020" w:rsidRDefault="00495020" w:rsidP="00BA7CD0">
      <w:pPr>
        <w:pStyle w:val="FootnoteText"/>
        <w:spacing w:after="120"/>
      </w:pPr>
      <w:r>
        <w:rPr>
          <w:rStyle w:val="FootnoteReference"/>
        </w:rPr>
        <w:footnoteRef/>
      </w:r>
      <w:r w:rsidR="00304622">
        <w:t xml:space="preserve">  </w:t>
      </w:r>
      <w:r>
        <w:rPr>
          <w:i/>
        </w:rPr>
        <w:t>See</w:t>
      </w:r>
      <w:r>
        <w:t xml:space="preserve"> Amendment of Parts 2 and 4 of the Commission’s Rules and Regulations to Establish a New Class of Educational Television Service, Docket No. 14744, </w:t>
      </w:r>
      <w:r>
        <w:rPr>
          <w:i/>
        </w:rPr>
        <w:t>Report and Order</w:t>
      </w:r>
      <w:r>
        <w:t xml:space="preserve">, 39 FCC 846 (1963), </w:t>
      </w:r>
      <w:r>
        <w:rPr>
          <w:i/>
        </w:rPr>
        <w:t>recon. denied,</w:t>
      </w:r>
      <w:r>
        <w:t xml:space="preserve"> 39 FCC 873 (1964) (</w:t>
      </w:r>
      <w:r>
        <w:rPr>
          <w:i/>
        </w:rPr>
        <w:t>ETV Decision</w:t>
      </w:r>
      <w:r>
        <w:t>).</w:t>
      </w:r>
    </w:p>
  </w:footnote>
  <w:footnote w:id="4">
    <w:p w:rsidR="00495020" w:rsidRDefault="00495020" w:rsidP="00BA7CD0">
      <w:pPr>
        <w:pStyle w:val="FootnoteText"/>
        <w:spacing w:after="120"/>
      </w:pPr>
      <w:r>
        <w:rPr>
          <w:rStyle w:val="FootnoteReference"/>
        </w:rPr>
        <w:footnoteRef/>
      </w:r>
      <w:r w:rsidR="00304622">
        <w:t xml:space="preserve">  </w:t>
      </w:r>
      <w:r>
        <w:rPr>
          <w:i/>
        </w:rPr>
        <w:t>See</w:t>
      </w:r>
      <w:r>
        <w:t xml:space="preserve"> Amendment of the Commission’s Rules with Regard to the Instructional Television Fixed Service, the Multipoint Distribution Service, and the Private Operational Fixed Microwave Service; and Applications for an Experimental Station and Establishment of Multi-Channel Systems, </w:t>
      </w:r>
      <w:r>
        <w:rPr>
          <w:i/>
        </w:rPr>
        <w:t>Report and Order</w:t>
      </w:r>
      <w:r>
        <w:t xml:space="preserve">, 48 Fed. </w:t>
      </w:r>
      <w:smartTag w:uri="urn:schemas-microsoft-com:office:smarttags" w:element="Street">
        <w:r>
          <w:t>Reg.</w:t>
        </w:r>
      </w:smartTag>
      <w:r>
        <w:t xml:space="preserve"> 33873, 33875 para. 9 (1983) (</w:t>
      </w:r>
      <w:r>
        <w:rPr>
          <w:i/>
        </w:rPr>
        <w:t>1983 R&amp;O</w:t>
      </w:r>
      <w:r>
        <w:t>) (</w:t>
      </w:r>
      <w:r>
        <w:rPr>
          <w:i/>
        </w:rPr>
        <w:t>citing ETV Decision</w:t>
      </w:r>
      <w:r>
        <w:t>, 39 FCC 846, 852-853 para. 25).</w:t>
      </w:r>
    </w:p>
  </w:footnote>
  <w:footnote w:id="5">
    <w:p w:rsidR="00495020" w:rsidRDefault="00495020" w:rsidP="00BA7CD0">
      <w:pPr>
        <w:pStyle w:val="FootnoteText"/>
        <w:spacing w:after="120"/>
      </w:pPr>
      <w:r>
        <w:rPr>
          <w:rStyle w:val="FootnoteReference"/>
        </w:rPr>
        <w:footnoteRef/>
      </w:r>
      <w:r w:rsidR="00304622">
        <w:t xml:space="preserve">  </w:t>
      </w:r>
      <w:r>
        <w:rPr>
          <w:i/>
        </w:rPr>
        <w:t>See</w:t>
      </w:r>
      <w:r>
        <w:t xml:space="preserve"> Amendment of Parts 2, 21,74 and 94 of the Commission’s Rules and Regulations in Regard to Frequency Allocation to the Instructional Television Fixed Service, the Multipoint Distribution Service, and the Private Operational Fixed Microwave Service, Gen Docket No. 80-112 and CC Docket No. 80-116, </w:t>
      </w:r>
      <w:r>
        <w:rPr>
          <w:i/>
        </w:rPr>
        <w:t>Report and Order,</w:t>
      </w:r>
      <w:r>
        <w:t xml:space="preserve"> 94 FCC 2d 1203 (1983) (</w:t>
      </w:r>
      <w:r>
        <w:rPr>
          <w:i/>
        </w:rPr>
        <w:t>First Leasing Decision</w:t>
      </w:r>
      <w:r>
        <w:t xml:space="preserve">). </w:t>
      </w:r>
    </w:p>
  </w:footnote>
  <w:footnote w:id="6">
    <w:p w:rsidR="00495020" w:rsidRDefault="00495020" w:rsidP="00BA7CD0">
      <w:pPr>
        <w:pStyle w:val="FootnoteText"/>
        <w:spacing w:after="120"/>
      </w:pPr>
      <w:r>
        <w:rPr>
          <w:rStyle w:val="FootnoteReference"/>
        </w:rPr>
        <w:footnoteRef/>
      </w:r>
      <w:r w:rsidR="00304622">
        <w:t xml:space="preserve">  </w:t>
      </w:r>
      <w:r w:rsidR="00CE0D87">
        <w:rPr>
          <w:i/>
        </w:rPr>
        <w:t>I</w:t>
      </w:r>
      <w:r>
        <w:rPr>
          <w:i/>
        </w:rPr>
        <w:t>d</w:t>
      </w:r>
      <w:r>
        <w:t>. at 1206-07 para. 4.</w:t>
      </w:r>
    </w:p>
  </w:footnote>
  <w:footnote w:id="7">
    <w:p w:rsidR="00495020" w:rsidRPr="00764A1C" w:rsidRDefault="00495020" w:rsidP="00BA7CD0">
      <w:pPr>
        <w:pStyle w:val="FootnoteText"/>
        <w:spacing w:after="120"/>
        <w:rPr>
          <w:b/>
        </w:rPr>
      </w:pPr>
      <w:r>
        <w:rPr>
          <w:rStyle w:val="FootnoteReference"/>
        </w:rPr>
        <w:footnoteRef/>
      </w:r>
      <w:r w:rsidR="00304622">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Notice of Proposed Rulemaking and Memorandum Opinion and Order</w:t>
      </w:r>
      <w:r>
        <w:t>, WT Docket No. 03-66, 18 FCC Rcd 6722 (2003) (</w:t>
      </w:r>
      <w:r>
        <w:rPr>
          <w:i/>
        </w:rPr>
        <w:t>NPRM and MO&amp;O</w:t>
      </w:r>
      <w:r>
        <w:t>).</w:t>
      </w:r>
    </w:p>
  </w:footnote>
  <w:footnote w:id="8">
    <w:p w:rsidR="00495020" w:rsidRDefault="00495020" w:rsidP="00BA7CD0">
      <w:pPr>
        <w:pStyle w:val="FootnoteText"/>
        <w:spacing w:after="120"/>
      </w:pPr>
      <w:r>
        <w:rPr>
          <w:rStyle w:val="FootnoteReference"/>
        </w:rPr>
        <w:footnoteRef/>
      </w:r>
      <w:r w:rsidR="00304622">
        <w:t xml:space="preserve">  </w:t>
      </w:r>
      <w:r>
        <w:rPr>
          <w:i/>
        </w:rPr>
        <w:t>See NPRM and MO&amp;O</w:t>
      </w:r>
      <w:r>
        <w:t>, 18 FCC Rcd at 6813 para. 226, 6825 para. 260.</w:t>
      </w:r>
    </w:p>
  </w:footnote>
  <w:footnote w:id="9">
    <w:p w:rsidR="00495020" w:rsidRDefault="00495020" w:rsidP="00BA7CD0">
      <w:pPr>
        <w:pStyle w:val="FootnoteText"/>
        <w:spacing w:after="120"/>
      </w:pPr>
      <w:r>
        <w:rPr>
          <w:rStyle w:val="FootnoteReference"/>
        </w:rPr>
        <w:footnoteRef/>
      </w:r>
      <w:r w:rsidR="00304622">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w:t>
      </w:r>
      <w:r>
        <w:rPr>
          <w:i/>
        </w:rPr>
        <w:t>.  Second Memorandum Opinion and Order</w:t>
      </w:r>
      <w:r>
        <w:t>, WT Docket No. 03-66, 18 FCC Rcd 16848 para. 1, 16853 para. 13 (2003) (</w:t>
      </w:r>
      <w:r>
        <w:rPr>
          <w:i/>
        </w:rPr>
        <w:t>Second MO&amp;O</w:t>
      </w:r>
      <w:r>
        <w:t>).</w:t>
      </w:r>
    </w:p>
  </w:footnote>
  <w:footnote w:id="10">
    <w:p w:rsidR="00495020" w:rsidRDefault="00495020" w:rsidP="00BA7CD0">
      <w:pPr>
        <w:pStyle w:val="FootnoteText"/>
        <w:spacing w:after="120"/>
      </w:pPr>
      <w:r>
        <w:rPr>
          <w:rStyle w:val="FootnoteReference"/>
        </w:rPr>
        <w:footnoteRef/>
      </w:r>
      <w:r w:rsidR="00304622">
        <w:t xml:space="preserve">  </w:t>
      </w:r>
      <w:r>
        <w:rPr>
          <w:i/>
        </w:rPr>
        <w:t>Id</w:t>
      </w:r>
      <w:r>
        <w:t>.</w:t>
      </w:r>
    </w:p>
  </w:footnote>
  <w:footnote w:id="11">
    <w:p w:rsidR="00495020" w:rsidRDefault="00495020" w:rsidP="00BA7CD0">
      <w:pPr>
        <w:pStyle w:val="FootnoteText"/>
        <w:spacing w:after="120"/>
      </w:pPr>
      <w:r>
        <w:rPr>
          <w:rStyle w:val="FootnoteReference"/>
        </w:rPr>
        <w:footnoteRef/>
      </w:r>
      <w:r w:rsidR="00304622">
        <w:t xml:space="preserve">  </w:t>
      </w:r>
      <w:r>
        <w:t xml:space="preserve">Amendment of Parts 1, 21, 73, 74 and 101 of the Commission’s Rules to Facilitate the Provision of fixed and Mobile Broadband Access, Educational and Other Advanced Services in the 2150-2162 and 2500-2690 MHz Bands.  </w:t>
      </w:r>
      <w:r>
        <w:rPr>
          <w:i/>
        </w:rPr>
        <w:t>Report and Order and Further Notice of Proposed Rulemaking</w:t>
      </w:r>
      <w:r>
        <w:t>, WT Docket No. 03-66, 19 FCC Rcd 14165 (2004) (</w:t>
      </w:r>
      <w:r>
        <w:rPr>
          <w:i/>
        </w:rPr>
        <w:t>BRS/EBS R&amp;O and FNPRM</w:t>
      </w:r>
      <w:r>
        <w:t>).</w:t>
      </w:r>
    </w:p>
  </w:footnote>
  <w:footnote w:id="12">
    <w:p w:rsidR="00495020" w:rsidRDefault="00495020" w:rsidP="00BA7CD0">
      <w:pPr>
        <w:pStyle w:val="FootnoteText"/>
        <w:spacing w:after="120"/>
      </w:pPr>
      <w:r>
        <w:rPr>
          <w:rStyle w:val="FootnoteReference"/>
        </w:rPr>
        <w:footnoteRef/>
      </w:r>
      <w:r w:rsidR="00304622">
        <w:t xml:space="preserve">  </w:t>
      </w:r>
      <w:r>
        <w:t xml:space="preserve">Amendment of Parts 1, 21, 73, 74 and 101 of the Commission’s Rules to Facilitate the Provision of Fixed and Mobile Broadband Access, Educational and Other Advanced Services in the 2150-2162 and 2500-2690 MHz Bands, </w:t>
      </w:r>
      <w:r>
        <w:rPr>
          <w:i/>
        </w:rPr>
        <w:t>Third Order on Reconsideration and Sixth Memorandum Opinion and Order and Fourth Memorandum Opinion and Order and Second Further Notice of Proposed Rulemaking and Declaratory Ruling,</w:t>
      </w:r>
      <w:r>
        <w:t xml:space="preserve"> WT Docket No. 03-66, 23 FCC Rcd 5992, 6060-6068 paras. 180-204 (2008) (</w:t>
      </w:r>
      <w:r>
        <w:rPr>
          <w:i/>
        </w:rPr>
        <w:t>Second FNPRM</w:t>
      </w:r>
      <w:r>
        <w:t>).</w:t>
      </w:r>
    </w:p>
  </w:footnote>
  <w:footnote w:id="13">
    <w:p w:rsidR="00E9412C" w:rsidRDefault="00E9412C" w:rsidP="00BA7CD0">
      <w:pPr>
        <w:pStyle w:val="FootnoteText"/>
        <w:spacing w:after="120"/>
      </w:pPr>
      <w:r>
        <w:rPr>
          <w:rStyle w:val="FootnoteReference"/>
        </w:rPr>
        <w:footnoteRef/>
      </w:r>
      <w:r w:rsidR="00304622">
        <w:t xml:space="preserve">  </w:t>
      </w:r>
      <w:r w:rsidR="00D91405">
        <w:t xml:space="preserve">2016 </w:t>
      </w:r>
      <w:r>
        <w:t xml:space="preserve">Waiver </w:t>
      </w:r>
      <w:r w:rsidR="00D91405">
        <w:t xml:space="preserve">Request </w:t>
      </w:r>
      <w:r>
        <w:t>at 1.</w:t>
      </w:r>
    </w:p>
  </w:footnote>
  <w:footnote w:id="14">
    <w:p w:rsidR="00E9412C" w:rsidRDefault="00E9412C" w:rsidP="00BA7CD0">
      <w:pPr>
        <w:pStyle w:val="FootnoteText"/>
        <w:spacing w:after="120"/>
      </w:pPr>
      <w:r>
        <w:rPr>
          <w:rStyle w:val="FootnoteReference"/>
        </w:rPr>
        <w:footnoteRef/>
      </w:r>
      <w:r w:rsidR="00304622">
        <w:t xml:space="preserve">  </w:t>
      </w:r>
      <w:r>
        <w:rPr>
          <w:i/>
        </w:rPr>
        <w:t>Id</w:t>
      </w:r>
      <w:r>
        <w:t>.</w:t>
      </w:r>
    </w:p>
  </w:footnote>
  <w:footnote w:id="15">
    <w:p w:rsidR="00E9412C" w:rsidRPr="00E9412C" w:rsidRDefault="00E9412C" w:rsidP="00BA7CD0">
      <w:pPr>
        <w:pStyle w:val="FootnoteText"/>
        <w:spacing w:after="120"/>
      </w:pPr>
      <w:r>
        <w:rPr>
          <w:rStyle w:val="FootnoteReference"/>
        </w:rPr>
        <w:footnoteRef/>
      </w:r>
      <w:r w:rsidR="00304622">
        <w:t xml:space="preserve">  </w:t>
      </w:r>
      <w:r>
        <w:rPr>
          <w:i/>
        </w:rPr>
        <w:t>Id.</w:t>
      </w:r>
      <w:r>
        <w:t xml:space="preserve"> at 1-2.</w:t>
      </w:r>
    </w:p>
  </w:footnote>
  <w:footnote w:id="16">
    <w:p w:rsidR="00001B6D" w:rsidRDefault="00001B6D" w:rsidP="00BA7CD0">
      <w:pPr>
        <w:pStyle w:val="FootnoteText"/>
        <w:spacing w:after="120"/>
      </w:pPr>
      <w:r>
        <w:rPr>
          <w:rStyle w:val="FootnoteReference"/>
        </w:rPr>
        <w:footnoteRef/>
      </w:r>
      <w:r w:rsidR="00304622">
        <w:t xml:space="preserve">  </w:t>
      </w:r>
      <w:r>
        <w:t>2016 Waiver Request at 1-2.</w:t>
      </w:r>
    </w:p>
  </w:footnote>
  <w:footnote w:id="17">
    <w:p w:rsidR="006E70B4" w:rsidRDefault="006E70B4" w:rsidP="00BA7CD0">
      <w:pPr>
        <w:pStyle w:val="FootnoteText"/>
        <w:spacing w:after="120"/>
      </w:pPr>
      <w:r>
        <w:rPr>
          <w:rStyle w:val="FootnoteReference"/>
        </w:rPr>
        <w:footnoteRef/>
      </w:r>
      <w:r w:rsidR="00304622">
        <w:t xml:space="preserve">  </w:t>
      </w:r>
      <w:r w:rsidR="00510625">
        <w:rPr>
          <w:i/>
        </w:rPr>
        <w:t xml:space="preserve">Id. </w:t>
      </w:r>
      <w:r w:rsidR="00E9412C">
        <w:t>at 2.</w:t>
      </w:r>
    </w:p>
  </w:footnote>
  <w:footnote w:id="18">
    <w:p w:rsidR="00EC436B" w:rsidRDefault="00EC436B" w:rsidP="00BA7CD0">
      <w:pPr>
        <w:pStyle w:val="FootnoteText"/>
        <w:spacing w:after="120"/>
      </w:pPr>
      <w:r>
        <w:rPr>
          <w:rStyle w:val="FootnoteReference"/>
        </w:rPr>
        <w:footnoteRef/>
      </w:r>
      <w:r w:rsidR="00304622">
        <w:t xml:space="preserve">  </w:t>
      </w:r>
      <w:r w:rsidR="00510625">
        <w:rPr>
          <w:i/>
        </w:rPr>
        <w:t xml:space="preserve">Id. </w:t>
      </w:r>
      <w:r w:rsidR="00510625">
        <w:t xml:space="preserve">at 2.  </w:t>
      </w:r>
      <w:r w:rsidR="00510625">
        <w:rPr>
          <w:i/>
        </w:rPr>
        <w:t xml:space="preserve">See </w:t>
      </w:r>
      <w:r w:rsidR="00320C16">
        <w:t>Substantial Service S</w:t>
      </w:r>
      <w:r>
        <w:t>howing of WNC790 (File Number 0004617308, granted April 29, 2011)</w:t>
      </w:r>
      <w:r w:rsidR="006E70B4">
        <w:t>.</w:t>
      </w:r>
    </w:p>
  </w:footnote>
  <w:footnote w:id="19">
    <w:p w:rsidR="006E70B4" w:rsidRDefault="006E70B4" w:rsidP="00BA7CD0">
      <w:pPr>
        <w:pStyle w:val="FootnoteText"/>
        <w:spacing w:after="120"/>
      </w:pPr>
      <w:r>
        <w:rPr>
          <w:rStyle w:val="FootnoteReference"/>
        </w:rPr>
        <w:footnoteRef/>
      </w:r>
      <w:r w:rsidR="00304622">
        <w:t xml:space="preserve">  </w:t>
      </w:r>
      <w:r w:rsidR="00BB0319">
        <w:t>File Nos.</w:t>
      </w:r>
      <w:r w:rsidR="00510625">
        <w:t xml:space="preserve"> 0004787800 </w:t>
      </w:r>
      <w:r w:rsidR="00BB0319">
        <w:t xml:space="preserve">and </w:t>
      </w:r>
      <w:r w:rsidR="00510625">
        <w:t>0004787793</w:t>
      </w:r>
      <w:r w:rsidR="00001B6D">
        <w:t xml:space="preserve"> </w:t>
      </w:r>
      <w:r w:rsidR="007A7631">
        <w:t xml:space="preserve">(filed June 27, 2011) </w:t>
      </w:r>
      <w:r w:rsidR="00001B6D">
        <w:t>(2011 STA Applications).</w:t>
      </w:r>
    </w:p>
  </w:footnote>
  <w:footnote w:id="20">
    <w:p w:rsidR="006E70B4" w:rsidRPr="00001B6D" w:rsidRDefault="006E70B4" w:rsidP="00BA7CD0">
      <w:pPr>
        <w:pStyle w:val="FootnoteText"/>
        <w:spacing w:after="120"/>
      </w:pPr>
      <w:r>
        <w:rPr>
          <w:rStyle w:val="FootnoteReference"/>
        </w:rPr>
        <w:footnoteRef/>
      </w:r>
      <w:r w:rsidR="00001B6D">
        <w:t xml:space="preserve">  Wireless Telecommunications Bureau Market Based Applications Action, Report No. 7175, </w:t>
      </w:r>
      <w:r w:rsidR="00001B6D">
        <w:rPr>
          <w:i/>
        </w:rPr>
        <w:t>Public Notice</w:t>
      </w:r>
      <w:r w:rsidR="00001B6D">
        <w:t xml:space="preserve"> (rel. Sep. 21, 2011) at 4.</w:t>
      </w:r>
    </w:p>
  </w:footnote>
  <w:footnote w:id="21">
    <w:p w:rsidR="00CC2575" w:rsidRDefault="00CC2575" w:rsidP="00BA7CD0">
      <w:pPr>
        <w:pStyle w:val="FootnoteText"/>
        <w:spacing w:after="120"/>
      </w:pPr>
      <w:r>
        <w:rPr>
          <w:rStyle w:val="FootnoteReference"/>
        </w:rPr>
        <w:footnoteRef/>
      </w:r>
      <w:r w:rsidR="00BB0319">
        <w:t xml:space="preserve">  </w:t>
      </w:r>
      <w:r w:rsidR="00BB0319">
        <w:rPr>
          <w:i/>
        </w:rPr>
        <w:t xml:space="preserve">See </w:t>
      </w:r>
      <w:r w:rsidR="00BB0319">
        <w:t xml:space="preserve">Licenses for WQOE778 and WQOE779.  </w:t>
      </w:r>
      <w:r w:rsidR="00BB0319">
        <w:rPr>
          <w:i/>
        </w:rPr>
        <w:t xml:space="preserve">See also </w:t>
      </w:r>
      <w:r w:rsidR="00BB0319">
        <w:t xml:space="preserve">2011 STA Applications at 3. </w:t>
      </w:r>
    </w:p>
  </w:footnote>
  <w:footnote w:id="22">
    <w:p w:rsidR="00CC2575" w:rsidRDefault="00CC2575" w:rsidP="00BA7CD0">
      <w:pPr>
        <w:pStyle w:val="FootnoteText"/>
        <w:spacing w:after="120"/>
      </w:pPr>
      <w:r>
        <w:rPr>
          <w:rStyle w:val="FootnoteReference"/>
        </w:rPr>
        <w:footnoteRef/>
      </w:r>
      <w:r w:rsidR="00304622">
        <w:t xml:space="preserve">  </w:t>
      </w:r>
      <w:r w:rsidR="00BB0319">
        <w:rPr>
          <w:i/>
        </w:rPr>
        <w:t>Id.</w:t>
      </w:r>
    </w:p>
  </w:footnote>
  <w:footnote w:id="23">
    <w:p w:rsidR="006E70B4" w:rsidRDefault="006E70B4" w:rsidP="00BA7CD0">
      <w:pPr>
        <w:pStyle w:val="FootnoteText"/>
        <w:spacing w:after="120"/>
      </w:pPr>
      <w:r>
        <w:rPr>
          <w:rStyle w:val="FootnoteReference"/>
        </w:rPr>
        <w:footnoteRef/>
      </w:r>
      <w:r w:rsidR="00304622">
        <w:t xml:space="preserve">  </w:t>
      </w:r>
      <w:r w:rsidR="00510625">
        <w:t>2016 Waiver Request at 2.</w:t>
      </w:r>
    </w:p>
  </w:footnote>
  <w:footnote w:id="24">
    <w:p w:rsidR="006E70B4" w:rsidRPr="00510625" w:rsidRDefault="006E70B4" w:rsidP="00BA7CD0">
      <w:pPr>
        <w:pStyle w:val="FootnoteText"/>
        <w:spacing w:after="120"/>
      </w:pPr>
      <w:r>
        <w:rPr>
          <w:rStyle w:val="FootnoteReference"/>
        </w:rPr>
        <w:footnoteRef/>
      </w:r>
      <w:r w:rsidR="00304622">
        <w:t xml:space="preserve">  </w:t>
      </w:r>
      <w:r w:rsidR="00510625">
        <w:rPr>
          <w:i/>
        </w:rPr>
        <w:t xml:space="preserve">See, e.g., </w:t>
      </w:r>
      <w:r w:rsidR="00BB0319">
        <w:t>File Nos.</w:t>
      </w:r>
      <w:r w:rsidR="00510625">
        <w:t xml:space="preserve"> 0005057970, 0005368741, 0005673210, 0005955307, 0006281626</w:t>
      </w:r>
      <w:r w:rsidR="00BB0319">
        <w:t>,</w:t>
      </w:r>
      <w:r w:rsidR="00510625">
        <w:t xml:space="preserve"> 0006569394, </w:t>
      </w:r>
      <w:r w:rsidR="00BB0319">
        <w:t>0006887790 and</w:t>
      </w:r>
      <w:r w:rsidR="008C5DEF">
        <w:t xml:space="preserve"> </w:t>
      </w:r>
      <w:r w:rsidR="00510625">
        <w:t>0007120666 (Applications for renewal of EBS STA WQOE779)</w:t>
      </w:r>
      <w:r w:rsidR="008C5DEF">
        <w:t xml:space="preserve">; </w:t>
      </w:r>
      <w:r w:rsidR="008C5DEF" w:rsidRPr="008C5DEF">
        <w:t>File Nos. 00050579</w:t>
      </w:r>
      <w:r w:rsidR="008C5DEF">
        <w:t>95</w:t>
      </w:r>
      <w:r w:rsidR="008C5DEF" w:rsidRPr="008C5DEF">
        <w:t>, 00053687</w:t>
      </w:r>
      <w:r w:rsidR="007A7631">
        <w:t>30</w:t>
      </w:r>
      <w:r w:rsidR="008C5DEF" w:rsidRPr="008C5DEF">
        <w:t>, 000567321</w:t>
      </w:r>
      <w:r w:rsidR="007A7631">
        <w:t>4</w:t>
      </w:r>
      <w:r w:rsidR="008C5DEF" w:rsidRPr="008C5DEF">
        <w:t>, 00059553</w:t>
      </w:r>
      <w:r w:rsidR="007A7631">
        <w:t>2</w:t>
      </w:r>
      <w:r w:rsidR="008C5DEF" w:rsidRPr="008C5DEF">
        <w:t>7, 00062816</w:t>
      </w:r>
      <w:r w:rsidR="007A7631">
        <w:t>82</w:t>
      </w:r>
      <w:r w:rsidR="008C5DEF" w:rsidRPr="008C5DEF">
        <w:t>, 0006569</w:t>
      </w:r>
      <w:r w:rsidR="007A7631">
        <w:t>44</w:t>
      </w:r>
      <w:r w:rsidR="008C5DEF" w:rsidRPr="008C5DEF">
        <w:t>4, 0006887</w:t>
      </w:r>
      <w:r w:rsidR="007A7631">
        <w:t>878</w:t>
      </w:r>
      <w:r w:rsidR="008C5DEF" w:rsidRPr="008C5DEF">
        <w:t xml:space="preserve"> and 0007120</w:t>
      </w:r>
      <w:r w:rsidR="007A7631">
        <w:t>723</w:t>
      </w:r>
      <w:r w:rsidR="008C5DEF" w:rsidRPr="008C5DEF">
        <w:t xml:space="preserve"> (Applications for renewal of EBS STA WQOE77</w:t>
      </w:r>
      <w:r w:rsidR="005256E4">
        <w:t>8</w:t>
      </w:r>
      <w:r w:rsidR="008C5DEF" w:rsidRPr="008C5DEF">
        <w:t>)</w:t>
      </w:r>
      <w:r w:rsidR="00510625">
        <w:t>.</w:t>
      </w:r>
    </w:p>
  </w:footnote>
  <w:footnote w:id="25">
    <w:p w:rsidR="006E70B4" w:rsidRDefault="006E70B4" w:rsidP="00BA7CD0">
      <w:pPr>
        <w:pStyle w:val="FootnoteText"/>
        <w:spacing w:after="120"/>
      </w:pPr>
      <w:r>
        <w:rPr>
          <w:rStyle w:val="FootnoteReference"/>
        </w:rPr>
        <w:footnoteRef/>
      </w:r>
      <w:r w:rsidR="00304622">
        <w:t xml:space="preserve">  </w:t>
      </w:r>
      <w:r w:rsidR="00E242E0">
        <w:t xml:space="preserve">Application for </w:t>
      </w:r>
      <w:r w:rsidR="007A7631">
        <w:t xml:space="preserve">Renewal of License for Station </w:t>
      </w:r>
      <w:r w:rsidR="00E242E0">
        <w:t>WQOE7</w:t>
      </w:r>
      <w:r w:rsidR="00BB0319">
        <w:t>79</w:t>
      </w:r>
      <w:r w:rsidR="000D2430">
        <w:t>,</w:t>
      </w:r>
      <w:r w:rsidR="00BB0319">
        <w:t xml:space="preserve"> File No. 0007406368 (</w:t>
      </w:r>
      <w:r w:rsidR="007A7631">
        <w:t>f</w:t>
      </w:r>
      <w:r w:rsidR="00BB0319">
        <w:t>iled Aug.</w:t>
      </w:r>
      <w:r w:rsidR="00E242E0">
        <w:t xml:space="preserve"> 22, 2016) and App</w:t>
      </w:r>
      <w:r w:rsidR="00BB0319">
        <w:t xml:space="preserve">lication for </w:t>
      </w:r>
      <w:r w:rsidR="007A7631">
        <w:t xml:space="preserve">Renewal of License for </w:t>
      </w:r>
      <w:r w:rsidR="000D2430">
        <w:t xml:space="preserve">Station </w:t>
      </w:r>
      <w:r w:rsidR="00BB0319">
        <w:t>WQOE778</w:t>
      </w:r>
      <w:r w:rsidR="000D2430">
        <w:t>,</w:t>
      </w:r>
      <w:r w:rsidR="00BB0319">
        <w:t xml:space="preserve"> File No. 0007406331 (</w:t>
      </w:r>
      <w:r w:rsidR="007A7631">
        <w:t>f</w:t>
      </w:r>
      <w:r w:rsidR="00BB0319">
        <w:t>iled Aug.</w:t>
      </w:r>
      <w:r w:rsidR="00E242E0">
        <w:t xml:space="preserve"> 22, 2016).</w:t>
      </w:r>
    </w:p>
  </w:footnote>
  <w:footnote w:id="26">
    <w:p w:rsidR="00636E87" w:rsidRPr="00E9412C" w:rsidRDefault="00636E87" w:rsidP="00BA7CD0">
      <w:pPr>
        <w:pStyle w:val="FootnoteText"/>
        <w:spacing w:after="120"/>
        <w:rPr>
          <w:i/>
        </w:rPr>
      </w:pPr>
      <w:r>
        <w:rPr>
          <w:rStyle w:val="FootnoteReference"/>
        </w:rPr>
        <w:footnoteRef/>
      </w:r>
      <w:r w:rsidR="00304622">
        <w:t xml:space="preserve">  </w:t>
      </w:r>
      <w:r>
        <w:t>2016 Waiver Request at 1-2.</w:t>
      </w:r>
    </w:p>
  </w:footnote>
  <w:footnote w:id="27">
    <w:p w:rsidR="00636E87" w:rsidRPr="00E9412C" w:rsidRDefault="00636E87" w:rsidP="00BA7CD0">
      <w:pPr>
        <w:pStyle w:val="FootnoteText"/>
        <w:spacing w:after="120"/>
      </w:pPr>
      <w:r>
        <w:rPr>
          <w:rStyle w:val="FootnoteReference"/>
        </w:rPr>
        <w:footnoteRef/>
      </w:r>
      <w:r>
        <w:t xml:space="preserve"> </w:t>
      </w:r>
      <w:r w:rsidR="00304622">
        <w:t xml:space="preserve"> </w:t>
      </w:r>
      <w:r>
        <w:rPr>
          <w:i/>
        </w:rPr>
        <w:t xml:space="preserve">Id. </w:t>
      </w:r>
      <w:r>
        <w:t>at 2 and Exhibit A.</w:t>
      </w:r>
    </w:p>
  </w:footnote>
  <w:footnote w:id="28">
    <w:p w:rsidR="00636E87" w:rsidRDefault="00636E87" w:rsidP="00BA7CD0">
      <w:pPr>
        <w:pStyle w:val="FootnoteText"/>
        <w:spacing w:after="120"/>
      </w:pPr>
      <w:r>
        <w:rPr>
          <w:rStyle w:val="FootnoteReference"/>
        </w:rPr>
        <w:footnoteRef/>
      </w:r>
      <w:r>
        <w:t xml:space="preserve"> </w:t>
      </w:r>
      <w:r w:rsidR="00304622">
        <w:t xml:space="preserve"> </w:t>
      </w:r>
      <w:r>
        <w:t>2016 Waiver Request at 2-3.</w:t>
      </w:r>
    </w:p>
  </w:footnote>
  <w:footnote w:id="29">
    <w:p w:rsidR="00636E87" w:rsidRPr="00DA35C7" w:rsidRDefault="00636E87" w:rsidP="00BA7CD0">
      <w:pPr>
        <w:pStyle w:val="FootnoteText"/>
        <w:spacing w:after="120"/>
      </w:pPr>
      <w:r>
        <w:rPr>
          <w:rStyle w:val="FootnoteReference"/>
        </w:rPr>
        <w:footnoteRef/>
      </w:r>
      <w:r>
        <w:t xml:space="preserve"> </w:t>
      </w:r>
      <w:r w:rsidR="00304622">
        <w:t xml:space="preserve"> </w:t>
      </w:r>
      <w:r>
        <w:rPr>
          <w:i/>
        </w:rPr>
        <w:t>Id.</w:t>
      </w:r>
      <w:r w:rsidR="00DA35C7">
        <w:t xml:space="preserve"> at 3.</w:t>
      </w:r>
    </w:p>
  </w:footnote>
  <w:footnote w:id="30">
    <w:p w:rsidR="00636E87" w:rsidRPr="00E9412C" w:rsidRDefault="00636E87" w:rsidP="00BA7CD0">
      <w:pPr>
        <w:pStyle w:val="FootnoteText"/>
        <w:spacing w:after="120"/>
        <w:rPr>
          <w:i/>
        </w:rPr>
      </w:pPr>
      <w:r>
        <w:rPr>
          <w:rStyle w:val="FootnoteReference"/>
        </w:rPr>
        <w:footnoteRef/>
      </w:r>
      <w:r>
        <w:t xml:space="preserve"> </w:t>
      </w:r>
      <w:r w:rsidR="00304622">
        <w:t xml:space="preserve"> </w:t>
      </w:r>
      <w:r>
        <w:rPr>
          <w:i/>
        </w:rPr>
        <w:t>Id.</w:t>
      </w:r>
    </w:p>
  </w:footnote>
  <w:footnote w:id="31">
    <w:p w:rsidR="00636E87" w:rsidRPr="00DA35C7" w:rsidRDefault="00636E87" w:rsidP="00BA7CD0">
      <w:pPr>
        <w:pStyle w:val="FootnoteText"/>
        <w:spacing w:after="120"/>
      </w:pPr>
      <w:r>
        <w:rPr>
          <w:rStyle w:val="FootnoteReference"/>
        </w:rPr>
        <w:footnoteRef/>
      </w:r>
      <w:r>
        <w:t xml:space="preserve"> </w:t>
      </w:r>
      <w:r w:rsidR="00304622">
        <w:t xml:space="preserve"> </w:t>
      </w:r>
      <w:r>
        <w:rPr>
          <w:i/>
        </w:rPr>
        <w:t>Id.</w:t>
      </w:r>
    </w:p>
  </w:footnote>
  <w:footnote w:id="32">
    <w:p w:rsidR="00636E87" w:rsidRPr="00510625" w:rsidRDefault="00636E87" w:rsidP="00BA7CD0">
      <w:pPr>
        <w:pStyle w:val="FootnoteText"/>
        <w:spacing w:after="120"/>
      </w:pPr>
      <w:r>
        <w:rPr>
          <w:rStyle w:val="FootnoteReference"/>
        </w:rPr>
        <w:footnoteRef/>
      </w:r>
      <w:r>
        <w:t xml:space="preserve"> </w:t>
      </w:r>
      <w:r w:rsidR="00304622">
        <w:t xml:space="preserve"> </w:t>
      </w:r>
      <w:r>
        <w:rPr>
          <w:i/>
        </w:rPr>
        <w:t xml:space="preserve">Id. </w:t>
      </w:r>
      <w:r>
        <w:t>at 4.</w:t>
      </w:r>
    </w:p>
  </w:footnote>
  <w:footnote w:id="33">
    <w:p w:rsidR="00636E87" w:rsidRPr="00510625" w:rsidRDefault="00636E87" w:rsidP="00BA7CD0">
      <w:pPr>
        <w:pStyle w:val="FootnoteText"/>
        <w:spacing w:after="120"/>
      </w:pPr>
      <w:r>
        <w:rPr>
          <w:rStyle w:val="FootnoteReference"/>
        </w:rPr>
        <w:footnoteRef/>
      </w:r>
      <w:r>
        <w:t xml:space="preserve"> </w:t>
      </w:r>
      <w:r w:rsidR="00304622">
        <w:t xml:space="preserve"> </w:t>
      </w:r>
      <w:r>
        <w:rPr>
          <w:i/>
        </w:rPr>
        <w:t xml:space="preserve">Id. </w:t>
      </w:r>
      <w:r>
        <w:t>at 3.</w:t>
      </w:r>
    </w:p>
  </w:footnote>
  <w:footnote w:id="34">
    <w:p w:rsidR="00E242E0" w:rsidRDefault="00E242E0" w:rsidP="00BA7CD0">
      <w:pPr>
        <w:pStyle w:val="FootnoteText"/>
        <w:spacing w:after="120"/>
      </w:pPr>
      <w:r>
        <w:rPr>
          <w:rStyle w:val="FootnoteReference"/>
        </w:rPr>
        <w:footnoteRef/>
      </w:r>
      <w:r w:rsidR="00304622">
        <w:t xml:space="preserve">  </w:t>
      </w:r>
      <w:r>
        <w:t>2016 Waiver Request at 3.</w:t>
      </w:r>
    </w:p>
  </w:footnote>
  <w:footnote w:id="35">
    <w:p w:rsidR="00E242E0" w:rsidRPr="00E242E0" w:rsidRDefault="00E242E0" w:rsidP="00BA7CD0">
      <w:pPr>
        <w:pStyle w:val="FootnoteText"/>
        <w:spacing w:after="120"/>
      </w:pPr>
      <w:r>
        <w:rPr>
          <w:rStyle w:val="FootnoteReference"/>
        </w:rPr>
        <w:footnoteRef/>
      </w:r>
      <w:r>
        <w:t xml:space="preserve">  </w:t>
      </w:r>
      <w:r>
        <w:rPr>
          <w:i/>
        </w:rPr>
        <w:t>Id.</w:t>
      </w:r>
      <w:r>
        <w:t xml:space="preserve"> at 3.</w:t>
      </w:r>
    </w:p>
  </w:footnote>
  <w:footnote w:id="36">
    <w:p w:rsidR="00E242E0" w:rsidRPr="00E242E0" w:rsidRDefault="00E242E0" w:rsidP="00BA7CD0">
      <w:pPr>
        <w:pStyle w:val="FootnoteText"/>
        <w:spacing w:after="120"/>
      </w:pPr>
      <w:r>
        <w:rPr>
          <w:rStyle w:val="FootnoteReference"/>
        </w:rPr>
        <w:footnoteRef/>
      </w:r>
      <w:r>
        <w:t xml:space="preserve"> </w:t>
      </w:r>
      <w:r>
        <w:rPr>
          <w:i/>
        </w:rPr>
        <w:t xml:space="preserve"> Id.</w:t>
      </w:r>
      <w:r>
        <w:t xml:space="preserve"> at 4.</w:t>
      </w:r>
    </w:p>
  </w:footnote>
  <w:footnote w:id="37">
    <w:p w:rsidR="00E242E0" w:rsidRPr="00A01759" w:rsidRDefault="00E242E0" w:rsidP="00BA7CD0">
      <w:pPr>
        <w:pStyle w:val="FootnoteText"/>
        <w:spacing w:after="120"/>
      </w:pPr>
      <w:r>
        <w:rPr>
          <w:rStyle w:val="FootnoteReference"/>
        </w:rPr>
        <w:footnoteRef/>
      </w:r>
      <w:r w:rsidR="00304622">
        <w:t xml:space="preserve">  </w:t>
      </w:r>
      <w:r w:rsidR="00A01759">
        <w:rPr>
          <w:i/>
        </w:rPr>
        <w:t>Id.</w:t>
      </w:r>
      <w:r w:rsidR="00A01759">
        <w:t xml:space="preserve"> at 4</w:t>
      </w:r>
      <w:r w:rsidR="00001B6D">
        <w:t>-5</w:t>
      </w:r>
      <w:r w:rsidR="00BB0319">
        <w:t xml:space="preserve"> and </w:t>
      </w:r>
      <w:r w:rsidR="00A01759">
        <w:t>Exhibit D.</w:t>
      </w:r>
    </w:p>
  </w:footnote>
  <w:footnote w:id="38">
    <w:p w:rsidR="00A01759" w:rsidRPr="00A01759" w:rsidRDefault="00A01759" w:rsidP="00BA7CD0">
      <w:pPr>
        <w:pStyle w:val="FootnoteText"/>
        <w:spacing w:after="120"/>
      </w:pPr>
      <w:r>
        <w:rPr>
          <w:rStyle w:val="FootnoteReference"/>
        </w:rPr>
        <w:footnoteRef/>
      </w:r>
      <w:r w:rsidR="00304622">
        <w:t xml:space="preserve">  </w:t>
      </w:r>
      <w:r>
        <w:rPr>
          <w:i/>
        </w:rPr>
        <w:t xml:space="preserve">Id. </w:t>
      </w:r>
      <w:r>
        <w:t>at 4-5.</w:t>
      </w:r>
    </w:p>
  </w:footnote>
  <w:footnote w:id="39">
    <w:p w:rsidR="00001B6D" w:rsidRPr="00001B6D" w:rsidRDefault="00001B6D" w:rsidP="00BA7CD0">
      <w:pPr>
        <w:pStyle w:val="FootnoteText"/>
        <w:spacing w:after="120"/>
      </w:pPr>
      <w:r>
        <w:rPr>
          <w:rStyle w:val="FootnoteReference"/>
        </w:rPr>
        <w:footnoteRef/>
      </w:r>
      <w:r w:rsidR="00304622">
        <w:t xml:space="preserve">  </w:t>
      </w:r>
      <w:r>
        <w:rPr>
          <w:i/>
        </w:rPr>
        <w:t>Id.</w:t>
      </w:r>
      <w:r>
        <w:t xml:space="preserve"> at 5.</w:t>
      </w:r>
    </w:p>
  </w:footnote>
  <w:footnote w:id="40">
    <w:p w:rsidR="00001B6D" w:rsidRDefault="00001B6D" w:rsidP="00BA7CD0">
      <w:pPr>
        <w:pStyle w:val="FootnoteText"/>
        <w:spacing w:after="120"/>
      </w:pPr>
      <w:r>
        <w:rPr>
          <w:rStyle w:val="FootnoteReference"/>
        </w:rPr>
        <w:footnoteRef/>
      </w:r>
      <w:r w:rsidR="00304622">
        <w:t xml:space="preserve">  </w:t>
      </w:r>
      <w:r w:rsidRPr="00001B6D">
        <w:rPr>
          <w:i/>
        </w:rPr>
        <w:t>Id.</w:t>
      </w:r>
    </w:p>
  </w:footnote>
  <w:footnote w:id="41">
    <w:p w:rsidR="00001B6D" w:rsidRPr="00001B6D" w:rsidRDefault="00001B6D" w:rsidP="00BA7CD0">
      <w:pPr>
        <w:pStyle w:val="FootnoteText"/>
        <w:spacing w:after="120"/>
      </w:pPr>
      <w:r>
        <w:rPr>
          <w:rStyle w:val="FootnoteReference"/>
        </w:rPr>
        <w:footnoteRef/>
      </w:r>
      <w:r w:rsidR="00304622">
        <w:t xml:space="preserve">  </w:t>
      </w:r>
      <w:r>
        <w:rPr>
          <w:i/>
        </w:rPr>
        <w:t>Id.</w:t>
      </w:r>
      <w:r>
        <w:t xml:space="preserve"> at 5 and 8.</w:t>
      </w:r>
    </w:p>
  </w:footnote>
  <w:footnote w:id="42">
    <w:p w:rsidR="00A01759" w:rsidRPr="00A01759" w:rsidRDefault="00A01759" w:rsidP="00BA7CD0">
      <w:pPr>
        <w:pStyle w:val="FootnoteText"/>
        <w:spacing w:after="120"/>
      </w:pPr>
      <w:r>
        <w:rPr>
          <w:rStyle w:val="FootnoteReference"/>
        </w:rPr>
        <w:footnoteRef/>
      </w:r>
      <w:r>
        <w:t xml:space="preserve"> </w:t>
      </w:r>
      <w:r w:rsidR="00304622">
        <w:t xml:space="preserve"> </w:t>
      </w:r>
      <w:r>
        <w:rPr>
          <w:i/>
        </w:rPr>
        <w:t>Id.</w:t>
      </w:r>
      <w:r>
        <w:t xml:space="preserve"> at Exhibit E.</w:t>
      </w:r>
    </w:p>
  </w:footnote>
  <w:footnote w:id="43">
    <w:p w:rsidR="00495020" w:rsidRDefault="00495020" w:rsidP="00BA7CD0">
      <w:pPr>
        <w:pStyle w:val="FootnoteText"/>
        <w:spacing w:after="120"/>
      </w:pPr>
      <w:r>
        <w:rPr>
          <w:rStyle w:val="FootnoteReference"/>
        </w:rPr>
        <w:footnoteRef/>
      </w:r>
      <w:r>
        <w:t xml:space="preserve"> </w:t>
      </w:r>
      <w:r w:rsidR="00304622">
        <w:t xml:space="preserve"> </w:t>
      </w:r>
      <w:r>
        <w:t>Wireless Telecommunications Bureau Market-Based Applications Accep</w:t>
      </w:r>
      <w:r w:rsidR="00D50D6E">
        <w:t>ted for Filing, Report No. 11670</w:t>
      </w:r>
      <w:r>
        <w:t xml:space="preserve">, </w:t>
      </w:r>
      <w:r>
        <w:rPr>
          <w:i/>
        </w:rPr>
        <w:t>Public Notice</w:t>
      </w:r>
      <w:r w:rsidR="00C16613">
        <w:t xml:space="preserve"> (rel. Sep. 7, 2016) at 3</w:t>
      </w:r>
      <w:r>
        <w:t>.</w:t>
      </w:r>
    </w:p>
  </w:footnote>
  <w:footnote w:id="44">
    <w:p w:rsidR="00495020" w:rsidRDefault="00495020" w:rsidP="00BA7CD0">
      <w:pPr>
        <w:pStyle w:val="FootnoteText"/>
        <w:spacing w:after="120"/>
      </w:pPr>
      <w:r>
        <w:rPr>
          <w:rStyle w:val="FootnoteReference"/>
        </w:rPr>
        <w:footnoteRef/>
      </w:r>
      <w:r w:rsidR="00C16613">
        <w:t xml:space="preserve"> </w:t>
      </w:r>
      <w:r w:rsidR="00304622">
        <w:t xml:space="preserve"> </w:t>
      </w:r>
      <w:r w:rsidR="00C16613">
        <w:t>2016</w:t>
      </w:r>
      <w:r>
        <w:t xml:space="preserve"> Waiver</w:t>
      </w:r>
      <w:r w:rsidR="00C16613">
        <w:t xml:space="preserve"> Request at </w:t>
      </w:r>
      <w:r w:rsidR="00AB62BB">
        <w:t>5</w:t>
      </w:r>
      <w:r w:rsidR="00C16613">
        <w:t>-</w:t>
      </w:r>
      <w:r w:rsidR="00AB62BB">
        <w:t>9</w:t>
      </w:r>
      <w:r w:rsidR="00DA35C7">
        <w:t>.</w:t>
      </w:r>
    </w:p>
  </w:footnote>
  <w:footnote w:id="45">
    <w:p w:rsidR="00495020" w:rsidRDefault="00495020" w:rsidP="00BA7CD0">
      <w:pPr>
        <w:pStyle w:val="FootnoteText"/>
        <w:spacing w:after="120"/>
      </w:pPr>
      <w:r>
        <w:rPr>
          <w:rStyle w:val="FootnoteReference"/>
        </w:rPr>
        <w:footnoteRef/>
      </w:r>
      <w:r>
        <w:t xml:space="preserve"> </w:t>
      </w:r>
      <w:r w:rsidR="00304622">
        <w:t xml:space="preserve"> </w:t>
      </w:r>
      <w:r>
        <w:t>47 C.F.R. § 1.925(b)(3).</w:t>
      </w:r>
    </w:p>
  </w:footnote>
  <w:footnote w:id="46">
    <w:p w:rsidR="00A01759" w:rsidRPr="00A01759" w:rsidRDefault="00A01759" w:rsidP="00BA7CD0">
      <w:pPr>
        <w:pStyle w:val="FootnoteText"/>
        <w:spacing w:after="120"/>
      </w:pPr>
      <w:r>
        <w:rPr>
          <w:rStyle w:val="FootnoteReference"/>
        </w:rPr>
        <w:footnoteRef/>
      </w:r>
      <w:r w:rsidR="00304622">
        <w:t xml:space="preserve"> </w:t>
      </w:r>
      <w:r>
        <w:t xml:space="preserve"> </w:t>
      </w:r>
      <w:r>
        <w:rPr>
          <w:i/>
        </w:rPr>
        <w:t xml:space="preserve">See, e.g., </w:t>
      </w:r>
      <w:r w:rsidRPr="00AB653E">
        <w:t xml:space="preserve">Application of The Board of Trustees of Northern Michigan University For a New Educational Broadband Service Station, </w:t>
      </w:r>
      <w:r w:rsidRPr="00AB653E">
        <w:rPr>
          <w:i/>
        </w:rPr>
        <w:t>Memorandum Opinion and Order</w:t>
      </w:r>
      <w:r w:rsidRPr="00AB653E">
        <w:t xml:space="preserve">, </w:t>
      </w:r>
      <w:r>
        <w:t>23 FCC Rcd 11832</w:t>
      </w:r>
      <w:r w:rsidRPr="00AB653E">
        <w:t xml:space="preserve"> (</w:t>
      </w:r>
      <w:r>
        <w:t>WTB</w:t>
      </w:r>
      <w:r w:rsidRPr="00AB653E">
        <w:t xml:space="preserve"> 2008)</w:t>
      </w:r>
      <w:r>
        <w:t xml:space="preserve">; </w:t>
      </w:r>
      <w:r w:rsidR="002B7774" w:rsidRPr="002B7774">
        <w:t xml:space="preserve">Application of The Nisqually Indian Tribe, </w:t>
      </w:r>
      <w:r w:rsidR="002B7774" w:rsidRPr="002B7774">
        <w:rPr>
          <w:i/>
        </w:rPr>
        <w:t>Memorandum Opinion and Order</w:t>
      </w:r>
      <w:r w:rsidR="002B7774" w:rsidRPr="002B7774">
        <w:t>, 28 FCC Rcd 155</w:t>
      </w:r>
      <w:r w:rsidR="002B7774">
        <w:t>69</w:t>
      </w:r>
      <w:r w:rsidR="002B7774" w:rsidRPr="002B7774">
        <w:t xml:space="preserve"> (WTB BD 2013); </w:t>
      </w:r>
      <w:r w:rsidRPr="00AB653E">
        <w:t xml:space="preserve">The Board of Trustees of Northern Michigan University, </w:t>
      </w:r>
      <w:r w:rsidRPr="00AB653E">
        <w:rPr>
          <w:i/>
        </w:rPr>
        <w:t>Memorandum Opinion and Order</w:t>
      </w:r>
      <w:r w:rsidRPr="00AB653E">
        <w:t xml:space="preserve">, </w:t>
      </w:r>
      <w:r>
        <w:t>28 FCC Rcd 15576</w:t>
      </w:r>
      <w:r w:rsidRPr="00AB653E">
        <w:t xml:space="preserve"> (</w:t>
      </w:r>
      <w:r>
        <w:t>WTB BD 2013</w:t>
      </w:r>
      <w:r w:rsidRPr="00AB653E">
        <w:t>)</w:t>
      </w:r>
      <w:r>
        <w:t xml:space="preserve">; </w:t>
      </w:r>
      <w:r w:rsidRPr="00AB653E">
        <w:t xml:space="preserve">The Board of Trustees of Northern Michigan University, </w:t>
      </w:r>
      <w:r w:rsidRPr="00AB653E">
        <w:rPr>
          <w:i/>
        </w:rPr>
        <w:t>Memorandum Opinion and Order</w:t>
      </w:r>
      <w:r w:rsidRPr="00AB653E">
        <w:t xml:space="preserve">, </w:t>
      </w:r>
      <w:r>
        <w:t>28 FCC Rcd 15583</w:t>
      </w:r>
      <w:r w:rsidRPr="00AB653E">
        <w:t xml:space="preserve"> (</w:t>
      </w:r>
      <w:r>
        <w:t>WTB BD 2013</w:t>
      </w:r>
      <w:r w:rsidRPr="00AB653E">
        <w:t>)</w:t>
      </w:r>
      <w:r>
        <w:t xml:space="preserve">; </w:t>
      </w:r>
      <w:r w:rsidR="00C16613" w:rsidRPr="00AB653E">
        <w:t xml:space="preserve">Application of The Board of Trustees of Northern Michigan University For a New Educational Broadband Service Station, </w:t>
      </w:r>
      <w:r w:rsidR="00C16613" w:rsidRPr="00AB653E">
        <w:rPr>
          <w:i/>
        </w:rPr>
        <w:t>Memorandum Opinion and Order</w:t>
      </w:r>
      <w:r w:rsidR="00C16613" w:rsidRPr="00AB653E">
        <w:t>,</w:t>
      </w:r>
      <w:r w:rsidR="00C16613">
        <w:t xml:space="preserve"> 31 FCC Rcd 3371 (WTB BD 2016).</w:t>
      </w:r>
    </w:p>
  </w:footnote>
  <w:footnote w:id="47">
    <w:p w:rsidR="00C16613" w:rsidRDefault="00C16613" w:rsidP="00BA7CD0">
      <w:pPr>
        <w:pStyle w:val="FootnoteText"/>
        <w:spacing w:after="120"/>
      </w:pPr>
      <w:r>
        <w:rPr>
          <w:rStyle w:val="FootnoteReference"/>
        </w:rPr>
        <w:footnoteRef/>
      </w:r>
      <w:r w:rsidR="00304622">
        <w:t xml:space="preserve">  </w:t>
      </w:r>
      <w:r>
        <w:t xml:space="preserve">2016 Waiver Request at </w:t>
      </w:r>
      <w:r w:rsidR="00AB62BB">
        <w:t>6-</w:t>
      </w:r>
      <w:r>
        <w:t>7.</w:t>
      </w:r>
    </w:p>
  </w:footnote>
  <w:footnote w:id="48">
    <w:p w:rsidR="00001B6D" w:rsidRDefault="00001B6D" w:rsidP="00BA7CD0">
      <w:pPr>
        <w:pStyle w:val="FootnoteText"/>
        <w:spacing w:after="120"/>
      </w:pPr>
      <w:r>
        <w:rPr>
          <w:rStyle w:val="FootnoteReference"/>
        </w:rPr>
        <w:footnoteRef/>
      </w:r>
      <w:r>
        <w:t xml:space="preserve"> </w:t>
      </w:r>
      <w:r w:rsidR="00304622">
        <w:t xml:space="preserve"> </w:t>
      </w:r>
      <w:r>
        <w:t>2011 S</w:t>
      </w:r>
      <w:r w:rsidR="00AB62BB">
        <w:t>TA Applications, Exhibit at 3.</w:t>
      </w:r>
    </w:p>
  </w:footnote>
  <w:footnote w:id="49">
    <w:p w:rsidR="00495020" w:rsidRDefault="00495020" w:rsidP="00BA7CD0">
      <w:pPr>
        <w:pStyle w:val="FootnoteText"/>
        <w:spacing w:after="120"/>
      </w:pPr>
      <w:r>
        <w:rPr>
          <w:rStyle w:val="FootnoteReference"/>
        </w:rPr>
        <w:footnoteRef/>
      </w:r>
      <w:r w:rsidR="009875EF">
        <w:t xml:space="preserve"> </w:t>
      </w:r>
      <w:r w:rsidR="00304622">
        <w:t xml:space="preserve"> </w:t>
      </w:r>
      <w:r w:rsidR="009875EF">
        <w:t xml:space="preserve">2016 Waiver </w:t>
      </w:r>
      <w:r w:rsidR="00AB62BB">
        <w:t xml:space="preserve">Request </w:t>
      </w:r>
      <w:r w:rsidR="009875EF">
        <w:t>at 7</w:t>
      </w:r>
      <w:r>
        <w:t>.</w:t>
      </w:r>
    </w:p>
  </w:footnote>
  <w:footnote w:id="50">
    <w:p w:rsidR="00495020" w:rsidRDefault="00495020" w:rsidP="00BA7CD0">
      <w:pPr>
        <w:pStyle w:val="FootnoteText"/>
        <w:spacing w:after="120"/>
      </w:pPr>
      <w:r>
        <w:rPr>
          <w:rStyle w:val="FootnoteReference"/>
        </w:rPr>
        <w:footnoteRef/>
      </w:r>
      <w:r>
        <w:t xml:space="preserve"> </w:t>
      </w:r>
      <w:r w:rsidR="00304622">
        <w:t xml:space="preserve"> </w:t>
      </w:r>
      <w:r>
        <w:t>47 CFR § 27.1201(a).</w:t>
      </w:r>
    </w:p>
  </w:footnote>
  <w:footnote w:id="51">
    <w:p w:rsidR="00495020" w:rsidRDefault="00495020" w:rsidP="00BA7CD0">
      <w:pPr>
        <w:pStyle w:val="FootnoteText"/>
        <w:spacing w:after="120"/>
      </w:pPr>
      <w:r>
        <w:rPr>
          <w:rStyle w:val="FootnoteReference"/>
        </w:rPr>
        <w:footnoteRef/>
      </w:r>
      <w:r w:rsidR="009875EF">
        <w:t xml:space="preserve"> </w:t>
      </w:r>
      <w:r w:rsidR="00304622">
        <w:t xml:space="preserve"> </w:t>
      </w:r>
      <w:r w:rsidR="009875EF">
        <w:t>2016 Waiver at 6</w:t>
      </w:r>
      <w:r>
        <w:t>.</w:t>
      </w:r>
    </w:p>
  </w:footnote>
  <w:footnote w:id="52">
    <w:p w:rsidR="00495020" w:rsidRPr="00495020" w:rsidRDefault="00495020" w:rsidP="00BA7CD0">
      <w:pPr>
        <w:pStyle w:val="FootnoteText"/>
        <w:spacing w:after="120"/>
      </w:pPr>
      <w:r>
        <w:rPr>
          <w:rStyle w:val="FootnoteReference"/>
        </w:rPr>
        <w:footnoteRef/>
      </w:r>
      <w:r>
        <w:t xml:space="preserve"> </w:t>
      </w:r>
      <w:r w:rsidR="00304622">
        <w:t xml:space="preserve"> </w:t>
      </w:r>
      <w:r w:rsidR="002B7774" w:rsidRPr="002B7774">
        <w:t xml:space="preserve">Gateway Telecom LLC d/b/a StratusWave Communications; Applications For New Educational Broadband Service Stations on the A and B Group Channels in Centerville, Ohio; and the A and B Group Channels in Arden, West Virginia, </w:t>
      </w:r>
      <w:r w:rsidR="002B7774" w:rsidRPr="002B7774">
        <w:rPr>
          <w:i/>
        </w:rPr>
        <w:t>Memorandum Opinion and Order</w:t>
      </w:r>
      <w:r w:rsidR="002B7774" w:rsidRPr="002B7774">
        <w:t>, 22 FCC Rcd 15789</w:t>
      </w:r>
      <w:r w:rsidR="002B7774">
        <w:t>, 15796 para. 15</w:t>
      </w:r>
      <w:r w:rsidR="002B7774" w:rsidRPr="002B7774">
        <w:t xml:space="preserve"> (2007)</w:t>
      </w:r>
      <w:r>
        <w:t xml:space="preserve"> </w:t>
      </w:r>
      <w:r w:rsidRPr="002B7774">
        <w:rPr>
          <w:i/>
        </w:rPr>
        <w:t>citing</w:t>
      </w:r>
      <w:r>
        <w:t xml:space="preserve"> </w:t>
      </w:r>
      <w:r>
        <w:rPr>
          <w:i/>
        </w:rPr>
        <w:t>BRS/EB</w:t>
      </w:r>
      <w:r w:rsidR="00E06D4A">
        <w:rPr>
          <w:i/>
        </w:rPr>
        <w:t>S</w:t>
      </w:r>
      <w:r>
        <w:rPr>
          <w:i/>
        </w:rPr>
        <w:t xml:space="preserve"> R&amp;O and FNPRM</w:t>
      </w:r>
      <w:r>
        <w:t>, 19 FCC Rcd at 14222 para. 152.</w:t>
      </w:r>
    </w:p>
  </w:footnote>
  <w:footnote w:id="53">
    <w:p w:rsidR="00C16613" w:rsidRPr="00C16613" w:rsidRDefault="00C16613" w:rsidP="00BA7CD0">
      <w:pPr>
        <w:pStyle w:val="FootnoteText"/>
        <w:spacing w:after="120"/>
      </w:pPr>
      <w:r>
        <w:rPr>
          <w:rStyle w:val="FootnoteReference"/>
        </w:rPr>
        <w:footnoteRef/>
      </w:r>
      <w:r w:rsidR="009875EF">
        <w:t xml:space="preserve"> </w:t>
      </w:r>
      <w:r w:rsidR="00304622">
        <w:t xml:space="preserve"> </w:t>
      </w:r>
      <w:r w:rsidR="009875EF">
        <w:t>2016 Waiver R</w:t>
      </w:r>
      <w:r>
        <w:t>equest at 3.</w:t>
      </w:r>
    </w:p>
  </w:footnote>
  <w:footnote w:id="54">
    <w:p w:rsidR="00C16613" w:rsidRPr="00C16613" w:rsidRDefault="00C16613" w:rsidP="00BA7CD0">
      <w:pPr>
        <w:pStyle w:val="FootnoteText"/>
        <w:spacing w:after="120"/>
      </w:pPr>
      <w:r>
        <w:rPr>
          <w:rStyle w:val="FootnoteReference"/>
        </w:rPr>
        <w:footnoteRef/>
      </w:r>
      <w:r>
        <w:t xml:space="preserve"> </w:t>
      </w:r>
      <w:r w:rsidR="00304622">
        <w:t xml:space="preserve"> </w:t>
      </w:r>
      <w:r>
        <w:rPr>
          <w:i/>
        </w:rPr>
        <w:t>Id.</w:t>
      </w:r>
      <w:r>
        <w:t xml:space="preserve"> at 7.</w:t>
      </w:r>
    </w:p>
  </w:footnote>
  <w:footnote w:id="55">
    <w:p w:rsidR="00495020" w:rsidRPr="007D251F" w:rsidRDefault="00495020" w:rsidP="00BA7CD0">
      <w:pPr>
        <w:pStyle w:val="FootnoteText"/>
        <w:spacing w:after="120"/>
      </w:pPr>
      <w:r>
        <w:rPr>
          <w:rStyle w:val="FootnoteReference"/>
        </w:rPr>
        <w:footnoteRef/>
      </w:r>
      <w:r w:rsidR="00304622">
        <w:t xml:space="preserve">  </w:t>
      </w:r>
      <w:r w:rsidRPr="00495020">
        <w:rPr>
          <w:i/>
        </w:rPr>
        <w:t>2008 Waiver Order</w:t>
      </w:r>
      <w:r>
        <w:t>, 23 FCC Rcd at 11837 para. 13.</w:t>
      </w:r>
    </w:p>
  </w:footnote>
  <w:footnote w:id="56">
    <w:p w:rsidR="00495020" w:rsidRDefault="00495020" w:rsidP="00BA7CD0">
      <w:pPr>
        <w:pStyle w:val="FootnoteText"/>
        <w:spacing w:after="120"/>
      </w:pPr>
      <w:r>
        <w:rPr>
          <w:rStyle w:val="FootnoteReference"/>
        </w:rPr>
        <w:footnoteRef/>
      </w:r>
      <w:r>
        <w:t xml:space="preserve"> </w:t>
      </w:r>
      <w:r w:rsidR="00304622">
        <w:t xml:space="preserve"> </w:t>
      </w:r>
      <w:r>
        <w:t>As indi</w:t>
      </w:r>
      <w:r w:rsidR="00C16613">
        <w:t xml:space="preserve">cated in the Waiver Request, KCSS </w:t>
      </w:r>
      <w:r w:rsidR="009875EF">
        <w:t xml:space="preserve">has </w:t>
      </w:r>
      <w:r>
        <w:t>not requested authorization for any EBS spectrum already authorized to another entity</w:t>
      </w:r>
      <w:r w:rsidR="00C16613">
        <w:t>.  2016 Waiver Request at 8.</w:t>
      </w:r>
    </w:p>
  </w:footnote>
  <w:footnote w:id="57">
    <w:p w:rsidR="005D18FB" w:rsidRPr="00C16613" w:rsidRDefault="005D18FB" w:rsidP="00BA7CD0">
      <w:pPr>
        <w:pStyle w:val="FootnoteText"/>
        <w:spacing w:after="120"/>
      </w:pPr>
      <w:r>
        <w:rPr>
          <w:rStyle w:val="FootnoteReference"/>
        </w:rPr>
        <w:footnoteRef/>
      </w:r>
      <w:r>
        <w:t xml:space="preserve"> </w:t>
      </w:r>
      <w:r w:rsidR="00304622">
        <w:t xml:space="preserve"> </w:t>
      </w:r>
      <w:r w:rsidR="00AB62BB">
        <w:t>2016 Waiver Request at 3.</w:t>
      </w:r>
    </w:p>
  </w:footnote>
  <w:footnote w:id="58">
    <w:p w:rsidR="00495020" w:rsidRPr="00CE1099" w:rsidRDefault="00495020" w:rsidP="00BA7CD0">
      <w:pPr>
        <w:pStyle w:val="FootnoteText"/>
        <w:spacing w:after="120"/>
      </w:pPr>
      <w:r>
        <w:rPr>
          <w:rStyle w:val="FootnoteReference"/>
        </w:rPr>
        <w:footnoteRef/>
      </w:r>
      <w:r w:rsidR="005D18FB">
        <w:t xml:space="preserve"> </w:t>
      </w:r>
      <w:r w:rsidR="00304622">
        <w:t xml:space="preserve"> </w:t>
      </w:r>
      <w:r w:rsidR="005D18FB">
        <w:t>47 CFR § 27.14(o).</w:t>
      </w:r>
    </w:p>
  </w:footnote>
  <w:footnote w:id="59">
    <w:p w:rsidR="00495020" w:rsidRDefault="00495020" w:rsidP="00BA7CD0">
      <w:pPr>
        <w:pStyle w:val="FootnoteText"/>
        <w:spacing w:after="120"/>
      </w:pPr>
      <w:r>
        <w:rPr>
          <w:rStyle w:val="FootnoteReference"/>
        </w:rPr>
        <w:footnoteRef/>
      </w:r>
      <w:r>
        <w:t xml:space="preserve"> </w:t>
      </w:r>
      <w:r w:rsidR="00304622">
        <w:t xml:space="preserve"> </w:t>
      </w:r>
      <w:r>
        <w:t>47 CFR § 1.913(b).</w:t>
      </w:r>
    </w:p>
  </w:footnote>
  <w:footnote w:id="60">
    <w:p w:rsidR="00B31D76" w:rsidRDefault="00B31D76" w:rsidP="00B31D76">
      <w:pPr>
        <w:pStyle w:val="FootnoteText"/>
        <w:spacing w:after="120"/>
      </w:pPr>
      <w:r>
        <w:rPr>
          <w:rStyle w:val="FootnoteReference"/>
        </w:rPr>
        <w:footnoteRef/>
      </w:r>
      <w:r>
        <w:t xml:space="preserve"> FCC, </w:t>
      </w:r>
      <w:r w:rsidRPr="0092300E">
        <w:t>Strategic Plan for the FCC for Fiscal Years 2015 through 2018</w:t>
      </w:r>
      <w:r>
        <w:t xml:space="preserve">, at 11 (2015), </w:t>
      </w:r>
      <w:hyperlink r:id="rId1" w:history="1">
        <w:r w:rsidRPr="000262AA">
          <w:rPr>
            <w:rStyle w:val="Hyperlink"/>
          </w:rPr>
          <w:t>https://apps.fcc.gov/edocs_public/attachmatch/DOC-331866A1.pdf</w:t>
        </w:r>
      </w:hyperlink>
      <w:r>
        <w:t>.  In turn, this goal is based upon the statutory requirement that the Commission “encourage the deployment on a reasonable and timely basis of advanced telecommunications capability to all Americans.”  47 U.S.C. § 1302(a).</w:t>
      </w:r>
    </w:p>
  </w:footnote>
  <w:footnote w:id="61">
    <w:p w:rsidR="00495020" w:rsidRDefault="00495020" w:rsidP="00BA7CD0">
      <w:pPr>
        <w:pStyle w:val="FootnoteText"/>
        <w:spacing w:after="120"/>
      </w:pPr>
      <w:r>
        <w:rPr>
          <w:rStyle w:val="FootnoteReference"/>
        </w:rPr>
        <w:footnoteRef/>
      </w:r>
      <w:r>
        <w:t xml:space="preserve"> </w:t>
      </w:r>
      <w:r w:rsidR="00304622">
        <w:t xml:space="preserve"> </w:t>
      </w:r>
      <w:r>
        <w:rPr>
          <w:i/>
        </w:rPr>
        <w:t>See</w:t>
      </w:r>
      <w:r>
        <w:t xml:space="preserve"> </w:t>
      </w:r>
      <w:r>
        <w:rPr>
          <w:i/>
        </w:rPr>
        <w:t>Second FNPRM</w:t>
      </w:r>
      <w:r>
        <w:t xml:space="preserve">, </w:t>
      </w:r>
      <w:r>
        <w:rPr>
          <w:i/>
        </w:rPr>
        <w:t>supra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93" w:rsidRDefault="00234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20" w:rsidRDefault="00495020">
    <w:pPr>
      <w:pStyle w:val="Header"/>
      <w:tabs>
        <w:tab w:val="clear" w:pos="4320"/>
        <w:tab w:val="clear" w:pos="8640"/>
        <w:tab w:val="center" w:pos="4680"/>
        <w:tab w:val="right" w:pos="9360"/>
      </w:tabs>
      <w:rPr>
        <w:b/>
        <w:sz w:val="22"/>
        <w:szCs w:val="22"/>
      </w:rPr>
    </w:pPr>
    <w:r>
      <w:rPr>
        <w:b/>
      </w:rPr>
      <w:tab/>
    </w:r>
    <w:r>
      <w:rPr>
        <w:b/>
        <w:sz w:val="22"/>
        <w:szCs w:val="22"/>
      </w:rPr>
      <w:t>Federal C</w:t>
    </w:r>
    <w:r w:rsidR="006C1D51">
      <w:rPr>
        <w:b/>
        <w:sz w:val="22"/>
        <w:szCs w:val="22"/>
      </w:rPr>
      <w:t>ommunications Commission</w:t>
    </w:r>
    <w:r w:rsidR="006C1D51">
      <w:rPr>
        <w:b/>
        <w:sz w:val="22"/>
        <w:szCs w:val="22"/>
      </w:rPr>
      <w:tab/>
      <w:t>DA 16-1413</w:t>
    </w:r>
    <w:r>
      <w:rPr>
        <w:b/>
        <w:sz w:val="22"/>
        <w:szCs w:val="22"/>
      </w:rPr>
      <w:t xml:space="preserve"> </w:t>
    </w:r>
  </w:p>
  <w:p w:rsidR="00495020" w:rsidRDefault="00495020">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4FBB9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495020" w:rsidRDefault="00495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20" w:rsidRDefault="00495020">
    <w:pPr>
      <w:pStyle w:val="Header"/>
      <w:tabs>
        <w:tab w:val="clear" w:pos="4320"/>
        <w:tab w:val="clear" w:pos="8640"/>
        <w:tab w:val="center" w:pos="4680"/>
        <w:tab w:val="right" w:pos="9360"/>
      </w:tabs>
      <w:rPr>
        <w:b/>
        <w:sz w:val="22"/>
        <w:szCs w:val="22"/>
      </w:rPr>
    </w:pPr>
    <w:r>
      <w:rPr>
        <w:b/>
        <w:sz w:val="22"/>
        <w:szCs w:val="22"/>
      </w:rPr>
      <w:tab/>
      <w:t>Federal Communications Commission</w:t>
    </w:r>
    <w:r>
      <w:rPr>
        <w:b/>
        <w:sz w:val="22"/>
        <w:szCs w:val="22"/>
      </w:rPr>
      <w:tab/>
    </w:r>
    <w:r w:rsidR="006C1D51">
      <w:rPr>
        <w:b/>
        <w:sz w:val="22"/>
        <w:szCs w:val="22"/>
      </w:rPr>
      <w:t>DA 16-1413</w:t>
    </w:r>
    <w:r>
      <w:rPr>
        <w:b/>
        <w:sz w:val="22"/>
        <w:szCs w:val="22"/>
      </w:rPr>
      <w:t xml:space="preserve"> </w:t>
    </w:r>
  </w:p>
  <w:p w:rsidR="00495020" w:rsidRDefault="00495020">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9BF00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rsidR="00495020" w:rsidRDefault="00495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8B2"/>
    <w:multiLevelType w:val="hybridMultilevel"/>
    <w:tmpl w:val="CD68BCB4"/>
    <w:lvl w:ilvl="0" w:tplc="B85063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86303"/>
    <w:multiLevelType w:val="hybridMultilevel"/>
    <w:tmpl w:val="5680DABC"/>
    <w:lvl w:ilvl="0" w:tplc="D68C3A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261435"/>
    <w:multiLevelType w:val="hybridMultilevel"/>
    <w:tmpl w:val="EF76276A"/>
    <w:lvl w:ilvl="0" w:tplc="E7A06E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75010F"/>
    <w:multiLevelType w:val="hybridMultilevel"/>
    <w:tmpl w:val="757A3474"/>
    <w:lvl w:ilvl="0" w:tplc="AF3C3A2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379A4513"/>
    <w:multiLevelType w:val="hybridMultilevel"/>
    <w:tmpl w:val="BEC2CA98"/>
    <w:lvl w:ilvl="0" w:tplc="4FD6388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412CA"/>
    <w:multiLevelType w:val="hybridMultilevel"/>
    <w:tmpl w:val="1A6634FE"/>
    <w:lvl w:ilvl="0" w:tplc="9F46ADEC">
      <w:start w:val="1"/>
      <w:numFmt w:val="decimal"/>
      <w:lvlText w:val="%1."/>
      <w:lvlJc w:val="left"/>
      <w:pPr>
        <w:tabs>
          <w:tab w:val="num" w:pos="1440"/>
        </w:tabs>
        <w:ind w:left="1440" w:hanging="720"/>
      </w:pPr>
      <w:rPr>
        <w:rFonts w:hint="default"/>
      </w:rPr>
    </w:lvl>
    <w:lvl w:ilvl="1" w:tplc="D542C47E" w:tentative="1">
      <w:start w:val="1"/>
      <w:numFmt w:val="lowerLetter"/>
      <w:lvlText w:val="%2."/>
      <w:lvlJc w:val="left"/>
      <w:pPr>
        <w:tabs>
          <w:tab w:val="num" w:pos="1800"/>
        </w:tabs>
        <w:ind w:left="1800" w:hanging="360"/>
      </w:pPr>
    </w:lvl>
    <w:lvl w:ilvl="2" w:tplc="9370DE9C" w:tentative="1">
      <w:start w:val="1"/>
      <w:numFmt w:val="lowerRoman"/>
      <w:lvlText w:val="%3."/>
      <w:lvlJc w:val="right"/>
      <w:pPr>
        <w:tabs>
          <w:tab w:val="num" w:pos="2520"/>
        </w:tabs>
        <w:ind w:left="2520" w:hanging="180"/>
      </w:pPr>
    </w:lvl>
    <w:lvl w:ilvl="3" w:tplc="95369D30" w:tentative="1">
      <w:start w:val="1"/>
      <w:numFmt w:val="decimal"/>
      <w:lvlText w:val="%4."/>
      <w:lvlJc w:val="left"/>
      <w:pPr>
        <w:tabs>
          <w:tab w:val="num" w:pos="3240"/>
        </w:tabs>
        <w:ind w:left="3240" w:hanging="360"/>
      </w:pPr>
    </w:lvl>
    <w:lvl w:ilvl="4" w:tplc="DDE404AA" w:tentative="1">
      <w:start w:val="1"/>
      <w:numFmt w:val="lowerLetter"/>
      <w:lvlText w:val="%5."/>
      <w:lvlJc w:val="left"/>
      <w:pPr>
        <w:tabs>
          <w:tab w:val="num" w:pos="3960"/>
        </w:tabs>
        <w:ind w:left="3960" w:hanging="360"/>
      </w:pPr>
    </w:lvl>
    <w:lvl w:ilvl="5" w:tplc="58D0904E" w:tentative="1">
      <w:start w:val="1"/>
      <w:numFmt w:val="lowerRoman"/>
      <w:lvlText w:val="%6."/>
      <w:lvlJc w:val="right"/>
      <w:pPr>
        <w:tabs>
          <w:tab w:val="num" w:pos="4680"/>
        </w:tabs>
        <w:ind w:left="4680" w:hanging="180"/>
      </w:pPr>
    </w:lvl>
    <w:lvl w:ilvl="6" w:tplc="89DA0D18" w:tentative="1">
      <w:start w:val="1"/>
      <w:numFmt w:val="decimal"/>
      <w:lvlText w:val="%7."/>
      <w:lvlJc w:val="left"/>
      <w:pPr>
        <w:tabs>
          <w:tab w:val="num" w:pos="5400"/>
        </w:tabs>
        <w:ind w:left="5400" w:hanging="360"/>
      </w:pPr>
    </w:lvl>
    <w:lvl w:ilvl="7" w:tplc="BF4ECD40" w:tentative="1">
      <w:start w:val="1"/>
      <w:numFmt w:val="lowerLetter"/>
      <w:lvlText w:val="%8."/>
      <w:lvlJc w:val="left"/>
      <w:pPr>
        <w:tabs>
          <w:tab w:val="num" w:pos="6120"/>
        </w:tabs>
        <w:ind w:left="6120" w:hanging="360"/>
      </w:pPr>
    </w:lvl>
    <w:lvl w:ilvl="8" w:tplc="A68A8EC0" w:tentative="1">
      <w:start w:val="1"/>
      <w:numFmt w:val="lowerRoman"/>
      <w:lvlText w:val="%9."/>
      <w:lvlJc w:val="right"/>
      <w:pPr>
        <w:tabs>
          <w:tab w:val="num" w:pos="6840"/>
        </w:tabs>
        <w:ind w:left="6840" w:hanging="180"/>
      </w:pPr>
    </w:lvl>
  </w:abstractNum>
  <w:abstractNum w:abstractNumId="6">
    <w:nsid w:val="5100430D"/>
    <w:multiLevelType w:val="hybridMultilevel"/>
    <w:tmpl w:val="EC0C0588"/>
    <w:lvl w:ilvl="0" w:tplc="E07C8D7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710EB4"/>
    <w:multiLevelType w:val="hybridMultilevel"/>
    <w:tmpl w:val="CE6A4750"/>
    <w:lvl w:ilvl="0" w:tplc="0409000F">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43474F"/>
    <w:multiLevelType w:val="hybridMultilevel"/>
    <w:tmpl w:val="9ABCBFF0"/>
    <w:lvl w:ilvl="0" w:tplc="1ED0806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8658A8"/>
    <w:multiLevelType w:val="hybridMultilevel"/>
    <w:tmpl w:val="B4AA65A2"/>
    <w:lvl w:ilvl="0" w:tplc="6C4C40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BB3959"/>
    <w:multiLevelType w:val="hybridMultilevel"/>
    <w:tmpl w:val="C076F94E"/>
    <w:lvl w:ilvl="0" w:tplc="13A058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067C0C"/>
    <w:multiLevelType w:val="hybridMultilevel"/>
    <w:tmpl w:val="92DA4934"/>
    <w:lvl w:ilvl="0" w:tplc="9CF4D9C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92974"/>
    <w:multiLevelType w:val="hybridMultilevel"/>
    <w:tmpl w:val="CAC68F90"/>
    <w:lvl w:ilvl="0" w:tplc="0409000F">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EB5021"/>
    <w:multiLevelType w:val="hybridMultilevel"/>
    <w:tmpl w:val="DCC2A218"/>
    <w:lvl w:ilvl="0" w:tplc="F632787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C35A40"/>
    <w:multiLevelType w:val="hybridMultilevel"/>
    <w:tmpl w:val="CF2682DC"/>
    <w:lvl w:ilvl="0" w:tplc="0B622286">
      <w:start w:val="1"/>
      <w:numFmt w:val="decimal"/>
      <w:pStyle w:val="ParaNum"/>
      <w:lvlText w:val="%1."/>
      <w:lvlJc w:val="left"/>
      <w:pPr>
        <w:tabs>
          <w:tab w:val="num" w:pos="2520"/>
        </w:tabs>
        <w:ind w:left="1440" w:firstLine="720"/>
      </w:pPr>
      <w:rPr>
        <w:rFonts w:hint="default"/>
      </w:rPr>
    </w:lvl>
    <w:lvl w:ilvl="1" w:tplc="04090019">
      <w:start w:val="1"/>
      <w:numFmt w:val="decimal"/>
      <w:lvlText w:val="%2."/>
      <w:lvlJc w:val="left"/>
      <w:pPr>
        <w:tabs>
          <w:tab w:val="num" w:pos="2160"/>
        </w:tabs>
        <w:ind w:left="1080" w:firstLine="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7320669"/>
    <w:multiLevelType w:val="hybridMultilevel"/>
    <w:tmpl w:val="712AC832"/>
    <w:lvl w:ilvl="0" w:tplc="719AC180">
      <w:start w:val="4"/>
      <w:numFmt w:val="decimal"/>
      <w:lvlText w:val="%1."/>
      <w:lvlJc w:val="left"/>
      <w:pPr>
        <w:tabs>
          <w:tab w:val="num" w:pos="1080"/>
        </w:tabs>
        <w:ind w:left="1080" w:hanging="720"/>
      </w:pPr>
      <w:rPr>
        <w:rFonts w:hint="default"/>
      </w:rPr>
    </w:lvl>
    <w:lvl w:ilvl="1" w:tplc="719AC18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6B217E"/>
    <w:multiLevelType w:val="multilevel"/>
    <w:tmpl w:val="403E0898"/>
    <w:lvl w:ilvl="0">
      <w:start w:val="1"/>
      <w:numFmt w:val="decimal"/>
      <w:lvlText w:val="%1."/>
      <w:lvlJc w:val="left"/>
      <w:pPr>
        <w:tabs>
          <w:tab w:val="num" w:pos="2520"/>
        </w:tabs>
        <w:ind w:left="1440" w:firstLine="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0"/>
  </w:num>
  <w:num w:numId="2">
    <w:abstractNumId w:val="9"/>
  </w:num>
  <w:num w:numId="3">
    <w:abstractNumId w:val="2"/>
  </w:num>
  <w:num w:numId="4">
    <w:abstractNumId w:val="5"/>
  </w:num>
  <w:num w:numId="5">
    <w:abstractNumId w:val="1"/>
  </w:num>
  <w:num w:numId="6">
    <w:abstractNumId w:val="0"/>
  </w:num>
  <w:num w:numId="7">
    <w:abstractNumId w:val="7"/>
  </w:num>
  <w:num w:numId="8">
    <w:abstractNumId w:val="15"/>
  </w:num>
  <w:num w:numId="9">
    <w:abstractNumId w:val="8"/>
  </w:num>
  <w:num w:numId="10">
    <w:abstractNumId w:val="11"/>
  </w:num>
  <w:num w:numId="11">
    <w:abstractNumId w:val="4"/>
  </w:num>
  <w:num w:numId="12">
    <w:abstractNumId w:val="6"/>
  </w:num>
  <w:num w:numId="13">
    <w:abstractNumId w:val="3"/>
  </w:num>
  <w:num w:numId="14">
    <w:abstractNumId w:val="13"/>
  </w:num>
  <w:num w:numId="15">
    <w:abstractNumId w:val="12"/>
  </w:num>
  <w:num w:numId="16">
    <w:abstractNumId w:val="14"/>
  </w:num>
  <w:num w:numId="17">
    <w:abstractNumId w:val="16"/>
  </w:num>
  <w:num w:numId="1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D"/>
    <w:rsid w:val="00001B6D"/>
    <w:rsid w:val="00012B1E"/>
    <w:rsid w:val="00015335"/>
    <w:rsid w:val="0002421F"/>
    <w:rsid w:val="0003544B"/>
    <w:rsid w:val="0007109C"/>
    <w:rsid w:val="00091F87"/>
    <w:rsid w:val="0009664A"/>
    <w:rsid w:val="000A0AD3"/>
    <w:rsid w:val="000A110E"/>
    <w:rsid w:val="000D2430"/>
    <w:rsid w:val="000D26D6"/>
    <w:rsid w:val="000F0319"/>
    <w:rsid w:val="001248BC"/>
    <w:rsid w:val="0014097F"/>
    <w:rsid w:val="0014237B"/>
    <w:rsid w:val="00146042"/>
    <w:rsid w:val="00175A05"/>
    <w:rsid w:val="00186950"/>
    <w:rsid w:val="001A3821"/>
    <w:rsid w:val="001B4FBC"/>
    <w:rsid w:val="001C3E0D"/>
    <w:rsid w:val="001C6C6B"/>
    <w:rsid w:val="001D152A"/>
    <w:rsid w:val="001D26EE"/>
    <w:rsid w:val="001F5201"/>
    <w:rsid w:val="00234F93"/>
    <w:rsid w:val="0024107D"/>
    <w:rsid w:val="00243D4E"/>
    <w:rsid w:val="00254CF6"/>
    <w:rsid w:val="002631E0"/>
    <w:rsid w:val="002853B6"/>
    <w:rsid w:val="002A1A73"/>
    <w:rsid w:val="002A4F10"/>
    <w:rsid w:val="002B028D"/>
    <w:rsid w:val="002B7774"/>
    <w:rsid w:val="002C4029"/>
    <w:rsid w:val="002C67CD"/>
    <w:rsid w:val="002E60D3"/>
    <w:rsid w:val="002F0A63"/>
    <w:rsid w:val="0030046C"/>
    <w:rsid w:val="00304622"/>
    <w:rsid w:val="00320C16"/>
    <w:rsid w:val="003266DC"/>
    <w:rsid w:val="00346B52"/>
    <w:rsid w:val="00371EA8"/>
    <w:rsid w:val="00381DC2"/>
    <w:rsid w:val="00383B08"/>
    <w:rsid w:val="00393806"/>
    <w:rsid w:val="003A1F43"/>
    <w:rsid w:val="003A37B2"/>
    <w:rsid w:val="003A4E96"/>
    <w:rsid w:val="003B20FB"/>
    <w:rsid w:val="003E48C9"/>
    <w:rsid w:val="003F1B21"/>
    <w:rsid w:val="0040064C"/>
    <w:rsid w:val="00406483"/>
    <w:rsid w:val="00406CAC"/>
    <w:rsid w:val="00415FA6"/>
    <w:rsid w:val="0042213D"/>
    <w:rsid w:val="00456F8A"/>
    <w:rsid w:val="00465BD8"/>
    <w:rsid w:val="0046629E"/>
    <w:rsid w:val="004702BA"/>
    <w:rsid w:val="004851EC"/>
    <w:rsid w:val="00495020"/>
    <w:rsid w:val="004A10CB"/>
    <w:rsid w:val="004A2809"/>
    <w:rsid w:val="004A3B0E"/>
    <w:rsid w:val="004B685B"/>
    <w:rsid w:val="004E21FB"/>
    <w:rsid w:val="004E2690"/>
    <w:rsid w:val="004E6933"/>
    <w:rsid w:val="004F2188"/>
    <w:rsid w:val="004F6596"/>
    <w:rsid w:val="00510625"/>
    <w:rsid w:val="00524237"/>
    <w:rsid w:val="005256E4"/>
    <w:rsid w:val="00530BCA"/>
    <w:rsid w:val="005337DD"/>
    <w:rsid w:val="00534FFF"/>
    <w:rsid w:val="00544D0C"/>
    <w:rsid w:val="005601CD"/>
    <w:rsid w:val="0058063C"/>
    <w:rsid w:val="0059748D"/>
    <w:rsid w:val="005B2F8F"/>
    <w:rsid w:val="005B53F4"/>
    <w:rsid w:val="005B7093"/>
    <w:rsid w:val="005D18FB"/>
    <w:rsid w:val="005D44C0"/>
    <w:rsid w:val="00612F38"/>
    <w:rsid w:val="006265AB"/>
    <w:rsid w:val="006302DC"/>
    <w:rsid w:val="00636E87"/>
    <w:rsid w:val="00653AC1"/>
    <w:rsid w:val="00654A44"/>
    <w:rsid w:val="006639BD"/>
    <w:rsid w:val="006803DF"/>
    <w:rsid w:val="00690245"/>
    <w:rsid w:val="00692097"/>
    <w:rsid w:val="006A6BC9"/>
    <w:rsid w:val="006C1D51"/>
    <w:rsid w:val="006E0EF7"/>
    <w:rsid w:val="006E26C3"/>
    <w:rsid w:val="006E70B4"/>
    <w:rsid w:val="006F4A58"/>
    <w:rsid w:val="00701964"/>
    <w:rsid w:val="007142AB"/>
    <w:rsid w:val="00714992"/>
    <w:rsid w:val="007242BD"/>
    <w:rsid w:val="00736887"/>
    <w:rsid w:val="00753D8C"/>
    <w:rsid w:val="00764A1C"/>
    <w:rsid w:val="00775A6F"/>
    <w:rsid w:val="00787B11"/>
    <w:rsid w:val="007A69DB"/>
    <w:rsid w:val="007A7631"/>
    <w:rsid w:val="007A7C52"/>
    <w:rsid w:val="007D251F"/>
    <w:rsid w:val="007E1877"/>
    <w:rsid w:val="008029EA"/>
    <w:rsid w:val="00806F70"/>
    <w:rsid w:val="0081198A"/>
    <w:rsid w:val="0083432C"/>
    <w:rsid w:val="00836FC0"/>
    <w:rsid w:val="0084378B"/>
    <w:rsid w:val="008604C4"/>
    <w:rsid w:val="00864DD1"/>
    <w:rsid w:val="00873D06"/>
    <w:rsid w:val="008850E1"/>
    <w:rsid w:val="008B6E3B"/>
    <w:rsid w:val="008C51CE"/>
    <w:rsid w:val="008C5DEF"/>
    <w:rsid w:val="008D0D24"/>
    <w:rsid w:val="008E30BD"/>
    <w:rsid w:val="00904B00"/>
    <w:rsid w:val="00935AD9"/>
    <w:rsid w:val="00935D06"/>
    <w:rsid w:val="0094063C"/>
    <w:rsid w:val="00944741"/>
    <w:rsid w:val="00954BF9"/>
    <w:rsid w:val="009739C5"/>
    <w:rsid w:val="009759FB"/>
    <w:rsid w:val="009875EF"/>
    <w:rsid w:val="009D0AAE"/>
    <w:rsid w:val="009D1222"/>
    <w:rsid w:val="00A01759"/>
    <w:rsid w:val="00A12287"/>
    <w:rsid w:val="00A4723D"/>
    <w:rsid w:val="00A632F6"/>
    <w:rsid w:val="00A73892"/>
    <w:rsid w:val="00A77374"/>
    <w:rsid w:val="00A93A92"/>
    <w:rsid w:val="00A9590F"/>
    <w:rsid w:val="00AA77DA"/>
    <w:rsid w:val="00AB62BB"/>
    <w:rsid w:val="00AB653E"/>
    <w:rsid w:val="00AB711D"/>
    <w:rsid w:val="00AD489A"/>
    <w:rsid w:val="00AF3A4C"/>
    <w:rsid w:val="00AF7FEC"/>
    <w:rsid w:val="00B258A6"/>
    <w:rsid w:val="00B31D76"/>
    <w:rsid w:val="00B35093"/>
    <w:rsid w:val="00B57BE3"/>
    <w:rsid w:val="00BA7CD0"/>
    <w:rsid w:val="00BA7DDC"/>
    <w:rsid w:val="00BB0319"/>
    <w:rsid w:val="00BC4CA0"/>
    <w:rsid w:val="00BF40C6"/>
    <w:rsid w:val="00C16613"/>
    <w:rsid w:val="00C17687"/>
    <w:rsid w:val="00C279D5"/>
    <w:rsid w:val="00C32557"/>
    <w:rsid w:val="00C4387D"/>
    <w:rsid w:val="00C543B8"/>
    <w:rsid w:val="00C563FA"/>
    <w:rsid w:val="00C828CF"/>
    <w:rsid w:val="00C85A52"/>
    <w:rsid w:val="00C86B70"/>
    <w:rsid w:val="00C93054"/>
    <w:rsid w:val="00C94523"/>
    <w:rsid w:val="00C96ADB"/>
    <w:rsid w:val="00CA316D"/>
    <w:rsid w:val="00CB00C2"/>
    <w:rsid w:val="00CB3358"/>
    <w:rsid w:val="00CC2575"/>
    <w:rsid w:val="00CE0D87"/>
    <w:rsid w:val="00CE1099"/>
    <w:rsid w:val="00CE72E7"/>
    <w:rsid w:val="00CF56D4"/>
    <w:rsid w:val="00D02068"/>
    <w:rsid w:val="00D05D31"/>
    <w:rsid w:val="00D12F23"/>
    <w:rsid w:val="00D33115"/>
    <w:rsid w:val="00D43DD8"/>
    <w:rsid w:val="00D47291"/>
    <w:rsid w:val="00D477E6"/>
    <w:rsid w:val="00D50D6E"/>
    <w:rsid w:val="00D61CF2"/>
    <w:rsid w:val="00D6752D"/>
    <w:rsid w:val="00D7245B"/>
    <w:rsid w:val="00D7629C"/>
    <w:rsid w:val="00D8445D"/>
    <w:rsid w:val="00D860AB"/>
    <w:rsid w:val="00D91405"/>
    <w:rsid w:val="00DA35C7"/>
    <w:rsid w:val="00DC0112"/>
    <w:rsid w:val="00DC6E00"/>
    <w:rsid w:val="00DC70EA"/>
    <w:rsid w:val="00DD01C2"/>
    <w:rsid w:val="00DD23A2"/>
    <w:rsid w:val="00DF26A3"/>
    <w:rsid w:val="00E015F2"/>
    <w:rsid w:val="00E06D4A"/>
    <w:rsid w:val="00E242E0"/>
    <w:rsid w:val="00E46E7F"/>
    <w:rsid w:val="00E531E4"/>
    <w:rsid w:val="00E5716B"/>
    <w:rsid w:val="00E619A8"/>
    <w:rsid w:val="00E661DF"/>
    <w:rsid w:val="00E67598"/>
    <w:rsid w:val="00E9412C"/>
    <w:rsid w:val="00EA09F6"/>
    <w:rsid w:val="00EB6F6E"/>
    <w:rsid w:val="00EC2233"/>
    <w:rsid w:val="00EC3C06"/>
    <w:rsid w:val="00EC436B"/>
    <w:rsid w:val="00EC68F6"/>
    <w:rsid w:val="00ED128A"/>
    <w:rsid w:val="00ED17F8"/>
    <w:rsid w:val="00EE5730"/>
    <w:rsid w:val="00EF016C"/>
    <w:rsid w:val="00F12691"/>
    <w:rsid w:val="00F22506"/>
    <w:rsid w:val="00F451C7"/>
    <w:rsid w:val="00F46C82"/>
    <w:rsid w:val="00F571A2"/>
    <w:rsid w:val="00FB0A3F"/>
    <w:rsid w:val="00FC1CFD"/>
    <w:rsid w:val="00FC795A"/>
    <w:rsid w:val="00FD016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 w:type="paragraph" w:styleId="ListParagraph">
    <w:name w:val="List Paragraph"/>
    <w:basedOn w:val="Normal"/>
    <w:uiPriority w:val="34"/>
    <w:qFormat/>
    <w:rsid w:val="00091F87"/>
    <w:pPr>
      <w:ind w:left="720"/>
      <w:contextualSpacing/>
    </w:pPr>
  </w:style>
  <w:style w:type="character" w:styleId="FollowedHyperlink">
    <w:name w:val="FollowedHyperlink"/>
    <w:basedOn w:val="DefaultParagraphFont"/>
    <w:semiHidden/>
    <w:unhideWhenUsed/>
    <w:rsid w:val="00175A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 w:type="paragraph" w:styleId="ListParagraph">
    <w:name w:val="List Paragraph"/>
    <w:basedOn w:val="Normal"/>
    <w:uiPriority w:val="34"/>
    <w:qFormat/>
    <w:rsid w:val="00091F87"/>
    <w:pPr>
      <w:ind w:left="720"/>
      <w:contextualSpacing/>
    </w:pPr>
  </w:style>
  <w:style w:type="character" w:styleId="FollowedHyperlink">
    <w:name w:val="FollowedHyperlink"/>
    <w:basedOn w:val="DefaultParagraphFont"/>
    <w:semiHidden/>
    <w:unhideWhenUsed/>
    <w:rsid w:val="00175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9433">
      <w:bodyDiv w:val="1"/>
      <w:marLeft w:val="0"/>
      <w:marRight w:val="0"/>
      <w:marTop w:val="0"/>
      <w:marBottom w:val="0"/>
      <w:divBdr>
        <w:top w:val="none" w:sz="0" w:space="0" w:color="auto"/>
        <w:left w:val="none" w:sz="0" w:space="0" w:color="auto"/>
        <w:bottom w:val="none" w:sz="0" w:space="0" w:color="auto"/>
        <w:right w:val="none" w:sz="0" w:space="0" w:color="auto"/>
      </w:divBdr>
      <w:divsChild>
        <w:div w:id="41563344">
          <w:marLeft w:val="0"/>
          <w:marRight w:val="0"/>
          <w:marTop w:val="0"/>
          <w:marBottom w:val="0"/>
          <w:divBdr>
            <w:top w:val="none" w:sz="0" w:space="0" w:color="auto"/>
            <w:left w:val="none" w:sz="0" w:space="0" w:color="auto"/>
            <w:bottom w:val="none" w:sz="0" w:space="0" w:color="auto"/>
            <w:right w:val="none" w:sz="0" w:space="0" w:color="auto"/>
          </w:divBdr>
        </w:div>
        <w:div w:id="668748319">
          <w:marLeft w:val="0"/>
          <w:marRight w:val="0"/>
          <w:marTop w:val="0"/>
          <w:marBottom w:val="0"/>
          <w:divBdr>
            <w:top w:val="none" w:sz="0" w:space="0" w:color="auto"/>
            <w:left w:val="none" w:sz="0" w:space="0" w:color="auto"/>
            <w:bottom w:val="none" w:sz="0" w:space="0" w:color="auto"/>
            <w:right w:val="none" w:sz="0" w:space="0" w:color="auto"/>
          </w:divBdr>
        </w:div>
        <w:div w:id="869491731">
          <w:marLeft w:val="0"/>
          <w:marRight w:val="0"/>
          <w:marTop w:val="0"/>
          <w:marBottom w:val="0"/>
          <w:divBdr>
            <w:top w:val="none" w:sz="0" w:space="0" w:color="auto"/>
            <w:left w:val="none" w:sz="0" w:space="0" w:color="auto"/>
            <w:bottom w:val="none" w:sz="0" w:space="0" w:color="auto"/>
            <w:right w:val="none" w:sz="0" w:space="0" w:color="auto"/>
          </w:divBdr>
        </w:div>
        <w:div w:id="942807460">
          <w:marLeft w:val="0"/>
          <w:marRight w:val="0"/>
          <w:marTop w:val="0"/>
          <w:marBottom w:val="0"/>
          <w:divBdr>
            <w:top w:val="none" w:sz="0" w:space="0" w:color="auto"/>
            <w:left w:val="none" w:sz="0" w:space="0" w:color="auto"/>
            <w:bottom w:val="none" w:sz="0" w:space="0" w:color="auto"/>
            <w:right w:val="none" w:sz="0" w:space="0" w:color="auto"/>
          </w:divBdr>
        </w:div>
        <w:div w:id="1117338262">
          <w:marLeft w:val="0"/>
          <w:marRight w:val="0"/>
          <w:marTop w:val="0"/>
          <w:marBottom w:val="0"/>
          <w:divBdr>
            <w:top w:val="none" w:sz="0" w:space="0" w:color="auto"/>
            <w:left w:val="none" w:sz="0" w:space="0" w:color="auto"/>
            <w:bottom w:val="none" w:sz="0" w:space="0" w:color="auto"/>
            <w:right w:val="none" w:sz="0" w:space="0" w:color="auto"/>
          </w:divBdr>
        </w:div>
        <w:div w:id="1347974846">
          <w:marLeft w:val="0"/>
          <w:marRight w:val="0"/>
          <w:marTop w:val="0"/>
          <w:marBottom w:val="0"/>
          <w:divBdr>
            <w:top w:val="none" w:sz="0" w:space="0" w:color="auto"/>
            <w:left w:val="none" w:sz="0" w:space="0" w:color="auto"/>
            <w:bottom w:val="none" w:sz="0" w:space="0" w:color="auto"/>
            <w:right w:val="none" w:sz="0" w:space="0" w:color="auto"/>
          </w:divBdr>
        </w:div>
      </w:divsChild>
    </w:div>
    <w:div w:id="1913729914">
      <w:bodyDiv w:val="1"/>
      <w:marLeft w:val="0"/>
      <w:marRight w:val="0"/>
      <w:marTop w:val="0"/>
      <w:marBottom w:val="0"/>
      <w:divBdr>
        <w:top w:val="none" w:sz="0" w:space="0" w:color="auto"/>
        <w:left w:val="none" w:sz="0" w:space="0" w:color="auto"/>
        <w:bottom w:val="none" w:sz="0" w:space="0" w:color="auto"/>
        <w:right w:val="none" w:sz="0" w:space="0" w:color="auto"/>
      </w:divBdr>
    </w:div>
    <w:div w:id="2061320897">
      <w:bodyDiv w:val="1"/>
      <w:marLeft w:val="0"/>
      <w:marRight w:val="0"/>
      <w:marTop w:val="0"/>
      <w:marBottom w:val="0"/>
      <w:divBdr>
        <w:top w:val="none" w:sz="0" w:space="0" w:color="auto"/>
        <w:left w:val="none" w:sz="0" w:space="0" w:color="auto"/>
        <w:bottom w:val="none" w:sz="0" w:space="0" w:color="auto"/>
        <w:right w:val="none" w:sz="0" w:space="0" w:color="auto"/>
      </w:divBdr>
      <w:divsChild>
        <w:div w:id="315452993">
          <w:marLeft w:val="0"/>
          <w:marRight w:val="0"/>
          <w:marTop w:val="0"/>
          <w:marBottom w:val="0"/>
          <w:divBdr>
            <w:top w:val="none" w:sz="0" w:space="0" w:color="auto"/>
            <w:left w:val="none" w:sz="0" w:space="0" w:color="auto"/>
            <w:bottom w:val="none" w:sz="0" w:space="0" w:color="auto"/>
            <w:right w:val="none" w:sz="0" w:space="0" w:color="auto"/>
          </w:divBdr>
        </w:div>
        <w:div w:id="1087072732">
          <w:marLeft w:val="0"/>
          <w:marRight w:val="0"/>
          <w:marTop w:val="0"/>
          <w:marBottom w:val="0"/>
          <w:divBdr>
            <w:top w:val="none" w:sz="0" w:space="0" w:color="auto"/>
            <w:left w:val="none" w:sz="0" w:space="0" w:color="auto"/>
            <w:bottom w:val="none" w:sz="0" w:space="0" w:color="auto"/>
            <w:right w:val="none" w:sz="0" w:space="0" w:color="auto"/>
          </w:divBdr>
        </w:div>
        <w:div w:id="1144350657">
          <w:marLeft w:val="0"/>
          <w:marRight w:val="0"/>
          <w:marTop w:val="0"/>
          <w:marBottom w:val="0"/>
          <w:divBdr>
            <w:top w:val="none" w:sz="0" w:space="0" w:color="auto"/>
            <w:left w:val="none" w:sz="0" w:space="0" w:color="auto"/>
            <w:bottom w:val="none" w:sz="0" w:space="0" w:color="auto"/>
            <w:right w:val="none" w:sz="0" w:space="0" w:color="auto"/>
          </w:divBdr>
        </w:div>
        <w:div w:id="1287739474">
          <w:marLeft w:val="0"/>
          <w:marRight w:val="0"/>
          <w:marTop w:val="0"/>
          <w:marBottom w:val="0"/>
          <w:divBdr>
            <w:top w:val="none" w:sz="0" w:space="0" w:color="auto"/>
            <w:left w:val="none" w:sz="0" w:space="0" w:color="auto"/>
            <w:bottom w:val="none" w:sz="0" w:space="0" w:color="auto"/>
            <w:right w:val="none" w:sz="0" w:space="0" w:color="auto"/>
          </w:divBdr>
        </w:div>
        <w:div w:id="1868594782">
          <w:marLeft w:val="0"/>
          <w:marRight w:val="0"/>
          <w:marTop w:val="0"/>
          <w:marBottom w:val="0"/>
          <w:divBdr>
            <w:top w:val="none" w:sz="0" w:space="0" w:color="auto"/>
            <w:left w:val="none" w:sz="0" w:space="0" w:color="auto"/>
            <w:bottom w:val="none" w:sz="0" w:space="0" w:color="auto"/>
            <w:right w:val="none" w:sz="0" w:space="0" w:color="auto"/>
          </w:divBdr>
        </w:div>
        <w:div w:id="2009020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edocs_public/attachmatch/DOC-331866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2755</Words>
  <Characters>15001</Characters>
  <Application>Microsoft Office Word</Application>
  <DocSecurity>0</DocSecurity>
  <Lines>234</Lines>
  <Paragraphs>51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17795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2008-07-09T22:02:00Z</cp:lastPrinted>
  <dcterms:created xsi:type="dcterms:W3CDTF">2016-12-19T19:52:00Z</dcterms:created>
  <dcterms:modified xsi:type="dcterms:W3CDTF">2016-12-19T19:52:00Z</dcterms:modified>
  <cp:category> </cp:category>
  <cp:contentStatus> </cp:contentStatus>
</cp:coreProperties>
</file>