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41" w:rsidRDefault="00EB1A41" w:rsidP="009010DE">
      <w:pPr>
        <w:pStyle w:val="Heading1"/>
        <w:numPr>
          <w:ilvl w:val="0"/>
          <w:numId w:val="0"/>
        </w:numPr>
        <w:ind w:left="720"/>
      </w:pPr>
      <w:bookmarkStart w:id="0" w:name="_GoBack"/>
      <w:bookmarkEnd w:id="0"/>
    </w:p>
    <w:p w:rsidR="00D47505" w:rsidRPr="00B20363" w:rsidRDefault="00AB0195" w:rsidP="00D47505">
      <w:pPr>
        <w:jc w:val="right"/>
        <w:rPr>
          <w:b/>
          <w:sz w:val="24"/>
        </w:rPr>
      </w:pPr>
      <w:r>
        <w:rPr>
          <w:b/>
          <w:sz w:val="24"/>
        </w:rPr>
        <w:t xml:space="preserve">DA </w:t>
      </w:r>
      <w:r w:rsidR="001A3D39">
        <w:rPr>
          <w:b/>
          <w:sz w:val="24"/>
        </w:rPr>
        <w:t>16-1419</w:t>
      </w:r>
    </w:p>
    <w:p w:rsidR="00D47505" w:rsidRPr="00B20363" w:rsidRDefault="00B338A9" w:rsidP="00D47505">
      <w:pPr>
        <w:spacing w:before="60"/>
        <w:jc w:val="right"/>
        <w:rPr>
          <w:b/>
          <w:sz w:val="24"/>
        </w:rPr>
      </w:pPr>
      <w:r>
        <w:rPr>
          <w:b/>
          <w:sz w:val="24"/>
        </w:rPr>
        <w:t xml:space="preserve">Released:  </w:t>
      </w:r>
      <w:r w:rsidR="007D3C11">
        <w:rPr>
          <w:b/>
          <w:sz w:val="24"/>
        </w:rPr>
        <w:t>December 21, 2016</w:t>
      </w:r>
    </w:p>
    <w:p w:rsidR="00D47505" w:rsidRDefault="00D47505" w:rsidP="00D47505">
      <w:pPr>
        <w:jc w:val="right"/>
        <w:rPr>
          <w:sz w:val="24"/>
        </w:rPr>
      </w:pPr>
    </w:p>
    <w:p w:rsidR="00D47505" w:rsidRPr="00B20363" w:rsidRDefault="00CE6C8E" w:rsidP="00D47505">
      <w:pPr>
        <w:spacing w:after="240"/>
        <w:jc w:val="center"/>
        <w:rPr>
          <w:rFonts w:ascii="Times New Roman Bold" w:hAnsi="Times New Roman Bold"/>
          <w:b/>
          <w:caps/>
          <w:sz w:val="24"/>
        </w:rPr>
      </w:pPr>
      <w:r>
        <w:rPr>
          <w:rFonts w:ascii="Times New Roman Bold" w:hAnsi="Times New Roman Bold"/>
          <w:b/>
          <w:caps/>
          <w:sz w:val="24"/>
        </w:rPr>
        <w:t>wireless telecommunications bureau a</w:t>
      </w:r>
      <w:r w:rsidR="00D30603">
        <w:rPr>
          <w:rFonts w:ascii="Times New Roman Bold" w:hAnsi="Times New Roman Bold"/>
          <w:b/>
          <w:caps/>
          <w:sz w:val="24"/>
        </w:rPr>
        <w:t>pproves performance plans of</w:t>
      </w:r>
      <w:r w:rsidR="00CA3C4C">
        <w:rPr>
          <w:rFonts w:ascii="Times New Roman Bold" w:hAnsi="Times New Roman Bold"/>
          <w:b/>
          <w:caps/>
          <w:sz w:val="24"/>
        </w:rPr>
        <w:t xml:space="preserve"> the</w:t>
      </w:r>
      <w:r w:rsidR="00D30603">
        <w:rPr>
          <w:rFonts w:ascii="Times New Roman Bold" w:hAnsi="Times New Roman Bold"/>
          <w:b/>
          <w:caps/>
          <w:sz w:val="24"/>
        </w:rPr>
        <w:t xml:space="preserve"> </w:t>
      </w:r>
      <w:r w:rsidR="00CA3C4C">
        <w:rPr>
          <w:rFonts w:ascii="Times New Roman Bold" w:hAnsi="Times New Roman Bold"/>
          <w:b/>
          <w:caps/>
          <w:sz w:val="24"/>
        </w:rPr>
        <w:t xml:space="preserve">eight </w:t>
      </w:r>
      <w:r w:rsidR="00D30603">
        <w:rPr>
          <w:rFonts w:ascii="Times New Roman Bold" w:hAnsi="Times New Roman Bold"/>
          <w:b/>
          <w:caps/>
          <w:sz w:val="24"/>
        </w:rPr>
        <w:t xml:space="preserve">wireless providers </w:t>
      </w:r>
      <w:r w:rsidR="001C7255">
        <w:rPr>
          <w:rFonts w:ascii="Times New Roman Bold" w:hAnsi="Times New Roman Bold"/>
          <w:b/>
          <w:caps/>
          <w:sz w:val="24"/>
        </w:rPr>
        <w:t xml:space="preserve">that </w:t>
      </w:r>
      <w:r w:rsidR="00D30603">
        <w:rPr>
          <w:rFonts w:ascii="Times New Roman Bold" w:hAnsi="Times New Roman Bold"/>
          <w:b/>
          <w:caps/>
          <w:sz w:val="24"/>
        </w:rPr>
        <w:t>elected to participate in the alaska plan</w:t>
      </w:r>
    </w:p>
    <w:p w:rsidR="00D47505" w:rsidRDefault="00CE6C8E" w:rsidP="00D47505">
      <w:pPr>
        <w:jc w:val="center"/>
        <w:rPr>
          <w:b/>
          <w:sz w:val="24"/>
        </w:rPr>
      </w:pPr>
      <w:r>
        <w:rPr>
          <w:b/>
          <w:sz w:val="24"/>
        </w:rPr>
        <w:t>WC Docket No. 16-271</w:t>
      </w:r>
    </w:p>
    <w:p w:rsidR="00D47505" w:rsidRDefault="00D47505" w:rsidP="00D47505">
      <w:pPr>
        <w:jc w:val="center"/>
        <w:rPr>
          <w:sz w:val="24"/>
        </w:rPr>
      </w:pPr>
    </w:p>
    <w:p w:rsidR="00D30603" w:rsidRDefault="00D30603" w:rsidP="00D30603">
      <w:pPr>
        <w:spacing w:before="120" w:after="240"/>
        <w:ind w:firstLine="720"/>
        <w:rPr>
          <w:sz w:val="24"/>
        </w:rPr>
      </w:pPr>
      <w:r>
        <w:rPr>
          <w:sz w:val="24"/>
        </w:rPr>
        <w:t xml:space="preserve">By this Public Notice, the Wireless Telecommunications Bureau </w:t>
      </w:r>
      <w:r w:rsidR="003C71F9">
        <w:rPr>
          <w:sz w:val="24"/>
        </w:rPr>
        <w:t xml:space="preserve">(Bureau) </w:t>
      </w:r>
      <w:r>
        <w:rPr>
          <w:sz w:val="24"/>
        </w:rPr>
        <w:t xml:space="preserve">approves the performance plans of eight wireless providers </w:t>
      </w:r>
      <w:r w:rsidR="00B743F8">
        <w:rPr>
          <w:sz w:val="24"/>
        </w:rPr>
        <w:t xml:space="preserve">in remote Alaska </w:t>
      </w:r>
      <w:r w:rsidR="00CE3A72">
        <w:rPr>
          <w:sz w:val="24"/>
        </w:rPr>
        <w:t>that</w:t>
      </w:r>
      <w:r>
        <w:rPr>
          <w:sz w:val="24"/>
        </w:rPr>
        <w:t xml:space="preserve"> elected to </w:t>
      </w:r>
      <w:r w:rsidR="00B743F8">
        <w:rPr>
          <w:sz w:val="24"/>
        </w:rPr>
        <w:t xml:space="preserve">receive </w:t>
      </w:r>
      <w:r w:rsidR="006E72E2">
        <w:rPr>
          <w:sz w:val="24"/>
        </w:rPr>
        <w:t>frozen</w:t>
      </w:r>
      <w:r w:rsidR="00B743F8">
        <w:rPr>
          <w:sz w:val="24"/>
        </w:rPr>
        <w:t xml:space="preserve"> high cost support pursuant to the terms provided by the </w:t>
      </w:r>
      <w:r w:rsidR="00B743F8">
        <w:rPr>
          <w:i/>
          <w:sz w:val="24"/>
        </w:rPr>
        <w:t>Alaska Plan Order</w:t>
      </w:r>
      <w:r>
        <w:rPr>
          <w:sz w:val="24"/>
        </w:rPr>
        <w:t>.</w:t>
      </w:r>
      <w:r w:rsidR="00B743F8">
        <w:rPr>
          <w:rStyle w:val="FootnoteReference"/>
        </w:rPr>
        <w:footnoteReference w:id="2"/>
      </w:r>
      <w:r w:rsidR="00CE3A72">
        <w:rPr>
          <w:sz w:val="24"/>
        </w:rPr>
        <w:t xml:space="preserve">  The approved plans are included in Appendix A.</w:t>
      </w:r>
    </w:p>
    <w:p w:rsidR="008D03F6" w:rsidRDefault="00D30603" w:rsidP="00216950">
      <w:pPr>
        <w:spacing w:before="120" w:after="240"/>
        <w:rPr>
          <w:sz w:val="24"/>
        </w:rPr>
      </w:pPr>
      <w:r>
        <w:rPr>
          <w:sz w:val="24"/>
        </w:rPr>
        <w:tab/>
        <w:t xml:space="preserve">On August </w:t>
      </w:r>
      <w:r w:rsidR="0016262E">
        <w:rPr>
          <w:sz w:val="24"/>
        </w:rPr>
        <w:t>23</w:t>
      </w:r>
      <w:r>
        <w:rPr>
          <w:sz w:val="24"/>
        </w:rPr>
        <w:t xml:space="preserve">, 2016, the Commission </w:t>
      </w:r>
      <w:r w:rsidR="00F71CCB">
        <w:rPr>
          <w:sz w:val="24"/>
        </w:rPr>
        <w:t>adopted</w:t>
      </w:r>
      <w:r w:rsidR="0016262E">
        <w:rPr>
          <w:sz w:val="24"/>
        </w:rPr>
        <w:t xml:space="preserve"> the </w:t>
      </w:r>
      <w:r w:rsidR="002819E6">
        <w:rPr>
          <w:i/>
          <w:sz w:val="24"/>
          <w:szCs w:val="24"/>
        </w:rPr>
        <w:t>Alaska Plan Order</w:t>
      </w:r>
      <w:r w:rsidR="00F20E5B" w:rsidRPr="00F20E5B">
        <w:rPr>
          <w:sz w:val="24"/>
          <w:szCs w:val="24"/>
        </w:rPr>
        <w:t xml:space="preserve"> to </w:t>
      </w:r>
      <w:r w:rsidR="00F71CCB">
        <w:rPr>
          <w:sz w:val="24"/>
          <w:szCs w:val="24"/>
        </w:rPr>
        <w:t>provide a</w:t>
      </w:r>
      <w:r w:rsidR="00967E91">
        <w:rPr>
          <w:sz w:val="24"/>
          <w:szCs w:val="24"/>
        </w:rPr>
        <w:t>n integrated</w:t>
      </w:r>
      <w:r w:rsidR="00F71CCB">
        <w:rPr>
          <w:sz w:val="24"/>
          <w:szCs w:val="24"/>
        </w:rPr>
        <w:t xml:space="preserve"> plan for</w:t>
      </w:r>
      <w:r w:rsidR="00F71CCB" w:rsidRPr="00F20E5B">
        <w:rPr>
          <w:sz w:val="24"/>
          <w:szCs w:val="24"/>
        </w:rPr>
        <w:t xml:space="preserve"> </w:t>
      </w:r>
      <w:r w:rsidR="00F71CCB">
        <w:rPr>
          <w:sz w:val="24"/>
          <w:szCs w:val="24"/>
        </w:rPr>
        <w:t xml:space="preserve">high cost support for </w:t>
      </w:r>
      <w:r w:rsidR="00F20E5B" w:rsidRPr="00F20E5B">
        <w:rPr>
          <w:sz w:val="24"/>
          <w:szCs w:val="24"/>
        </w:rPr>
        <w:t xml:space="preserve">both fixed and mobile voice and broadband service in </w:t>
      </w:r>
      <w:r w:rsidR="00F71CCB">
        <w:rPr>
          <w:sz w:val="24"/>
          <w:szCs w:val="24"/>
        </w:rPr>
        <w:t xml:space="preserve">remote </w:t>
      </w:r>
      <w:r w:rsidR="00F20E5B" w:rsidRPr="00F20E5B">
        <w:rPr>
          <w:sz w:val="24"/>
          <w:szCs w:val="24"/>
        </w:rPr>
        <w:t>areas of Alaska</w:t>
      </w:r>
      <w:r w:rsidR="00F71CCB">
        <w:rPr>
          <w:sz w:val="24"/>
          <w:szCs w:val="24"/>
        </w:rPr>
        <w:t xml:space="preserve"> (Alaska Plan)</w:t>
      </w:r>
      <w:r w:rsidR="00F20E5B" w:rsidRPr="00F20E5B">
        <w:rPr>
          <w:sz w:val="24"/>
          <w:szCs w:val="24"/>
        </w:rPr>
        <w:t>, building on a proposal submitted by the Alaska Telephone Association</w:t>
      </w:r>
      <w:r w:rsidR="00EC1ED6">
        <w:rPr>
          <w:sz w:val="24"/>
          <w:szCs w:val="24"/>
        </w:rPr>
        <w:t xml:space="preserve"> (ATA)</w:t>
      </w:r>
      <w:r w:rsidR="00F20E5B">
        <w:rPr>
          <w:sz w:val="24"/>
          <w:szCs w:val="24"/>
        </w:rPr>
        <w:t>.</w:t>
      </w:r>
      <w:r w:rsidR="00EC1ED6" w:rsidRPr="00F20E5B">
        <w:rPr>
          <w:sz w:val="24"/>
          <w:vertAlign w:val="superscript"/>
        </w:rPr>
        <w:footnoteReference w:id="3"/>
      </w:r>
      <w:r w:rsidR="00F20E5B">
        <w:rPr>
          <w:sz w:val="24"/>
          <w:szCs w:val="24"/>
        </w:rPr>
        <w:t xml:space="preserve">  </w:t>
      </w:r>
      <w:r w:rsidR="00F20E5B" w:rsidRPr="00F20E5B">
        <w:rPr>
          <w:sz w:val="24"/>
        </w:rPr>
        <w:t xml:space="preserve">Given the unique climate and geographic conditions of Alaska, </w:t>
      </w:r>
      <w:r w:rsidR="00F20E5B">
        <w:rPr>
          <w:sz w:val="24"/>
        </w:rPr>
        <w:t>the Commission found</w:t>
      </w:r>
      <w:r w:rsidR="00F20E5B" w:rsidRPr="00F20E5B">
        <w:rPr>
          <w:sz w:val="24"/>
        </w:rPr>
        <w:t xml:space="preserve"> that it </w:t>
      </w:r>
      <w:r w:rsidR="00F20E5B">
        <w:rPr>
          <w:sz w:val="24"/>
        </w:rPr>
        <w:t>was</w:t>
      </w:r>
      <w:r w:rsidR="00F20E5B" w:rsidRPr="00F20E5B">
        <w:rPr>
          <w:sz w:val="24"/>
        </w:rPr>
        <w:t xml:space="preserve"> in the public interest to provide Alaskan carriers with the option of receiving fixed amounts of support over the next ten years to deploy and maintain their fixed and mobile networks.</w:t>
      </w:r>
      <w:r w:rsidR="002819E6">
        <w:rPr>
          <w:sz w:val="24"/>
        </w:rPr>
        <w:t xml:space="preserve">  Consis</w:t>
      </w:r>
      <w:r w:rsidR="0095749E">
        <w:rPr>
          <w:sz w:val="24"/>
        </w:rPr>
        <w:t>tent with the proposal</w:t>
      </w:r>
      <w:r w:rsidR="002819E6">
        <w:rPr>
          <w:sz w:val="24"/>
        </w:rPr>
        <w:t xml:space="preserve"> submitted by ATA, the Commission provided that </w:t>
      </w:r>
      <w:r w:rsidR="00F71CCB">
        <w:rPr>
          <w:sz w:val="24"/>
        </w:rPr>
        <w:t xml:space="preserve">eligible </w:t>
      </w:r>
      <w:r w:rsidR="00960DC4">
        <w:rPr>
          <w:sz w:val="24"/>
        </w:rPr>
        <w:t xml:space="preserve">wireless service providers </w:t>
      </w:r>
      <w:r w:rsidR="002819E6">
        <w:rPr>
          <w:sz w:val="24"/>
        </w:rPr>
        <w:t xml:space="preserve">that chose to participate in the Alaska Plan must submit a performance plan </w:t>
      </w:r>
      <w:r w:rsidR="0095749E">
        <w:rPr>
          <w:sz w:val="24"/>
        </w:rPr>
        <w:t xml:space="preserve">meeting </w:t>
      </w:r>
      <w:r w:rsidR="002819E6">
        <w:rPr>
          <w:sz w:val="24"/>
        </w:rPr>
        <w:t xml:space="preserve">requirements specified in the </w:t>
      </w:r>
      <w:r w:rsidR="002819E6">
        <w:rPr>
          <w:i/>
          <w:sz w:val="24"/>
        </w:rPr>
        <w:t>Alaska Plan Order</w:t>
      </w:r>
      <w:r w:rsidR="002819E6">
        <w:rPr>
          <w:sz w:val="24"/>
        </w:rPr>
        <w:t>.</w:t>
      </w:r>
      <w:r w:rsidR="00356236">
        <w:rPr>
          <w:rStyle w:val="FootnoteReference"/>
        </w:rPr>
        <w:footnoteReference w:id="4"/>
      </w:r>
      <w:r w:rsidR="002819E6">
        <w:rPr>
          <w:sz w:val="24"/>
        </w:rPr>
        <w:t xml:space="preserve">  </w:t>
      </w:r>
      <w:r w:rsidR="00B743F8">
        <w:rPr>
          <w:sz w:val="24"/>
        </w:rPr>
        <w:t xml:space="preserve">The Commission delegated authority to </w:t>
      </w:r>
      <w:r w:rsidR="00990EAB">
        <w:rPr>
          <w:sz w:val="24"/>
        </w:rPr>
        <w:t xml:space="preserve">the </w:t>
      </w:r>
      <w:r w:rsidR="00B743F8">
        <w:rPr>
          <w:sz w:val="24"/>
        </w:rPr>
        <w:t>Wireless Telecommunications Bureau to review the plans</w:t>
      </w:r>
      <w:r w:rsidR="007720D1">
        <w:rPr>
          <w:sz w:val="24"/>
        </w:rPr>
        <w:t>, including</w:t>
      </w:r>
      <w:r w:rsidR="0095749E">
        <w:rPr>
          <w:sz w:val="24"/>
        </w:rPr>
        <w:t xml:space="preserve"> any timely filed update</w:t>
      </w:r>
      <w:r w:rsidR="007720D1">
        <w:rPr>
          <w:sz w:val="24"/>
        </w:rPr>
        <w:t>,</w:t>
      </w:r>
      <w:r w:rsidR="0095749E">
        <w:rPr>
          <w:sz w:val="24"/>
        </w:rPr>
        <w:t xml:space="preserve"> and to approve a performance plan by public notice if it found that the </w:t>
      </w:r>
      <w:r w:rsidR="00B743F8" w:rsidRPr="00012CAD">
        <w:rPr>
          <w:sz w:val="24"/>
        </w:rPr>
        <w:t>plan me</w:t>
      </w:r>
      <w:r w:rsidR="00990EAB">
        <w:rPr>
          <w:sz w:val="24"/>
        </w:rPr>
        <w:t>t</w:t>
      </w:r>
      <w:r w:rsidR="00B743F8" w:rsidRPr="00012CAD">
        <w:rPr>
          <w:sz w:val="24"/>
        </w:rPr>
        <w:t xml:space="preserve"> the applicable requirements </w:t>
      </w:r>
      <w:r w:rsidR="00B743F8">
        <w:rPr>
          <w:sz w:val="24"/>
        </w:rPr>
        <w:t>adopted in the</w:t>
      </w:r>
      <w:r w:rsidR="00B743F8" w:rsidRPr="00012CAD">
        <w:rPr>
          <w:sz w:val="24"/>
        </w:rPr>
        <w:t xml:space="preserve"> </w:t>
      </w:r>
      <w:r w:rsidR="00B743F8" w:rsidRPr="000D136A">
        <w:rPr>
          <w:i/>
          <w:sz w:val="24"/>
        </w:rPr>
        <w:t>Alaska Plan Order</w:t>
      </w:r>
      <w:r w:rsidR="00B743F8" w:rsidRPr="00012CAD">
        <w:rPr>
          <w:sz w:val="24"/>
        </w:rPr>
        <w:t xml:space="preserve"> and will serve the public interest</w:t>
      </w:r>
      <w:r w:rsidR="0095749E">
        <w:rPr>
          <w:sz w:val="24"/>
        </w:rPr>
        <w:t>.</w:t>
      </w:r>
      <w:r w:rsidR="00B743F8" w:rsidRPr="00012CAD">
        <w:rPr>
          <w:sz w:val="24"/>
          <w:vertAlign w:val="superscript"/>
        </w:rPr>
        <w:footnoteReference w:id="5"/>
      </w:r>
      <w:r w:rsidR="00356236">
        <w:rPr>
          <w:sz w:val="24"/>
        </w:rPr>
        <w:t xml:space="preserve">  </w:t>
      </w:r>
      <w:r w:rsidR="0095749E">
        <w:rPr>
          <w:sz w:val="24"/>
        </w:rPr>
        <w:t xml:space="preserve"> </w:t>
      </w:r>
      <w:r w:rsidR="00B743F8" w:rsidRPr="00012CAD">
        <w:rPr>
          <w:sz w:val="24"/>
        </w:rPr>
        <w:t xml:space="preserve"> </w:t>
      </w:r>
    </w:p>
    <w:p w:rsidR="00FD7618" w:rsidRDefault="002819E6" w:rsidP="0076451D">
      <w:pPr>
        <w:spacing w:before="120" w:after="240"/>
        <w:ind w:firstLine="720"/>
        <w:rPr>
          <w:sz w:val="24"/>
        </w:rPr>
      </w:pPr>
      <w:r>
        <w:rPr>
          <w:sz w:val="24"/>
        </w:rPr>
        <w:lastRenderedPageBreak/>
        <w:t>E</w:t>
      </w:r>
      <w:r w:rsidR="008D03F6">
        <w:rPr>
          <w:sz w:val="24"/>
        </w:rPr>
        <w:t>ight</w:t>
      </w:r>
      <w:r w:rsidR="00A84101">
        <w:rPr>
          <w:sz w:val="24"/>
        </w:rPr>
        <w:t xml:space="preserve"> competitive eligible telecommunications carriers </w:t>
      </w:r>
      <w:r>
        <w:rPr>
          <w:sz w:val="24"/>
        </w:rPr>
        <w:t xml:space="preserve">(CETCs) </w:t>
      </w:r>
      <w:r w:rsidR="00A84101">
        <w:rPr>
          <w:sz w:val="24"/>
        </w:rPr>
        <w:t xml:space="preserve">providing mobile wireless </w:t>
      </w:r>
      <w:r w:rsidR="00A84101" w:rsidRPr="00244E9C">
        <w:rPr>
          <w:sz w:val="24"/>
          <w:szCs w:val="24"/>
        </w:rPr>
        <w:t xml:space="preserve">service </w:t>
      </w:r>
      <w:r w:rsidR="008D03F6" w:rsidRPr="00244E9C">
        <w:rPr>
          <w:sz w:val="24"/>
          <w:szCs w:val="24"/>
        </w:rPr>
        <w:t xml:space="preserve">in </w:t>
      </w:r>
      <w:r w:rsidR="00D2134A" w:rsidRPr="00244E9C">
        <w:rPr>
          <w:sz w:val="24"/>
          <w:szCs w:val="24"/>
        </w:rPr>
        <w:t>remote</w:t>
      </w:r>
      <w:r w:rsidR="00A84101" w:rsidRPr="00244E9C">
        <w:rPr>
          <w:sz w:val="24"/>
          <w:szCs w:val="24"/>
        </w:rPr>
        <w:t xml:space="preserve"> </w:t>
      </w:r>
      <w:r w:rsidR="008D03F6" w:rsidRPr="00244E9C">
        <w:rPr>
          <w:sz w:val="24"/>
          <w:szCs w:val="24"/>
        </w:rPr>
        <w:t xml:space="preserve">Alaska submitted </w:t>
      </w:r>
      <w:r w:rsidR="0068407C" w:rsidRPr="00244E9C">
        <w:rPr>
          <w:sz w:val="24"/>
          <w:szCs w:val="24"/>
        </w:rPr>
        <w:t xml:space="preserve">proposed </w:t>
      </w:r>
      <w:r w:rsidR="008D03F6" w:rsidRPr="00244E9C">
        <w:rPr>
          <w:sz w:val="24"/>
          <w:szCs w:val="24"/>
        </w:rPr>
        <w:t xml:space="preserve">performance plans </w:t>
      </w:r>
      <w:r w:rsidR="0095749E" w:rsidRPr="00244E9C">
        <w:rPr>
          <w:sz w:val="24"/>
          <w:szCs w:val="24"/>
        </w:rPr>
        <w:t xml:space="preserve">prior to the adoption of the </w:t>
      </w:r>
      <w:r w:rsidR="0095749E" w:rsidRPr="00244E9C">
        <w:rPr>
          <w:i/>
          <w:sz w:val="24"/>
          <w:szCs w:val="24"/>
        </w:rPr>
        <w:t>Alaska Plan Order</w:t>
      </w:r>
      <w:r w:rsidR="0095749E" w:rsidRPr="00244E9C">
        <w:rPr>
          <w:sz w:val="24"/>
          <w:szCs w:val="24"/>
        </w:rPr>
        <w:t xml:space="preserve">, and following its adoption, </w:t>
      </w:r>
      <w:r w:rsidR="0076451D" w:rsidRPr="00244E9C">
        <w:rPr>
          <w:sz w:val="24"/>
          <w:szCs w:val="24"/>
        </w:rPr>
        <w:t xml:space="preserve">have </w:t>
      </w:r>
      <w:r w:rsidR="006E72E2">
        <w:rPr>
          <w:sz w:val="24"/>
          <w:szCs w:val="24"/>
        </w:rPr>
        <w:t xml:space="preserve">timely </w:t>
      </w:r>
      <w:r w:rsidR="0076451D" w:rsidRPr="00244E9C">
        <w:rPr>
          <w:sz w:val="24"/>
          <w:szCs w:val="24"/>
        </w:rPr>
        <w:t>filed revised</w:t>
      </w:r>
      <w:r w:rsidR="00244E9C" w:rsidRPr="00244E9C">
        <w:rPr>
          <w:sz w:val="24"/>
          <w:szCs w:val="24"/>
        </w:rPr>
        <w:t xml:space="preserve"> plans</w:t>
      </w:r>
      <w:r w:rsidR="0095749E" w:rsidRPr="00244E9C">
        <w:rPr>
          <w:sz w:val="24"/>
          <w:szCs w:val="24"/>
        </w:rPr>
        <w:t>.</w:t>
      </w:r>
      <w:r w:rsidR="0068407C" w:rsidRPr="00E56773">
        <w:rPr>
          <w:rStyle w:val="FootnoteReference"/>
          <w:sz w:val="24"/>
          <w:szCs w:val="24"/>
        </w:rPr>
        <w:footnoteReference w:id="6"/>
      </w:r>
      <w:r w:rsidR="0095749E" w:rsidRPr="00244E9C">
        <w:rPr>
          <w:sz w:val="24"/>
          <w:szCs w:val="24"/>
        </w:rPr>
        <w:t xml:space="preserve">  </w:t>
      </w:r>
      <w:r w:rsidR="003919BB">
        <w:rPr>
          <w:sz w:val="24"/>
          <w:szCs w:val="24"/>
        </w:rPr>
        <w:t xml:space="preserve">As required by the </w:t>
      </w:r>
      <w:r w:rsidR="003919BB">
        <w:rPr>
          <w:i/>
          <w:sz w:val="24"/>
          <w:szCs w:val="24"/>
        </w:rPr>
        <w:t>Alaska Plan Order</w:t>
      </w:r>
      <w:r w:rsidR="003919BB">
        <w:rPr>
          <w:sz w:val="24"/>
          <w:szCs w:val="24"/>
        </w:rPr>
        <w:t>, we treat the filing of such plans as an election by the respective carriers to participate in the Alaska Plan.</w:t>
      </w:r>
      <w:r w:rsidR="003919BB">
        <w:rPr>
          <w:rStyle w:val="FootnoteReference"/>
          <w:szCs w:val="24"/>
        </w:rPr>
        <w:footnoteReference w:id="7"/>
      </w:r>
      <w:r w:rsidR="003919BB">
        <w:rPr>
          <w:sz w:val="24"/>
          <w:szCs w:val="24"/>
        </w:rPr>
        <w:t xml:space="preserve"> </w:t>
      </w:r>
      <w:r w:rsidR="003919BB">
        <w:rPr>
          <w:i/>
          <w:sz w:val="24"/>
          <w:szCs w:val="24"/>
        </w:rPr>
        <w:t xml:space="preserve"> </w:t>
      </w:r>
      <w:r w:rsidR="009E08B9" w:rsidRPr="00244E9C">
        <w:rPr>
          <w:sz w:val="24"/>
          <w:szCs w:val="24"/>
        </w:rPr>
        <w:t xml:space="preserve">Based on these commitments, over 131,000 more consumers in remote Alaska will have access to mobile broadband service at the end of 10 years, including over 120,000 that will receive 4G LTE service.  </w:t>
      </w:r>
      <w:r w:rsidR="009E08B9">
        <w:rPr>
          <w:sz w:val="24"/>
          <w:szCs w:val="24"/>
        </w:rPr>
        <w:t>A</w:t>
      </w:r>
      <w:r w:rsidR="00356236">
        <w:rPr>
          <w:sz w:val="24"/>
          <w:szCs w:val="24"/>
        </w:rPr>
        <w:t>fter review, w</w:t>
      </w:r>
      <w:r w:rsidR="005E73AC" w:rsidRPr="00244E9C">
        <w:rPr>
          <w:sz w:val="24"/>
          <w:szCs w:val="24"/>
        </w:rPr>
        <w:t xml:space="preserve">e find that </w:t>
      </w:r>
      <w:r w:rsidR="00E53DA4">
        <w:rPr>
          <w:sz w:val="24"/>
          <w:szCs w:val="24"/>
        </w:rPr>
        <w:t xml:space="preserve">the </w:t>
      </w:r>
      <w:r w:rsidR="0076451D" w:rsidRPr="00244E9C">
        <w:rPr>
          <w:sz w:val="24"/>
          <w:szCs w:val="24"/>
        </w:rPr>
        <w:t xml:space="preserve">revised </w:t>
      </w:r>
      <w:r w:rsidR="005E73AC" w:rsidRPr="00244E9C">
        <w:rPr>
          <w:sz w:val="24"/>
          <w:szCs w:val="24"/>
        </w:rPr>
        <w:t xml:space="preserve">plans </w:t>
      </w:r>
      <w:r w:rsidR="008130F9" w:rsidRPr="00244E9C">
        <w:rPr>
          <w:sz w:val="24"/>
          <w:szCs w:val="24"/>
        </w:rPr>
        <w:t xml:space="preserve">meet the requirements of the </w:t>
      </w:r>
      <w:r w:rsidR="008130F9" w:rsidRPr="00244E9C">
        <w:rPr>
          <w:i/>
          <w:sz w:val="24"/>
          <w:szCs w:val="24"/>
        </w:rPr>
        <w:t>Alaska Plan Order</w:t>
      </w:r>
      <w:r w:rsidR="00107D9E" w:rsidRPr="00244E9C">
        <w:rPr>
          <w:sz w:val="24"/>
          <w:szCs w:val="24"/>
        </w:rPr>
        <w:t xml:space="preserve"> </w:t>
      </w:r>
      <w:r w:rsidR="008130F9" w:rsidRPr="00244E9C">
        <w:rPr>
          <w:sz w:val="24"/>
          <w:szCs w:val="24"/>
        </w:rPr>
        <w:t xml:space="preserve">and will </w:t>
      </w:r>
      <w:r w:rsidR="005E73AC" w:rsidRPr="00244E9C">
        <w:rPr>
          <w:sz w:val="24"/>
          <w:szCs w:val="24"/>
        </w:rPr>
        <w:t>serve the public interest</w:t>
      </w:r>
      <w:r w:rsidR="00511549">
        <w:rPr>
          <w:sz w:val="24"/>
          <w:szCs w:val="24"/>
        </w:rPr>
        <w:t xml:space="preserve">.  The plans </w:t>
      </w:r>
      <w:r w:rsidR="00AE4C7F">
        <w:rPr>
          <w:sz w:val="24"/>
        </w:rPr>
        <w:t xml:space="preserve">extend 4G LTE </w:t>
      </w:r>
      <w:r w:rsidR="001F6B30">
        <w:rPr>
          <w:sz w:val="24"/>
        </w:rPr>
        <w:t xml:space="preserve">broadband service </w:t>
      </w:r>
      <w:r w:rsidR="00AE4C7F">
        <w:rPr>
          <w:sz w:val="24"/>
        </w:rPr>
        <w:t xml:space="preserve">to remote areas of Alaska where possible </w:t>
      </w:r>
      <w:r w:rsidR="00E53DA4">
        <w:rPr>
          <w:sz w:val="24"/>
        </w:rPr>
        <w:t>and</w:t>
      </w:r>
      <w:r w:rsidR="00AE4C7F">
        <w:rPr>
          <w:sz w:val="24"/>
        </w:rPr>
        <w:t xml:space="preserve"> </w:t>
      </w:r>
      <w:r w:rsidR="00225289">
        <w:rPr>
          <w:sz w:val="24"/>
        </w:rPr>
        <w:t xml:space="preserve">otherwise improve or </w:t>
      </w:r>
      <w:r w:rsidR="00511549">
        <w:rPr>
          <w:sz w:val="24"/>
        </w:rPr>
        <w:t>retain</w:t>
      </w:r>
      <w:r w:rsidR="00E53DA4">
        <w:rPr>
          <w:sz w:val="24"/>
        </w:rPr>
        <w:t xml:space="preserve"> </w:t>
      </w:r>
      <w:r w:rsidR="00AE4C7F">
        <w:rPr>
          <w:sz w:val="24"/>
        </w:rPr>
        <w:t>critical service</w:t>
      </w:r>
      <w:r w:rsidR="00244E9C" w:rsidRPr="00244E9C">
        <w:rPr>
          <w:sz w:val="24"/>
          <w:szCs w:val="24"/>
        </w:rPr>
        <w:t>.</w:t>
      </w:r>
      <w:r w:rsidR="00107D9E" w:rsidRPr="00E56773">
        <w:rPr>
          <w:rStyle w:val="FootnoteReference"/>
          <w:sz w:val="24"/>
          <w:szCs w:val="24"/>
        </w:rPr>
        <w:footnoteReference w:id="8"/>
      </w:r>
      <w:r w:rsidR="00107D9E" w:rsidRPr="00244E9C">
        <w:rPr>
          <w:sz w:val="24"/>
          <w:szCs w:val="24"/>
        </w:rPr>
        <w:t xml:space="preserve">  </w:t>
      </w:r>
      <w:r w:rsidR="00984687" w:rsidRPr="00244E9C">
        <w:rPr>
          <w:sz w:val="24"/>
          <w:szCs w:val="24"/>
        </w:rPr>
        <w:t>Accordingly</w:t>
      </w:r>
      <w:r w:rsidR="00107D9E" w:rsidRPr="00244E9C">
        <w:rPr>
          <w:sz w:val="24"/>
          <w:szCs w:val="24"/>
        </w:rPr>
        <w:t xml:space="preserve">, we </w:t>
      </w:r>
      <w:r w:rsidR="00984687" w:rsidRPr="00244E9C">
        <w:rPr>
          <w:sz w:val="24"/>
          <w:szCs w:val="24"/>
        </w:rPr>
        <w:t xml:space="preserve">approve </w:t>
      </w:r>
      <w:r w:rsidR="00BD5604" w:rsidRPr="00244E9C">
        <w:rPr>
          <w:sz w:val="24"/>
          <w:szCs w:val="24"/>
        </w:rPr>
        <w:t xml:space="preserve">each of </w:t>
      </w:r>
      <w:r w:rsidR="00FD5406" w:rsidRPr="00244E9C">
        <w:rPr>
          <w:sz w:val="24"/>
          <w:szCs w:val="24"/>
        </w:rPr>
        <w:t xml:space="preserve">the </w:t>
      </w:r>
      <w:r w:rsidR="0076451D" w:rsidRPr="00244E9C">
        <w:rPr>
          <w:sz w:val="24"/>
          <w:szCs w:val="24"/>
        </w:rPr>
        <w:t xml:space="preserve">revised </w:t>
      </w:r>
      <w:r w:rsidR="00984687" w:rsidRPr="00244E9C">
        <w:rPr>
          <w:sz w:val="24"/>
          <w:szCs w:val="24"/>
        </w:rPr>
        <w:t xml:space="preserve">performance plans </w:t>
      </w:r>
      <w:r w:rsidR="00403039" w:rsidRPr="00244E9C">
        <w:rPr>
          <w:sz w:val="24"/>
          <w:szCs w:val="24"/>
        </w:rPr>
        <w:t>from</w:t>
      </w:r>
      <w:r w:rsidR="00984687" w:rsidRPr="00244E9C">
        <w:rPr>
          <w:sz w:val="24"/>
          <w:szCs w:val="24"/>
        </w:rPr>
        <w:t xml:space="preserve"> these</w:t>
      </w:r>
      <w:r w:rsidR="00984687">
        <w:rPr>
          <w:sz w:val="24"/>
        </w:rPr>
        <w:t xml:space="preserve"> </w:t>
      </w:r>
      <w:r w:rsidR="00541601">
        <w:rPr>
          <w:sz w:val="24"/>
        </w:rPr>
        <w:t>CETCs</w:t>
      </w:r>
      <w:r w:rsidR="00E0356C">
        <w:rPr>
          <w:sz w:val="24"/>
        </w:rPr>
        <w:t xml:space="preserve">, and we </w:t>
      </w:r>
      <w:r w:rsidR="00107D9E">
        <w:rPr>
          <w:sz w:val="24"/>
        </w:rPr>
        <w:t>direct</w:t>
      </w:r>
      <w:r w:rsidR="00E762C5">
        <w:rPr>
          <w:sz w:val="24"/>
        </w:rPr>
        <w:t xml:space="preserve"> the Universal Service Administrative Company (</w:t>
      </w:r>
      <w:r w:rsidR="008F259C">
        <w:rPr>
          <w:sz w:val="24"/>
        </w:rPr>
        <w:t>USAC</w:t>
      </w:r>
      <w:r w:rsidR="00E762C5">
        <w:rPr>
          <w:sz w:val="24"/>
        </w:rPr>
        <w:t>)</w:t>
      </w:r>
      <w:r w:rsidR="008F259C">
        <w:rPr>
          <w:sz w:val="24"/>
        </w:rPr>
        <w:t xml:space="preserve"> to obligate and disburse </w:t>
      </w:r>
      <w:r w:rsidR="00541601">
        <w:rPr>
          <w:sz w:val="24"/>
        </w:rPr>
        <w:t xml:space="preserve">frozen </w:t>
      </w:r>
      <w:r w:rsidR="008F259C">
        <w:rPr>
          <w:sz w:val="24"/>
        </w:rPr>
        <w:t>support</w:t>
      </w:r>
      <w:r w:rsidR="00541601">
        <w:rPr>
          <w:sz w:val="24"/>
        </w:rPr>
        <w:t xml:space="preserve"> as provided under the </w:t>
      </w:r>
      <w:r w:rsidR="008F3B6B">
        <w:rPr>
          <w:i/>
          <w:sz w:val="24"/>
        </w:rPr>
        <w:t>Alaska Plan Order</w:t>
      </w:r>
      <w:r w:rsidR="00541601">
        <w:rPr>
          <w:sz w:val="24"/>
        </w:rPr>
        <w:t xml:space="preserve">, starting January 1, 2017, </w:t>
      </w:r>
      <w:r w:rsidR="00FD5406">
        <w:rPr>
          <w:sz w:val="24"/>
        </w:rPr>
        <w:t>to each of th</w:t>
      </w:r>
      <w:r w:rsidR="00187AD4">
        <w:rPr>
          <w:sz w:val="24"/>
        </w:rPr>
        <w:t>e</w:t>
      </w:r>
      <w:r w:rsidR="00541601">
        <w:rPr>
          <w:sz w:val="24"/>
        </w:rPr>
        <w:t>se CETCs</w:t>
      </w:r>
      <w:r w:rsidR="00AD264D">
        <w:rPr>
          <w:sz w:val="24"/>
        </w:rPr>
        <w:t>, subject to the following condition</w:t>
      </w:r>
      <w:r w:rsidR="009E08B9">
        <w:rPr>
          <w:sz w:val="24"/>
        </w:rPr>
        <w:t xml:space="preserve"> set out in that Order</w:t>
      </w:r>
      <w:r w:rsidR="00AD264D">
        <w:rPr>
          <w:sz w:val="24"/>
        </w:rPr>
        <w:t xml:space="preserve">: an </w:t>
      </w:r>
      <w:r w:rsidR="009F2982">
        <w:rPr>
          <w:sz w:val="24"/>
        </w:rPr>
        <w:t xml:space="preserve">officer of the company </w:t>
      </w:r>
      <w:r w:rsidR="00AD264D">
        <w:rPr>
          <w:sz w:val="24"/>
        </w:rPr>
        <w:t xml:space="preserve">must submit a letter </w:t>
      </w:r>
      <w:r w:rsidR="008F259C" w:rsidRPr="008F259C">
        <w:rPr>
          <w:sz w:val="24"/>
        </w:rPr>
        <w:t xml:space="preserve">in WC Docket No. 16-271 </w:t>
      </w:r>
      <w:r w:rsidR="00CC50E1">
        <w:rPr>
          <w:sz w:val="24"/>
        </w:rPr>
        <w:t>by December 29</w:t>
      </w:r>
      <w:r w:rsidR="00EB272B">
        <w:rPr>
          <w:sz w:val="24"/>
        </w:rPr>
        <w:t>, 2016</w:t>
      </w:r>
      <w:r w:rsidR="00541601">
        <w:rPr>
          <w:sz w:val="24"/>
        </w:rPr>
        <w:t xml:space="preserve">, </w:t>
      </w:r>
      <w:r w:rsidR="008F259C" w:rsidRPr="008F259C">
        <w:rPr>
          <w:sz w:val="24"/>
        </w:rPr>
        <w:t>certifying that the carrier will comply with the public interest obligations adopted in th</w:t>
      </w:r>
      <w:r w:rsidR="005C3F62">
        <w:rPr>
          <w:sz w:val="24"/>
        </w:rPr>
        <w:t>e</w:t>
      </w:r>
      <w:r w:rsidR="008F259C" w:rsidRPr="008F259C">
        <w:rPr>
          <w:sz w:val="24"/>
        </w:rPr>
        <w:t xml:space="preserve"> </w:t>
      </w:r>
      <w:r w:rsidR="008F259C" w:rsidRPr="005C3F62">
        <w:rPr>
          <w:i/>
          <w:sz w:val="24"/>
        </w:rPr>
        <w:t>Alaska Plan Order</w:t>
      </w:r>
      <w:r w:rsidR="008F259C" w:rsidRPr="008F259C">
        <w:rPr>
          <w:sz w:val="24"/>
        </w:rPr>
        <w:t xml:space="preserve"> and the deployment obligations set forth in the a</w:t>
      </w:r>
      <w:r w:rsidR="00541601">
        <w:rPr>
          <w:sz w:val="24"/>
        </w:rPr>
        <w:t>pproved</w:t>
      </w:r>
      <w:r w:rsidR="008F259C" w:rsidRPr="008F259C">
        <w:rPr>
          <w:sz w:val="24"/>
        </w:rPr>
        <w:t xml:space="preserve"> performance plan</w:t>
      </w:r>
      <w:r w:rsidR="00541601">
        <w:rPr>
          <w:sz w:val="24"/>
        </w:rPr>
        <w:t>.</w:t>
      </w:r>
      <w:r w:rsidR="009F2982">
        <w:rPr>
          <w:rStyle w:val="FootnoteReference"/>
        </w:rPr>
        <w:footnoteReference w:id="9"/>
      </w:r>
      <w:r w:rsidR="008F259C" w:rsidRPr="008F259C">
        <w:rPr>
          <w:sz w:val="24"/>
        </w:rPr>
        <w:t xml:space="preserve"> </w:t>
      </w:r>
    </w:p>
    <w:p w:rsidR="004160AE" w:rsidRDefault="004160AE" w:rsidP="001B7C22">
      <w:pPr>
        <w:spacing w:before="120" w:after="240"/>
        <w:ind w:firstLine="720"/>
        <w:rPr>
          <w:sz w:val="24"/>
        </w:rPr>
      </w:pPr>
      <w:r w:rsidRPr="004160AE">
        <w:rPr>
          <w:i/>
          <w:iCs/>
          <w:sz w:val="24"/>
        </w:rPr>
        <w:lastRenderedPageBreak/>
        <w:t>Additional Information</w:t>
      </w:r>
      <w:r w:rsidRPr="004160AE">
        <w:rPr>
          <w:sz w:val="24"/>
        </w:rPr>
        <w:t>.  For additional information on this proceeding, contact Matthew Warner of the Wireless Telecommunications Bureau, Competition and Infrastructure Policy Division, Matthew.Warner@fcc.gov, (202) 418-2419, or Audra Hale-Maddox of the Wireless Telecommunications Bureau, Auctions and Spectrum Access Division, Audra.Hale-Maddox@fcc.gov, (202) 418-0794.</w:t>
      </w:r>
    </w:p>
    <w:p w:rsidR="00F61E45" w:rsidRDefault="004669E4" w:rsidP="002F60FF">
      <w:pPr>
        <w:spacing w:before="120" w:after="240"/>
        <w:jc w:val="center"/>
        <w:rPr>
          <w:b/>
          <w:sz w:val="24"/>
        </w:rPr>
      </w:pPr>
      <w:r>
        <w:rPr>
          <w:b/>
          <w:sz w:val="24"/>
        </w:rPr>
        <w:t>- FCC -</w:t>
      </w:r>
    </w:p>
    <w:p w:rsidR="00F61E45" w:rsidRDefault="00F61E45">
      <w:pPr>
        <w:widowControl/>
        <w:rPr>
          <w:b/>
          <w:sz w:val="24"/>
        </w:rPr>
      </w:pPr>
      <w:r>
        <w:rPr>
          <w:b/>
          <w:sz w:val="24"/>
        </w:rPr>
        <w:br w:type="page"/>
      </w:r>
    </w:p>
    <w:p w:rsidR="002F60FF" w:rsidRDefault="00F61E45" w:rsidP="002F60FF">
      <w:pPr>
        <w:spacing w:before="120" w:after="240"/>
        <w:jc w:val="center"/>
        <w:rPr>
          <w:b/>
          <w:sz w:val="24"/>
        </w:rPr>
      </w:pPr>
      <w:r>
        <w:rPr>
          <w:b/>
          <w:sz w:val="24"/>
        </w:rPr>
        <w:t>Appendix A: Approved Performance Commitments</w:t>
      </w:r>
    </w:p>
    <w:p w:rsidR="005D1EDC" w:rsidRDefault="005D1EDC" w:rsidP="005D1EDC">
      <w:pPr>
        <w:spacing w:before="120" w:after="240"/>
        <w:rPr>
          <w:b/>
          <w:sz w:val="24"/>
        </w:rPr>
      </w:pPr>
      <w:r>
        <w:rPr>
          <w:b/>
          <w:sz w:val="24"/>
        </w:rPr>
        <w:t xml:space="preserve">1. </w:t>
      </w:r>
      <w:r w:rsidR="00354B6C">
        <w:rPr>
          <w:b/>
          <w:sz w:val="24"/>
        </w:rPr>
        <w:t>Ar</w:t>
      </w:r>
      <w:r w:rsidR="00E53DA4">
        <w:rPr>
          <w:b/>
          <w:sz w:val="24"/>
        </w:rPr>
        <w:t>c</w:t>
      </w:r>
      <w:r w:rsidR="00354B6C">
        <w:rPr>
          <w:b/>
          <w:sz w:val="24"/>
        </w:rPr>
        <w:t>tic Slope Telephone Association Cooperative (</w:t>
      </w:r>
      <w:r>
        <w:rPr>
          <w:b/>
          <w:sz w:val="24"/>
        </w:rPr>
        <w:t>ASTAC</w:t>
      </w:r>
      <w:r w:rsidR="00354B6C">
        <w:rPr>
          <w:b/>
          <w:sz w:val="24"/>
        </w:rPr>
        <w:t>)</w:t>
      </w:r>
      <w:r w:rsidR="007153B3">
        <w:rPr>
          <w:b/>
          <w:sz w:val="24"/>
        </w:rPr>
        <w:t xml:space="preserve"> </w:t>
      </w:r>
    </w:p>
    <w:p w:rsidR="00354B6C" w:rsidRDefault="00880D18" w:rsidP="005D1EDC">
      <w:pPr>
        <w:spacing w:before="120" w:after="240"/>
        <w:rPr>
          <w:b/>
          <w:sz w:val="24"/>
        </w:rPr>
      </w:pPr>
      <w:r>
        <w:rPr>
          <w:b/>
          <w:noProof/>
          <w:snapToGrid/>
          <w:sz w:val="24"/>
        </w:rPr>
        <w:drawing>
          <wp:inline distT="0" distB="0" distL="0" distR="0">
            <wp:extent cx="5943600" cy="266039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60399"/>
                    </a:xfrm>
                    <a:prstGeom prst="rect">
                      <a:avLst/>
                    </a:prstGeom>
                    <a:noFill/>
                    <a:ln>
                      <a:noFill/>
                    </a:ln>
                  </pic:spPr>
                </pic:pic>
              </a:graphicData>
            </a:graphic>
          </wp:inline>
        </w:drawing>
      </w:r>
    </w:p>
    <w:p w:rsidR="005D1EDC" w:rsidRDefault="005D1EDC" w:rsidP="005D1EDC">
      <w:pPr>
        <w:spacing w:before="120" w:after="240"/>
        <w:rPr>
          <w:b/>
          <w:sz w:val="24"/>
        </w:rPr>
      </w:pPr>
    </w:p>
    <w:p w:rsidR="005D1EDC" w:rsidRDefault="005D1EDC" w:rsidP="005D1EDC">
      <w:pPr>
        <w:spacing w:before="120" w:after="240"/>
        <w:rPr>
          <w:b/>
          <w:sz w:val="24"/>
        </w:rPr>
      </w:pPr>
      <w:r>
        <w:rPr>
          <w:b/>
          <w:sz w:val="24"/>
        </w:rPr>
        <w:t>2. Bristol Bay Cellular</w:t>
      </w:r>
      <w:r w:rsidR="007153B3">
        <w:rPr>
          <w:b/>
          <w:sz w:val="24"/>
        </w:rPr>
        <w:t xml:space="preserve"> </w:t>
      </w:r>
    </w:p>
    <w:p w:rsidR="005D1EDC" w:rsidRDefault="00565808" w:rsidP="005D1EDC">
      <w:pPr>
        <w:spacing w:before="120" w:after="240"/>
        <w:rPr>
          <w:b/>
          <w:sz w:val="24"/>
        </w:rPr>
      </w:pPr>
      <w:r>
        <w:rPr>
          <w:noProof/>
          <w:snapToGrid/>
        </w:rPr>
        <w:drawing>
          <wp:inline distT="0" distB="0" distL="0" distR="0" wp14:anchorId="767EE848" wp14:editId="4D370A23">
            <wp:extent cx="5943600"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85950"/>
                    </a:xfrm>
                    <a:prstGeom prst="rect">
                      <a:avLst/>
                    </a:prstGeom>
                  </pic:spPr>
                </pic:pic>
              </a:graphicData>
            </a:graphic>
          </wp:inline>
        </w:drawing>
      </w:r>
    </w:p>
    <w:p w:rsidR="005D1EDC" w:rsidRDefault="005D1EDC" w:rsidP="005D1EDC">
      <w:pPr>
        <w:spacing w:before="120" w:after="240"/>
        <w:rPr>
          <w:b/>
          <w:sz w:val="24"/>
        </w:rPr>
      </w:pPr>
    </w:p>
    <w:p w:rsidR="00135416" w:rsidRDefault="00135416">
      <w:pPr>
        <w:widowControl/>
        <w:rPr>
          <w:b/>
          <w:sz w:val="24"/>
        </w:rPr>
      </w:pPr>
      <w:r>
        <w:rPr>
          <w:b/>
          <w:sz w:val="24"/>
        </w:rPr>
        <w:br w:type="page"/>
      </w:r>
    </w:p>
    <w:p w:rsidR="00135416" w:rsidRDefault="005D1EDC" w:rsidP="005D1EDC">
      <w:pPr>
        <w:spacing w:before="120" w:after="240"/>
        <w:rPr>
          <w:b/>
          <w:sz w:val="24"/>
        </w:rPr>
      </w:pPr>
      <w:r>
        <w:rPr>
          <w:b/>
          <w:sz w:val="24"/>
        </w:rPr>
        <w:t xml:space="preserve">3. </w:t>
      </w:r>
      <w:r w:rsidR="00135416">
        <w:rPr>
          <w:b/>
          <w:sz w:val="24"/>
        </w:rPr>
        <w:t>Copper Valley Wireless</w:t>
      </w:r>
    </w:p>
    <w:p w:rsidR="00135416" w:rsidRDefault="00135416" w:rsidP="005D1EDC">
      <w:pPr>
        <w:spacing w:before="120" w:after="240"/>
        <w:rPr>
          <w:b/>
          <w:sz w:val="24"/>
        </w:rPr>
      </w:pPr>
      <w:r>
        <w:rPr>
          <w:noProof/>
          <w:snapToGrid/>
        </w:rPr>
        <w:drawing>
          <wp:inline distT="0" distB="0" distL="0" distR="0" wp14:anchorId="73FAF342" wp14:editId="7D531CF0">
            <wp:extent cx="5943600" cy="1970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70405"/>
                    </a:xfrm>
                    <a:prstGeom prst="rect">
                      <a:avLst/>
                    </a:prstGeom>
                  </pic:spPr>
                </pic:pic>
              </a:graphicData>
            </a:graphic>
          </wp:inline>
        </w:drawing>
      </w:r>
    </w:p>
    <w:p w:rsidR="00135416" w:rsidRDefault="00135416" w:rsidP="005D1EDC">
      <w:pPr>
        <w:spacing w:before="120" w:after="240"/>
        <w:rPr>
          <w:b/>
          <w:sz w:val="24"/>
        </w:rPr>
      </w:pPr>
      <w:r>
        <w:rPr>
          <w:b/>
          <w:sz w:val="24"/>
        </w:rPr>
        <w:t>4. Cordova Wireless</w:t>
      </w:r>
    </w:p>
    <w:p w:rsidR="00135416" w:rsidRDefault="00135416" w:rsidP="005D1EDC">
      <w:pPr>
        <w:spacing w:before="120" w:after="240"/>
        <w:rPr>
          <w:b/>
          <w:sz w:val="24"/>
        </w:rPr>
      </w:pPr>
      <w:r>
        <w:rPr>
          <w:noProof/>
          <w:snapToGrid/>
        </w:rPr>
        <w:drawing>
          <wp:inline distT="0" distB="0" distL="0" distR="0" wp14:anchorId="788A2E07" wp14:editId="6814B2B5">
            <wp:extent cx="5943600" cy="1957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57070"/>
                    </a:xfrm>
                    <a:prstGeom prst="rect">
                      <a:avLst/>
                    </a:prstGeom>
                  </pic:spPr>
                </pic:pic>
              </a:graphicData>
            </a:graphic>
          </wp:inline>
        </w:drawing>
      </w:r>
    </w:p>
    <w:p w:rsidR="00F61E45" w:rsidRDefault="00135416" w:rsidP="005D1EDC">
      <w:pPr>
        <w:spacing w:before="120" w:after="240"/>
        <w:rPr>
          <w:b/>
          <w:sz w:val="24"/>
        </w:rPr>
      </w:pPr>
      <w:r>
        <w:rPr>
          <w:b/>
          <w:sz w:val="24"/>
        </w:rPr>
        <w:t xml:space="preserve">5. </w:t>
      </w:r>
      <w:r w:rsidR="005D1EDC">
        <w:rPr>
          <w:b/>
          <w:sz w:val="24"/>
        </w:rPr>
        <w:t>GCI</w:t>
      </w:r>
    </w:p>
    <w:p w:rsidR="00F61E45" w:rsidRDefault="00F61E45" w:rsidP="002F60FF">
      <w:pPr>
        <w:spacing w:before="120" w:after="240"/>
        <w:jc w:val="center"/>
        <w:rPr>
          <w:b/>
          <w:sz w:val="24"/>
        </w:rPr>
      </w:pPr>
      <w:r>
        <w:rPr>
          <w:noProof/>
          <w:snapToGrid/>
        </w:rPr>
        <w:drawing>
          <wp:inline distT="0" distB="0" distL="0" distR="0" wp14:anchorId="7D18C6CE" wp14:editId="3A8FD31C">
            <wp:extent cx="594360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124200"/>
                    </a:xfrm>
                    <a:prstGeom prst="rect">
                      <a:avLst/>
                    </a:prstGeom>
                  </pic:spPr>
                </pic:pic>
              </a:graphicData>
            </a:graphic>
          </wp:inline>
        </w:drawing>
      </w:r>
    </w:p>
    <w:p w:rsidR="00F61E45" w:rsidRDefault="00135416" w:rsidP="00AD2632">
      <w:pPr>
        <w:spacing w:before="120" w:after="240"/>
        <w:rPr>
          <w:b/>
          <w:sz w:val="24"/>
        </w:rPr>
      </w:pPr>
      <w:r>
        <w:rPr>
          <w:b/>
          <w:sz w:val="24"/>
        </w:rPr>
        <w:t>6. OTZ Wireless</w:t>
      </w:r>
      <w:r w:rsidR="006D21AF">
        <w:rPr>
          <w:b/>
          <w:sz w:val="24"/>
        </w:rPr>
        <w:t xml:space="preserve"> </w:t>
      </w:r>
    </w:p>
    <w:p w:rsidR="00135416" w:rsidRDefault="00C76D49" w:rsidP="00AD2632">
      <w:pPr>
        <w:spacing w:before="120" w:after="240"/>
        <w:rPr>
          <w:b/>
          <w:sz w:val="24"/>
        </w:rPr>
      </w:pPr>
      <w:r>
        <w:rPr>
          <w:b/>
          <w:noProof/>
          <w:snapToGrid/>
          <w:sz w:val="24"/>
        </w:rPr>
        <w:drawing>
          <wp:inline distT="0" distB="0" distL="0" distR="0">
            <wp:extent cx="5943600" cy="163516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635168"/>
                    </a:xfrm>
                    <a:prstGeom prst="rect">
                      <a:avLst/>
                    </a:prstGeom>
                    <a:noFill/>
                    <a:ln>
                      <a:noFill/>
                    </a:ln>
                  </pic:spPr>
                </pic:pic>
              </a:graphicData>
            </a:graphic>
          </wp:inline>
        </w:drawing>
      </w:r>
    </w:p>
    <w:p w:rsidR="00135416" w:rsidRDefault="00135416" w:rsidP="00AD2632">
      <w:pPr>
        <w:spacing w:before="120" w:after="240"/>
        <w:rPr>
          <w:b/>
          <w:sz w:val="24"/>
        </w:rPr>
      </w:pPr>
      <w:r>
        <w:rPr>
          <w:b/>
          <w:sz w:val="24"/>
        </w:rPr>
        <w:t>7. TelAlaska Cellular</w:t>
      </w:r>
      <w:r w:rsidR="006D21AF">
        <w:rPr>
          <w:b/>
          <w:sz w:val="24"/>
        </w:rPr>
        <w:t xml:space="preserve"> </w:t>
      </w:r>
    </w:p>
    <w:p w:rsidR="00135416" w:rsidRDefault="0070782F" w:rsidP="00AD2632">
      <w:pPr>
        <w:spacing w:before="120" w:after="240"/>
        <w:rPr>
          <w:b/>
          <w:sz w:val="24"/>
        </w:rPr>
      </w:pPr>
      <w:r>
        <w:rPr>
          <w:b/>
          <w:noProof/>
          <w:snapToGrid/>
          <w:sz w:val="24"/>
        </w:rPr>
        <w:drawing>
          <wp:inline distT="0" distB="0" distL="0" distR="0">
            <wp:extent cx="5943600" cy="218779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187790"/>
                    </a:xfrm>
                    <a:prstGeom prst="rect">
                      <a:avLst/>
                    </a:prstGeom>
                    <a:noFill/>
                    <a:ln>
                      <a:noFill/>
                    </a:ln>
                  </pic:spPr>
                </pic:pic>
              </a:graphicData>
            </a:graphic>
          </wp:inline>
        </w:drawing>
      </w:r>
    </w:p>
    <w:p w:rsidR="00135416" w:rsidRDefault="00135416" w:rsidP="00AD2632">
      <w:pPr>
        <w:spacing w:before="120" w:after="240"/>
        <w:rPr>
          <w:b/>
          <w:sz w:val="24"/>
        </w:rPr>
      </w:pPr>
      <w:r>
        <w:rPr>
          <w:b/>
          <w:sz w:val="24"/>
        </w:rPr>
        <w:t>8. Windy City Cellular</w:t>
      </w:r>
    </w:p>
    <w:p w:rsidR="00135416" w:rsidRDefault="00135416" w:rsidP="00AD2632">
      <w:pPr>
        <w:spacing w:before="120" w:after="240"/>
        <w:rPr>
          <w:b/>
          <w:sz w:val="24"/>
        </w:rPr>
      </w:pPr>
      <w:r>
        <w:rPr>
          <w:noProof/>
          <w:snapToGrid/>
        </w:rPr>
        <w:drawing>
          <wp:inline distT="0" distB="0" distL="0" distR="0" wp14:anchorId="7E374AAE" wp14:editId="2A38FACF">
            <wp:extent cx="594360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276350"/>
                    </a:xfrm>
                    <a:prstGeom prst="rect">
                      <a:avLst/>
                    </a:prstGeom>
                  </pic:spPr>
                </pic:pic>
              </a:graphicData>
            </a:graphic>
          </wp:inline>
        </w:drawing>
      </w:r>
    </w:p>
    <w:p w:rsidR="00135416" w:rsidRPr="004669E4" w:rsidRDefault="00135416" w:rsidP="00AD2632">
      <w:pPr>
        <w:spacing w:before="120" w:after="240"/>
        <w:rPr>
          <w:b/>
          <w:sz w:val="24"/>
        </w:rPr>
      </w:pPr>
    </w:p>
    <w:sectPr w:rsidR="00135416" w:rsidRPr="004669E4" w:rsidSect="00DF0810">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EC" w:rsidRDefault="001438EC">
      <w:pPr>
        <w:spacing w:line="20" w:lineRule="exact"/>
      </w:pPr>
    </w:p>
  </w:endnote>
  <w:endnote w:type="continuationSeparator" w:id="0">
    <w:p w:rsidR="001438EC" w:rsidRDefault="001438EC">
      <w:r>
        <w:t xml:space="preserve"> </w:t>
      </w:r>
    </w:p>
  </w:endnote>
  <w:endnote w:type="continuationNotice" w:id="1">
    <w:p w:rsidR="001438EC" w:rsidRDefault="001438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62681">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EC" w:rsidRDefault="001438EC">
      <w:r>
        <w:separator/>
      </w:r>
    </w:p>
  </w:footnote>
  <w:footnote w:type="continuationSeparator" w:id="0">
    <w:p w:rsidR="001438EC" w:rsidRDefault="001438EC" w:rsidP="00C721AC">
      <w:pPr>
        <w:spacing w:before="120"/>
        <w:rPr>
          <w:sz w:val="20"/>
        </w:rPr>
      </w:pPr>
      <w:r>
        <w:rPr>
          <w:sz w:val="20"/>
        </w:rPr>
        <w:t xml:space="preserve">(Continued from previous page)  </w:t>
      </w:r>
      <w:r>
        <w:rPr>
          <w:sz w:val="20"/>
        </w:rPr>
        <w:separator/>
      </w:r>
    </w:p>
  </w:footnote>
  <w:footnote w:type="continuationNotice" w:id="1">
    <w:p w:rsidR="001438EC" w:rsidRDefault="001438EC" w:rsidP="00C721AC">
      <w:pPr>
        <w:jc w:val="right"/>
        <w:rPr>
          <w:sz w:val="20"/>
        </w:rPr>
      </w:pPr>
      <w:r>
        <w:rPr>
          <w:sz w:val="20"/>
        </w:rPr>
        <w:t>(continued….)</w:t>
      </w:r>
    </w:p>
  </w:footnote>
  <w:footnote w:id="2">
    <w:p w:rsidR="00B743F8" w:rsidRDefault="00B743F8">
      <w:pPr>
        <w:pStyle w:val="FootnoteText"/>
      </w:pPr>
      <w:r>
        <w:rPr>
          <w:rStyle w:val="FootnoteReference"/>
        </w:rPr>
        <w:footnoteRef/>
      </w:r>
      <w:r>
        <w:t xml:space="preserve"> </w:t>
      </w:r>
      <w:r w:rsidRPr="00E46DFC">
        <w:rPr>
          <w:i/>
        </w:rPr>
        <w:t>Connect America Fund; Universal Service Reform–Mobility Fund; Connect America Fund–Alaska Plan</w:t>
      </w:r>
      <w:r>
        <w:t>, WC Docket Nos. 10-90, 16-271, WT Docket No. 10-208, Report and Order and Further Notice of Proposed Rulemaking, 31 FCC Rcd 10139 (2016) (</w:t>
      </w:r>
      <w:r w:rsidRPr="00E46DFC">
        <w:rPr>
          <w:i/>
        </w:rPr>
        <w:t>Alaska Plan Order</w:t>
      </w:r>
      <w:r>
        <w:t>).</w:t>
      </w:r>
      <w:r w:rsidR="00967E91">
        <w:t xml:space="preserve">  </w:t>
      </w:r>
      <w:r>
        <w:t xml:space="preserve">  </w:t>
      </w:r>
    </w:p>
  </w:footnote>
  <w:footnote w:id="3">
    <w:p w:rsidR="00EC1ED6" w:rsidRPr="003316D6" w:rsidRDefault="00EC1ED6" w:rsidP="00EC1ED6">
      <w:pPr>
        <w:pStyle w:val="FootnoteText"/>
      </w:pPr>
      <w:r w:rsidRPr="003316D6">
        <w:rPr>
          <w:rStyle w:val="FootnoteReference"/>
        </w:rPr>
        <w:footnoteRef/>
      </w:r>
      <w:r w:rsidRPr="003316D6">
        <w:t xml:space="preserve"> </w:t>
      </w:r>
      <w:r w:rsidR="00B743F8">
        <w:rPr>
          <w:i/>
        </w:rPr>
        <w:t xml:space="preserve">Id.  </w:t>
      </w:r>
      <w:r>
        <w:t>ATA</w:t>
      </w:r>
      <w:r w:rsidRPr="00EC1ED6">
        <w:t xml:space="preserve"> proposed a consensus plan designed to maintain, extend, and upgrade broadband service across all areas of Alaska served by rate-of-return carriers </w:t>
      </w:r>
      <w:r w:rsidR="002C71F7">
        <w:t>as well as</w:t>
      </w:r>
      <w:r w:rsidRPr="00EC1ED6">
        <w:t xml:space="preserve"> their </w:t>
      </w:r>
      <w:r w:rsidR="00967E91">
        <w:t xml:space="preserve">mobile </w:t>
      </w:r>
      <w:r w:rsidRPr="00EC1ED6">
        <w:t xml:space="preserve">affiliates.  </w:t>
      </w:r>
      <w:r w:rsidRPr="003316D6">
        <w:t>Letter from Christine O’Connor, Executive Director, Alaska Telephone Association, to Marlene H. Dortch, Secretary, FCC, WC Docket No. 10-90, Attach. (filed Feb. 20, 2015).</w:t>
      </w:r>
      <w:r w:rsidR="00967E91">
        <w:t xml:space="preserve">  We note that, in this Public Notice, we address </w:t>
      </w:r>
      <w:r w:rsidR="002C71F7">
        <w:t xml:space="preserve">only </w:t>
      </w:r>
      <w:r w:rsidR="00967E91">
        <w:t>the performance plans submitted by mobile</w:t>
      </w:r>
      <w:r w:rsidRPr="003316D6">
        <w:t xml:space="preserve"> </w:t>
      </w:r>
      <w:r w:rsidR="00967E91">
        <w:t xml:space="preserve">carriers.  </w:t>
      </w:r>
      <w:r w:rsidRPr="003316D6">
        <w:t xml:space="preserve"> </w:t>
      </w:r>
    </w:p>
  </w:footnote>
  <w:footnote w:id="4">
    <w:p w:rsidR="00356236" w:rsidRPr="00356236" w:rsidRDefault="00356236">
      <w:pPr>
        <w:pStyle w:val="FootnoteText"/>
      </w:pPr>
      <w:r>
        <w:rPr>
          <w:rStyle w:val="FootnoteReference"/>
        </w:rPr>
        <w:footnoteRef/>
      </w:r>
      <w:r>
        <w:t xml:space="preserve"> </w:t>
      </w:r>
      <w:r>
        <w:rPr>
          <w:i/>
        </w:rPr>
        <w:t>See Alaska Plan Order</w:t>
      </w:r>
      <w:r>
        <w:t xml:space="preserve">, 31 FCC Rcd at </w:t>
      </w:r>
      <w:r w:rsidR="00BC5999">
        <w:t xml:space="preserve">10166-67, </w:t>
      </w:r>
      <w:r>
        <w:t>para. 85.</w:t>
      </w:r>
    </w:p>
  </w:footnote>
  <w:footnote w:id="5">
    <w:p w:rsidR="00B743F8" w:rsidRPr="002C634E" w:rsidRDefault="00B743F8" w:rsidP="00B743F8">
      <w:pPr>
        <w:pStyle w:val="FootnoteText"/>
      </w:pPr>
      <w:r>
        <w:rPr>
          <w:rStyle w:val="FootnoteReference"/>
        </w:rPr>
        <w:footnoteRef/>
      </w:r>
      <w:r>
        <w:t xml:space="preserve"> </w:t>
      </w:r>
      <w:r>
        <w:rPr>
          <w:i/>
        </w:rPr>
        <w:t>See</w:t>
      </w:r>
      <w:r w:rsidR="00F1217D">
        <w:rPr>
          <w:i/>
        </w:rPr>
        <w:t xml:space="preserve"> </w:t>
      </w:r>
      <w:r w:rsidR="00356236">
        <w:rPr>
          <w:i/>
        </w:rPr>
        <w:t>id.</w:t>
      </w:r>
      <w:r>
        <w:t xml:space="preserve"> </w:t>
      </w:r>
      <w:r w:rsidR="00967E91">
        <w:t xml:space="preserve"> The Commission required</w:t>
      </w:r>
      <w:r w:rsidR="002C634E">
        <w:t xml:space="preserve"> that such </w:t>
      </w:r>
      <w:r w:rsidR="00967E91">
        <w:t xml:space="preserve">performance </w:t>
      </w:r>
      <w:r w:rsidR="002C634E">
        <w:t xml:space="preserve">plans specify the population that would be covered after five and ten years into the plan, respectively, broken down for each type of available middle mile, and within each type of middle mile, for each level of data service offered (including the minimum download and upload speeds for each level), and that each plan would commit to service meeting the deployment standard specified in the Order.  </w:t>
      </w:r>
      <w:r w:rsidR="002C634E">
        <w:rPr>
          <w:i/>
        </w:rPr>
        <w:t>See Alaska Plan Order</w:t>
      </w:r>
      <w:r w:rsidR="002C634E">
        <w:t xml:space="preserve">, 31 FCC Rcd at </w:t>
      </w:r>
      <w:r w:rsidR="00BC5999">
        <w:t xml:space="preserve">10166-67, </w:t>
      </w:r>
      <w:r w:rsidR="002C634E">
        <w:t>para</w:t>
      </w:r>
      <w:r w:rsidR="00BC5999">
        <w:t>.</w:t>
      </w:r>
      <w:r w:rsidR="002C634E">
        <w:t xml:space="preserve"> 85.  </w:t>
      </w:r>
    </w:p>
  </w:footnote>
  <w:footnote w:id="6">
    <w:p w:rsidR="0068407C" w:rsidRDefault="0068407C" w:rsidP="0068407C">
      <w:pPr>
        <w:pStyle w:val="FootnoteText"/>
      </w:pPr>
      <w:r>
        <w:rPr>
          <w:rStyle w:val="FootnoteReference"/>
        </w:rPr>
        <w:footnoteRef/>
      </w:r>
      <w:r>
        <w:t xml:space="preserve"> </w:t>
      </w:r>
      <w:r w:rsidRPr="00A460EB">
        <w:rPr>
          <w:i/>
        </w:rPr>
        <w:t>See</w:t>
      </w:r>
      <w:r>
        <w:t xml:space="preserve"> </w:t>
      </w:r>
      <w:r w:rsidR="00F57859" w:rsidRPr="00F57859">
        <w:t>Letter from Christine O’Conner, Counsel, ATA, to Marlene H. Dortch, WT Docket No. 16-271 (</w:t>
      </w:r>
      <w:r w:rsidR="00F57859">
        <w:t>Dec. 14</w:t>
      </w:r>
      <w:r w:rsidR="00F57859" w:rsidRPr="00F57859">
        <w:t xml:space="preserve">, 2016), App. (updating </w:t>
      </w:r>
      <w:r w:rsidR="00FC6EFD">
        <w:t xml:space="preserve">the </w:t>
      </w:r>
      <w:r w:rsidR="0012128F">
        <w:t>ASTAC</w:t>
      </w:r>
      <w:r w:rsidR="00F57859" w:rsidRPr="00F57859">
        <w:t xml:space="preserve">, </w:t>
      </w:r>
      <w:r w:rsidR="0012128F">
        <w:t>Bristol Bay</w:t>
      </w:r>
      <w:r w:rsidR="00F57859" w:rsidRPr="00F57859">
        <w:t xml:space="preserve">, </w:t>
      </w:r>
      <w:r w:rsidR="0012128F">
        <w:t>OTZ Wireless, and TelAlaska</w:t>
      </w:r>
      <w:r w:rsidR="00F57859" w:rsidRPr="00F57859">
        <w:t xml:space="preserve"> performance plans</w:t>
      </w:r>
      <w:r w:rsidR="0012128F">
        <w:t>);</w:t>
      </w:r>
      <w:r w:rsidR="00F57859" w:rsidRPr="00F57859">
        <w:t xml:space="preserve"> </w:t>
      </w:r>
      <w:r w:rsidR="0076451D">
        <w:t xml:space="preserve">Letter from Julie A. Veach, Counsel, GCI, to Marlene H. Dortch, Secretary, FCC, WT Docket No. 16-271 (Nov. 29, 2016), App. (updating </w:t>
      </w:r>
      <w:r w:rsidR="00FC6EFD">
        <w:t xml:space="preserve">the </w:t>
      </w:r>
      <w:r w:rsidR="0076451D">
        <w:t>GCI</w:t>
      </w:r>
      <w:r w:rsidR="00FC6EFD">
        <w:t xml:space="preserve"> performance plan</w:t>
      </w:r>
      <w:r w:rsidR="0076451D">
        <w:t xml:space="preserve">); Letter from Christine O’Conner, Counsel, ATA, to Marlene H. Dortch, WT Docket No. 16-271 (Nov. 2, 2016), App. (updating </w:t>
      </w:r>
      <w:r w:rsidR="00FC6EFD">
        <w:t xml:space="preserve">the </w:t>
      </w:r>
      <w:r w:rsidR="0076451D">
        <w:t>Copper Valley, Cordova, and Windy City performance plans</w:t>
      </w:r>
      <w:r w:rsidR="00F57859">
        <w:t>)</w:t>
      </w:r>
      <w:r w:rsidR="00F111A0">
        <w:t>;</w:t>
      </w:r>
      <w:r w:rsidR="0076451D">
        <w:t xml:space="preserve"> </w:t>
      </w:r>
      <w:r w:rsidR="00F111A0">
        <w:rPr>
          <w:i/>
        </w:rPr>
        <w:t>s</w:t>
      </w:r>
      <w:r w:rsidR="0076451D">
        <w:rPr>
          <w:i/>
        </w:rPr>
        <w:t xml:space="preserve">ee also </w:t>
      </w:r>
      <w:r w:rsidR="0076451D" w:rsidRPr="00E46DFC">
        <w:rPr>
          <w:i/>
        </w:rPr>
        <w:t>Alaska Plan Order</w:t>
      </w:r>
      <w:r w:rsidR="0076451D">
        <w:t>, 31 FCC Rcd at 10166-67, 10171, paras. 85-86, 97.</w:t>
      </w:r>
    </w:p>
  </w:footnote>
  <w:footnote w:id="7">
    <w:p w:rsidR="003919BB" w:rsidRPr="003919BB" w:rsidRDefault="003919BB">
      <w:pPr>
        <w:pStyle w:val="FootnoteText"/>
      </w:pPr>
      <w:r>
        <w:rPr>
          <w:rStyle w:val="FootnoteReference"/>
        </w:rPr>
        <w:footnoteRef/>
      </w:r>
      <w:r>
        <w:t xml:space="preserve"> </w:t>
      </w:r>
      <w:r>
        <w:rPr>
          <w:i/>
        </w:rPr>
        <w:t>See Alaska Plan Order</w:t>
      </w:r>
      <w:r>
        <w:t xml:space="preserve">, 31 FCC Rcd at </w:t>
      </w:r>
      <w:r w:rsidR="00BC5999">
        <w:t>10171</w:t>
      </w:r>
      <w:r>
        <w:t>, para. 97.</w:t>
      </w:r>
    </w:p>
  </w:footnote>
  <w:footnote w:id="8">
    <w:p w:rsidR="00107D9E" w:rsidRPr="003C4D9B" w:rsidRDefault="00107D9E" w:rsidP="00107D9E">
      <w:pPr>
        <w:pStyle w:val="FootnoteText"/>
      </w:pPr>
      <w:r>
        <w:rPr>
          <w:rStyle w:val="FootnoteReference"/>
        </w:rPr>
        <w:footnoteRef/>
      </w:r>
      <w:r>
        <w:t xml:space="preserve"> </w:t>
      </w:r>
      <w:r w:rsidR="007F6338">
        <w:t xml:space="preserve">In the </w:t>
      </w:r>
      <w:r w:rsidR="007F6338">
        <w:rPr>
          <w:i/>
        </w:rPr>
        <w:t>Alaska Plan Order</w:t>
      </w:r>
      <w:r w:rsidR="007F6338">
        <w:t>, the Commission stated that it</w:t>
      </w:r>
      <w:r w:rsidR="007F6338">
        <w:rPr>
          <w:i/>
        </w:rPr>
        <w:t xml:space="preserve"> </w:t>
      </w:r>
      <w:r w:rsidR="007F6338">
        <w:t>expected</w:t>
      </w:r>
      <w:r w:rsidR="007F6338" w:rsidRPr="00FA6A93">
        <w:t xml:space="preserve"> participants </w:t>
      </w:r>
      <w:r w:rsidR="007F6338">
        <w:t xml:space="preserve">would </w:t>
      </w:r>
      <w:r w:rsidR="007F6338" w:rsidRPr="00FA6A93">
        <w:t>work to extend</w:t>
      </w:r>
      <w:r w:rsidR="007F6338">
        <w:t xml:space="preserve"> 4G LTE service to populations not currently receiving it, but </w:t>
      </w:r>
      <w:r w:rsidR="0063072C">
        <w:t>authorized</w:t>
      </w:r>
      <w:r w:rsidR="007F6338">
        <w:t xml:space="preserve"> </w:t>
      </w:r>
      <w:r w:rsidR="0063072C">
        <w:t xml:space="preserve">the Bureau </w:t>
      </w:r>
      <w:r w:rsidR="007F6338">
        <w:t xml:space="preserve">in particular instances </w:t>
      </w:r>
      <w:r w:rsidR="0063072C">
        <w:t xml:space="preserve">to approve </w:t>
      </w:r>
      <w:r w:rsidR="007F6338">
        <w:t xml:space="preserve">the maintenance of lower levels of technology, or upgrades from 2G to 3G, due to limitations such as difficult terrain or lack of access to terrestrial </w:t>
      </w:r>
      <w:r w:rsidR="007F6338" w:rsidRPr="0063072C">
        <w:t xml:space="preserve">backhaul, </w:t>
      </w:r>
      <w:r w:rsidR="000A7327">
        <w:t xml:space="preserve">and </w:t>
      </w:r>
      <w:r w:rsidR="007F6338" w:rsidRPr="0063072C">
        <w:t xml:space="preserve">balancing the goal of reasonably comparable service with the goals of ensuring that support is used efficiently and </w:t>
      </w:r>
      <w:r w:rsidR="007F6338" w:rsidRPr="009010DE">
        <w:t>remains within the amounts budgeted to a participating competitive ETC.</w:t>
      </w:r>
      <w:r w:rsidR="007F6338">
        <w:rPr>
          <w:b/>
        </w:rPr>
        <w:t xml:space="preserve">  </w:t>
      </w:r>
      <w:r w:rsidR="007F6338">
        <w:rPr>
          <w:i/>
        </w:rPr>
        <w:t>S</w:t>
      </w:r>
      <w:r w:rsidR="007F6338" w:rsidRPr="00BB4CC1">
        <w:rPr>
          <w:i/>
        </w:rPr>
        <w:t>ee</w:t>
      </w:r>
      <w:r w:rsidR="007F6338" w:rsidRPr="00147F67">
        <w:rPr>
          <w:i/>
        </w:rPr>
        <w:t xml:space="preserve"> </w:t>
      </w:r>
      <w:r w:rsidR="007F6338" w:rsidRPr="00FA6A93">
        <w:rPr>
          <w:i/>
        </w:rPr>
        <w:t>Alaska Plan Order</w:t>
      </w:r>
      <w:r w:rsidR="007F6338" w:rsidRPr="00FA6A93">
        <w:t>, 31 FCC Rcd at 10167, para. 86</w:t>
      </w:r>
      <w:r w:rsidR="007F6338">
        <w:t>.</w:t>
      </w:r>
      <w:r w:rsidR="007F6338" w:rsidRPr="00BB4CC1">
        <w:rPr>
          <w:b/>
        </w:rPr>
        <w:t xml:space="preserve"> </w:t>
      </w:r>
      <w:r w:rsidR="007F6338">
        <w:rPr>
          <w:b/>
        </w:rPr>
        <w:t xml:space="preserve"> </w:t>
      </w:r>
      <w:r w:rsidR="00F55714" w:rsidRPr="00F55714">
        <w:t>W</w:t>
      </w:r>
      <w:r w:rsidR="00F55714" w:rsidRPr="00FA6A93">
        <w:t xml:space="preserve">ith one exception, the approved plans provide for deployment of some level of mobile broadband service, and in most cases, 4G LTE service, in all areas with terrestrial backhaul.  </w:t>
      </w:r>
      <w:r w:rsidRPr="00F55714">
        <w:rPr>
          <w:i/>
        </w:rPr>
        <w:t xml:space="preserve">See </w:t>
      </w:r>
      <w:r w:rsidR="00244E9C" w:rsidRPr="00FA6A93">
        <w:t>Appendix A</w:t>
      </w:r>
      <w:r w:rsidR="0063072C">
        <w:t xml:space="preserve">. </w:t>
      </w:r>
      <w:r w:rsidR="00E53DA4" w:rsidRPr="00E53DA4">
        <w:rPr>
          <w:i/>
        </w:rPr>
        <w:t xml:space="preserve"> </w:t>
      </w:r>
      <w:r w:rsidR="000124CA">
        <w:t>Bristol Bay</w:t>
      </w:r>
      <w:r w:rsidR="00461391">
        <w:t xml:space="preserve"> </w:t>
      </w:r>
      <w:r w:rsidR="000124CA">
        <w:t>states that</w:t>
      </w:r>
      <w:r w:rsidR="00AE4C7F">
        <w:t>, although there is terrestrial backhaul in its service area,</w:t>
      </w:r>
      <w:r w:rsidR="000124CA">
        <w:t xml:space="preserve"> it is constrained from providing wireless broadband due in part to the cost of the </w:t>
      </w:r>
      <w:r w:rsidR="00AE4C7F">
        <w:t xml:space="preserve">available </w:t>
      </w:r>
      <w:r w:rsidR="000124CA">
        <w:t>backhaul.</w:t>
      </w:r>
      <w:r w:rsidR="00B4729C">
        <w:t xml:space="preserve">  </w:t>
      </w:r>
      <w:r w:rsidR="000124CA">
        <w:t xml:space="preserve">We </w:t>
      </w:r>
      <w:r w:rsidR="003C4D9B">
        <w:t>approve</w:t>
      </w:r>
      <w:r w:rsidR="00B4729C">
        <w:t xml:space="preserve"> Bristol Bay’s commitments</w:t>
      </w:r>
      <w:r w:rsidR="003C4D9B">
        <w:t xml:space="preserve"> in light of th</w:t>
      </w:r>
      <w:r w:rsidR="00E53DA4">
        <w:t>is</w:t>
      </w:r>
      <w:r w:rsidR="003C4D9B">
        <w:t xml:space="preserve"> consideration</w:t>
      </w:r>
      <w:r w:rsidR="00B4729C">
        <w:t>, contingent on its commitment that, if affordable middle mile becomes available, it will deliver mobile broadband at least 4 Mbps download</w:t>
      </w:r>
      <w:r w:rsidR="003C4D9B">
        <w:t>/</w:t>
      </w:r>
      <w:r w:rsidR="00B4729C">
        <w:t>1 Mbps upload speeds</w:t>
      </w:r>
      <w:r w:rsidR="003C4D9B">
        <w:t xml:space="preserve"> by Year 5 and 10 Mbps download/1 Mbps upload speed by Year 10.  </w:t>
      </w:r>
      <w:r w:rsidR="003C4D9B">
        <w:rPr>
          <w:i/>
        </w:rPr>
        <w:t xml:space="preserve">See </w:t>
      </w:r>
      <w:r w:rsidR="003C4D9B">
        <w:t>Appendix A</w:t>
      </w:r>
      <w:r w:rsidR="0070585C">
        <w:t xml:space="preserve">.  </w:t>
      </w:r>
      <w:r w:rsidR="008665A1">
        <w:t xml:space="preserve">While ASTAC notes the availability of </w:t>
      </w:r>
      <w:r w:rsidR="00880D18">
        <w:t>terrestrial</w:t>
      </w:r>
      <w:r w:rsidR="008665A1">
        <w:t xml:space="preserve"> backhaul in a small portion of its service area, it relies at this time predominantly on satellite backhaul, and we approve its commitment to deploy 3G technology throughout its service area on that basis.  </w:t>
      </w:r>
      <w:r w:rsidR="008665A1">
        <w:rPr>
          <w:i/>
        </w:rPr>
        <w:t xml:space="preserve">See id.  </w:t>
      </w:r>
      <w:r w:rsidR="008665A1">
        <w:t>We remind funding recipients that</w:t>
      </w:r>
      <w:r w:rsidR="00EC1C99" w:rsidRPr="009010DE">
        <w:t xml:space="preserve">, under the </w:t>
      </w:r>
      <w:r w:rsidR="00EC1C99" w:rsidRPr="009010DE">
        <w:rPr>
          <w:i/>
        </w:rPr>
        <w:t>Alaska Plan Order</w:t>
      </w:r>
      <w:r w:rsidR="00EC1C99" w:rsidRPr="009010DE">
        <w:t xml:space="preserve">, all mobile carriers receiving funding under the Alaska plan that rely exclusively on performance-limiting satellite backhaul for any portion of their served population are required to report if any terrestrial backhaul or comparable satellite backhaul became commercially available in the previous </w:t>
      </w:r>
      <w:r w:rsidR="00880D18" w:rsidRPr="008665A1">
        <w:t>calendar</w:t>
      </w:r>
      <w:r w:rsidR="00EC1C99" w:rsidRPr="009010DE">
        <w:t xml:space="preserve"> year</w:t>
      </w:r>
      <w:r w:rsidR="008665A1">
        <w:t xml:space="preserve">, and, if they </w:t>
      </w:r>
      <w:r w:rsidR="008665A1" w:rsidRPr="00D22C65">
        <w:t xml:space="preserve">have not already committed to providing 4G LTE at 10/1 Mbps speeds to the population served by the new backhaul, </w:t>
      </w:r>
      <w:r w:rsidR="008665A1">
        <w:t xml:space="preserve">to </w:t>
      </w:r>
      <w:r w:rsidR="008665A1" w:rsidRPr="00D22C65">
        <w:t xml:space="preserve">submit </w:t>
      </w:r>
      <w:r w:rsidR="008665A1" w:rsidRPr="008665A1">
        <w:t>revised performance commitments factoring in the availability of the new backhaul option</w:t>
      </w:r>
      <w:r w:rsidR="00EC1C99" w:rsidRPr="009010DE">
        <w:t xml:space="preserve">.  </w:t>
      </w:r>
      <w:r w:rsidR="00EC1C99" w:rsidRPr="009010DE">
        <w:rPr>
          <w:i/>
        </w:rPr>
        <w:t>See Alaska Plan Order</w:t>
      </w:r>
      <w:r w:rsidR="00EC1C99" w:rsidRPr="009010DE">
        <w:t xml:space="preserve">, 31 FCC Rcd at </w:t>
      </w:r>
      <w:r w:rsidR="008665A1" w:rsidRPr="009010DE">
        <w:t>10172</w:t>
      </w:r>
      <w:r w:rsidR="00EC1C99" w:rsidRPr="009010DE">
        <w:t xml:space="preserve">, para. 102.  </w:t>
      </w:r>
    </w:p>
  </w:footnote>
  <w:footnote w:id="9">
    <w:p w:rsidR="009F2982" w:rsidRPr="009F2982" w:rsidRDefault="009F2982">
      <w:pPr>
        <w:pStyle w:val="FootnoteText"/>
      </w:pPr>
      <w:r>
        <w:rPr>
          <w:rStyle w:val="FootnoteReference"/>
        </w:rPr>
        <w:footnoteRef/>
      </w:r>
      <w:r>
        <w:t xml:space="preserve"> </w:t>
      </w:r>
      <w:r>
        <w:rPr>
          <w:i/>
        </w:rPr>
        <w:t>See Alaska Plan Order</w:t>
      </w:r>
      <w:r>
        <w:t xml:space="preserve">, 31 FCC Rcd at </w:t>
      </w:r>
      <w:r w:rsidR="00BC5999">
        <w:t>10171,</w:t>
      </w:r>
      <w:r>
        <w:t xml:space="preserve"> para. 97 (requiring carriers to meet this condition following plan approval before receiving funding from USAC).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E3" w:rsidRDefault="00B04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E3" w:rsidRDefault="00B04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5646F1F" wp14:editId="0907D15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646F1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BF7426A" wp14:editId="27BB9262">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1EB8414" wp14:editId="2336E23D">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D457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91F204" wp14:editId="78FE2B3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62681">
                            <w:rPr>
                              <w:rFonts w:ascii="Arial" w:hAnsi="Arial"/>
                              <w:b/>
                              <w:sz w:val="16"/>
                            </w:rPr>
                            <w:instrText>HYPERLINK "https://www.fcc.gov/"</w:instrText>
                          </w:r>
                          <w:r w:rsidR="0016268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62681">
                      <w:rPr>
                        <w:rFonts w:ascii="Arial" w:hAnsi="Arial"/>
                        <w:b/>
                        <w:sz w:val="16"/>
                      </w:rPr>
                      <w:instrText>HYPERLINK "https://www.fcc.gov/"</w:instrText>
                    </w:r>
                    <w:r w:rsidR="0016268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C"/>
    <w:rsid w:val="000124CA"/>
    <w:rsid w:val="00012CAD"/>
    <w:rsid w:val="000304E4"/>
    <w:rsid w:val="00036039"/>
    <w:rsid w:val="00037F90"/>
    <w:rsid w:val="000875BF"/>
    <w:rsid w:val="00096D8C"/>
    <w:rsid w:val="000A7327"/>
    <w:rsid w:val="000B298D"/>
    <w:rsid w:val="000C0B65"/>
    <w:rsid w:val="000E05FE"/>
    <w:rsid w:val="000E3D42"/>
    <w:rsid w:val="000F2758"/>
    <w:rsid w:val="00107D9E"/>
    <w:rsid w:val="0012128F"/>
    <w:rsid w:val="00122BD5"/>
    <w:rsid w:val="00133F79"/>
    <w:rsid w:val="00134513"/>
    <w:rsid w:val="00135416"/>
    <w:rsid w:val="0014310E"/>
    <w:rsid w:val="001438EC"/>
    <w:rsid w:val="00147F67"/>
    <w:rsid w:val="001509C2"/>
    <w:rsid w:val="0016262E"/>
    <w:rsid w:val="00162681"/>
    <w:rsid w:val="00187AD4"/>
    <w:rsid w:val="00194A66"/>
    <w:rsid w:val="001A1D64"/>
    <w:rsid w:val="001A3D39"/>
    <w:rsid w:val="001B7C22"/>
    <w:rsid w:val="001C7255"/>
    <w:rsid w:val="001D6BCF"/>
    <w:rsid w:val="001E01CA"/>
    <w:rsid w:val="001F6B30"/>
    <w:rsid w:val="00207A76"/>
    <w:rsid w:val="00216950"/>
    <w:rsid w:val="00225289"/>
    <w:rsid w:val="00244E9C"/>
    <w:rsid w:val="00261448"/>
    <w:rsid w:val="00275CF5"/>
    <w:rsid w:val="002819E6"/>
    <w:rsid w:val="0028301F"/>
    <w:rsid w:val="00285017"/>
    <w:rsid w:val="002A2D2E"/>
    <w:rsid w:val="002B1572"/>
    <w:rsid w:val="002B1E5F"/>
    <w:rsid w:val="002C00E8"/>
    <w:rsid w:val="002C634E"/>
    <w:rsid w:val="002C71F7"/>
    <w:rsid w:val="002E0430"/>
    <w:rsid w:val="002E2951"/>
    <w:rsid w:val="002E54FA"/>
    <w:rsid w:val="002F60FF"/>
    <w:rsid w:val="003203E5"/>
    <w:rsid w:val="003225D0"/>
    <w:rsid w:val="00327AD1"/>
    <w:rsid w:val="0033359B"/>
    <w:rsid w:val="00343749"/>
    <w:rsid w:val="00354B6C"/>
    <w:rsid w:val="00356236"/>
    <w:rsid w:val="00356C05"/>
    <w:rsid w:val="003660ED"/>
    <w:rsid w:val="00373D0B"/>
    <w:rsid w:val="00387747"/>
    <w:rsid w:val="003919BB"/>
    <w:rsid w:val="00397F6A"/>
    <w:rsid w:val="003B0550"/>
    <w:rsid w:val="003B0C7A"/>
    <w:rsid w:val="003B694F"/>
    <w:rsid w:val="003C4D9B"/>
    <w:rsid w:val="003C71F9"/>
    <w:rsid w:val="003F171C"/>
    <w:rsid w:val="00403039"/>
    <w:rsid w:val="00412FC5"/>
    <w:rsid w:val="004160AE"/>
    <w:rsid w:val="00422276"/>
    <w:rsid w:val="004242F1"/>
    <w:rsid w:val="0043010D"/>
    <w:rsid w:val="00445169"/>
    <w:rsid w:val="00445A00"/>
    <w:rsid w:val="00451B0F"/>
    <w:rsid w:val="00461391"/>
    <w:rsid w:val="004669E4"/>
    <w:rsid w:val="00474950"/>
    <w:rsid w:val="00494176"/>
    <w:rsid w:val="004C2EE3"/>
    <w:rsid w:val="004D1F05"/>
    <w:rsid w:val="004E4A22"/>
    <w:rsid w:val="00511549"/>
    <w:rsid w:val="00511968"/>
    <w:rsid w:val="00541601"/>
    <w:rsid w:val="00542B1D"/>
    <w:rsid w:val="00552995"/>
    <w:rsid w:val="0055614C"/>
    <w:rsid w:val="00565808"/>
    <w:rsid w:val="00595DBF"/>
    <w:rsid w:val="005B7631"/>
    <w:rsid w:val="005C3F62"/>
    <w:rsid w:val="005D1EDC"/>
    <w:rsid w:val="005D540F"/>
    <w:rsid w:val="005E0C57"/>
    <w:rsid w:val="005E14C2"/>
    <w:rsid w:val="005E69AD"/>
    <w:rsid w:val="005E73AC"/>
    <w:rsid w:val="00600362"/>
    <w:rsid w:val="00607BA5"/>
    <w:rsid w:val="0061180A"/>
    <w:rsid w:val="00615B83"/>
    <w:rsid w:val="00626EB6"/>
    <w:rsid w:val="0063072C"/>
    <w:rsid w:val="006368F3"/>
    <w:rsid w:val="00655D03"/>
    <w:rsid w:val="006728E6"/>
    <w:rsid w:val="00683388"/>
    <w:rsid w:val="00683F84"/>
    <w:rsid w:val="0068407C"/>
    <w:rsid w:val="006A1F49"/>
    <w:rsid w:val="006A6A81"/>
    <w:rsid w:val="006B1456"/>
    <w:rsid w:val="006D1E34"/>
    <w:rsid w:val="006D21AF"/>
    <w:rsid w:val="006E72E2"/>
    <w:rsid w:val="006F7393"/>
    <w:rsid w:val="0070224F"/>
    <w:rsid w:val="0070585C"/>
    <w:rsid w:val="0070782F"/>
    <w:rsid w:val="007115F7"/>
    <w:rsid w:val="00712FD6"/>
    <w:rsid w:val="007147CB"/>
    <w:rsid w:val="007153B3"/>
    <w:rsid w:val="0073742B"/>
    <w:rsid w:val="0074010E"/>
    <w:rsid w:val="007438AC"/>
    <w:rsid w:val="0076451D"/>
    <w:rsid w:val="007720D1"/>
    <w:rsid w:val="00785689"/>
    <w:rsid w:val="00796068"/>
    <w:rsid w:val="0079754B"/>
    <w:rsid w:val="007A1E6D"/>
    <w:rsid w:val="007B0EB2"/>
    <w:rsid w:val="007C4A52"/>
    <w:rsid w:val="007D3C11"/>
    <w:rsid w:val="007F31C5"/>
    <w:rsid w:val="007F413A"/>
    <w:rsid w:val="007F6338"/>
    <w:rsid w:val="008074F8"/>
    <w:rsid w:val="00810B6F"/>
    <w:rsid w:val="00812755"/>
    <w:rsid w:val="008130F9"/>
    <w:rsid w:val="00822CE0"/>
    <w:rsid w:val="00841AB1"/>
    <w:rsid w:val="008665A1"/>
    <w:rsid w:val="00880D18"/>
    <w:rsid w:val="00882AB1"/>
    <w:rsid w:val="008C68F1"/>
    <w:rsid w:val="008D03F6"/>
    <w:rsid w:val="008F259C"/>
    <w:rsid w:val="008F3B6B"/>
    <w:rsid w:val="009010DE"/>
    <w:rsid w:val="009049A2"/>
    <w:rsid w:val="00907E43"/>
    <w:rsid w:val="00921803"/>
    <w:rsid w:val="009220EE"/>
    <w:rsid w:val="00926503"/>
    <w:rsid w:val="0093186F"/>
    <w:rsid w:val="00951A84"/>
    <w:rsid w:val="0095749E"/>
    <w:rsid w:val="00960DC4"/>
    <w:rsid w:val="00967609"/>
    <w:rsid w:val="00967E91"/>
    <w:rsid w:val="009726D8"/>
    <w:rsid w:val="00984687"/>
    <w:rsid w:val="00990EAB"/>
    <w:rsid w:val="009C1C67"/>
    <w:rsid w:val="009C3A98"/>
    <w:rsid w:val="009E08B9"/>
    <w:rsid w:val="009E4889"/>
    <w:rsid w:val="009F2982"/>
    <w:rsid w:val="009F76DB"/>
    <w:rsid w:val="00A007AC"/>
    <w:rsid w:val="00A07321"/>
    <w:rsid w:val="00A32C3B"/>
    <w:rsid w:val="00A45F4F"/>
    <w:rsid w:val="00A460EB"/>
    <w:rsid w:val="00A600A9"/>
    <w:rsid w:val="00A66984"/>
    <w:rsid w:val="00A84101"/>
    <w:rsid w:val="00A87CD0"/>
    <w:rsid w:val="00AA033D"/>
    <w:rsid w:val="00AA55B7"/>
    <w:rsid w:val="00AA5B9E"/>
    <w:rsid w:val="00AB0195"/>
    <w:rsid w:val="00AB2407"/>
    <w:rsid w:val="00AB53DF"/>
    <w:rsid w:val="00AC424B"/>
    <w:rsid w:val="00AC7AF5"/>
    <w:rsid w:val="00AD2632"/>
    <w:rsid w:val="00AD264D"/>
    <w:rsid w:val="00AD5E25"/>
    <w:rsid w:val="00AE4C7F"/>
    <w:rsid w:val="00AF46DC"/>
    <w:rsid w:val="00B04DE3"/>
    <w:rsid w:val="00B07E5C"/>
    <w:rsid w:val="00B125B5"/>
    <w:rsid w:val="00B14FC1"/>
    <w:rsid w:val="00B20363"/>
    <w:rsid w:val="00B32676"/>
    <w:rsid w:val="00B338A9"/>
    <w:rsid w:val="00B420AC"/>
    <w:rsid w:val="00B4729C"/>
    <w:rsid w:val="00B679AB"/>
    <w:rsid w:val="00B743F8"/>
    <w:rsid w:val="00B76DB8"/>
    <w:rsid w:val="00B811F7"/>
    <w:rsid w:val="00B97783"/>
    <w:rsid w:val="00BA5DC6"/>
    <w:rsid w:val="00BA6196"/>
    <w:rsid w:val="00BC5999"/>
    <w:rsid w:val="00BC6D8C"/>
    <w:rsid w:val="00BD5604"/>
    <w:rsid w:val="00BD7A77"/>
    <w:rsid w:val="00C34006"/>
    <w:rsid w:val="00C426B1"/>
    <w:rsid w:val="00C66160"/>
    <w:rsid w:val="00C721AC"/>
    <w:rsid w:val="00C76D49"/>
    <w:rsid w:val="00C90D6A"/>
    <w:rsid w:val="00CA247E"/>
    <w:rsid w:val="00CA2C9A"/>
    <w:rsid w:val="00CA3C4C"/>
    <w:rsid w:val="00CC50E1"/>
    <w:rsid w:val="00CC72B6"/>
    <w:rsid w:val="00CC776F"/>
    <w:rsid w:val="00CE2245"/>
    <w:rsid w:val="00CE3A72"/>
    <w:rsid w:val="00CE6C8E"/>
    <w:rsid w:val="00CF0122"/>
    <w:rsid w:val="00CF4BD3"/>
    <w:rsid w:val="00D0218D"/>
    <w:rsid w:val="00D20BE1"/>
    <w:rsid w:val="00D2134A"/>
    <w:rsid w:val="00D250B3"/>
    <w:rsid w:val="00D25FB5"/>
    <w:rsid w:val="00D2632F"/>
    <w:rsid w:val="00D30603"/>
    <w:rsid w:val="00D44223"/>
    <w:rsid w:val="00D47505"/>
    <w:rsid w:val="00D52DE2"/>
    <w:rsid w:val="00D758AC"/>
    <w:rsid w:val="00D7716F"/>
    <w:rsid w:val="00D77BC5"/>
    <w:rsid w:val="00DA2529"/>
    <w:rsid w:val="00DB130A"/>
    <w:rsid w:val="00DB2EBB"/>
    <w:rsid w:val="00DB56FF"/>
    <w:rsid w:val="00DC10A1"/>
    <w:rsid w:val="00DC655F"/>
    <w:rsid w:val="00DD0B59"/>
    <w:rsid w:val="00DD7EBD"/>
    <w:rsid w:val="00DE4C8D"/>
    <w:rsid w:val="00DF0810"/>
    <w:rsid w:val="00DF62B6"/>
    <w:rsid w:val="00E01554"/>
    <w:rsid w:val="00E030D9"/>
    <w:rsid w:val="00E0356C"/>
    <w:rsid w:val="00E07225"/>
    <w:rsid w:val="00E22E7D"/>
    <w:rsid w:val="00E46DFC"/>
    <w:rsid w:val="00E47806"/>
    <w:rsid w:val="00E515CD"/>
    <w:rsid w:val="00E53DA4"/>
    <w:rsid w:val="00E5409F"/>
    <w:rsid w:val="00E56773"/>
    <w:rsid w:val="00E60E48"/>
    <w:rsid w:val="00E762C5"/>
    <w:rsid w:val="00E87CEB"/>
    <w:rsid w:val="00EB1A41"/>
    <w:rsid w:val="00EB272B"/>
    <w:rsid w:val="00EB4ACC"/>
    <w:rsid w:val="00EC1C99"/>
    <w:rsid w:val="00EC1ED6"/>
    <w:rsid w:val="00EE6488"/>
    <w:rsid w:val="00EF22D2"/>
    <w:rsid w:val="00F021FA"/>
    <w:rsid w:val="00F111A0"/>
    <w:rsid w:val="00F1217D"/>
    <w:rsid w:val="00F20E5B"/>
    <w:rsid w:val="00F34A79"/>
    <w:rsid w:val="00F55714"/>
    <w:rsid w:val="00F57859"/>
    <w:rsid w:val="00F61268"/>
    <w:rsid w:val="00F61E45"/>
    <w:rsid w:val="00F62E97"/>
    <w:rsid w:val="00F64209"/>
    <w:rsid w:val="00F66DEF"/>
    <w:rsid w:val="00F71CCB"/>
    <w:rsid w:val="00F8591E"/>
    <w:rsid w:val="00F93BF5"/>
    <w:rsid w:val="00FA6A93"/>
    <w:rsid w:val="00FB174C"/>
    <w:rsid w:val="00FC6EFD"/>
    <w:rsid w:val="00FD5406"/>
    <w:rsid w:val="00FD7618"/>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semiHidden/>
    <w:unhideWhenUsed/>
    <w:rsid w:val="00CE3A72"/>
    <w:rPr>
      <w:sz w:val="20"/>
    </w:rPr>
  </w:style>
  <w:style w:type="character" w:customStyle="1" w:styleId="CommentTextChar">
    <w:name w:val="Comment Text Char"/>
    <w:basedOn w:val="DefaultParagraphFont"/>
    <w:link w:val="CommentText"/>
    <w:semiHidden/>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semiHidden/>
    <w:unhideWhenUsed/>
    <w:rsid w:val="00CE3A72"/>
    <w:rPr>
      <w:sz w:val="20"/>
    </w:rPr>
  </w:style>
  <w:style w:type="character" w:customStyle="1" w:styleId="CommentTextChar">
    <w:name w:val="Comment Text Char"/>
    <w:basedOn w:val="DefaultParagraphFont"/>
    <w:link w:val="CommentText"/>
    <w:semiHidden/>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568</Words>
  <Characters>3167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2016-12-14T16:11:00Z</cp:lastPrinted>
  <dcterms:created xsi:type="dcterms:W3CDTF">2016-12-21T19:34:00Z</dcterms:created>
  <dcterms:modified xsi:type="dcterms:W3CDTF">2016-12-21T19:34:00Z</dcterms:modified>
  <cp:category> </cp:category>
  <cp:contentStatus> </cp:contentStatus>
</cp:coreProperties>
</file>