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308B" w14:textId="77777777" w:rsidR="00602577" w:rsidRPr="00B47BB5" w:rsidRDefault="00602577" w:rsidP="00B47BB5">
      <w:pPr>
        <w:sectPr w:rsidR="00602577" w:rsidRPr="00B47BB5" w:rsidSect="008043C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1" w:name="_GoBack"/>
      <w:bookmarkEnd w:id="1"/>
    </w:p>
    <w:p w14:paraId="4613951A" w14:textId="2DAABD6D" w:rsidR="00602577" w:rsidRPr="00013541" w:rsidRDefault="004373A2">
      <w:pPr>
        <w:jc w:val="right"/>
        <w:rPr>
          <w:b/>
          <w:szCs w:val="22"/>
        </w:rPr>
      </w:pPr>
      <w:r w:rsidRPr="00013541">
        <w:rPr>
          <w:b/>
          <w:szCs w:val="22"/>
        </w:rPr>
        <w:lastRenderedPageBreak/>
        <w:t>DA 16-</w:t>
      </w:r>
      <w:r w:rsidR="00601C63">
        <w:rPr>
          <w:b/>
          <w:szCs w:val="22"/>
        </w:rPr>
        <w:t>1421</w:t>
      </w:r>
    </w:p>
    <w:p w14:paraId="784BECDF" w14:textId="0780F142" w:rsidR="00602577" w:rsidRPr="00013541" w:rsidRDefault="004373A2">
      <w:pPr>
        <w:spacing w:before="60"/>
        <w:jc w:val="right"/>
        <w:rPr>
          <w:szCs w:val="22"/>
        </w:rPr>
      </w:pPr>
      <w:r w:rsidRPr="00013541">
        <w:rPr>
          <w:b/>
          <w:szCs w:val="22"/>
        </w:rPr>
        <w:t xml:space="preserve">Released: </w:t>
      </w:r>
      <w:r w:rsidR="009D60F2">
        <w:rPr>
          <w:b/>
          <w:szCs w:val="22"/>
        </w:rPr>
        <w:t>December</w:t>
      </w:r>
      <w:r w:rsidRPr="00013541">
        <w:rPr>
          <w:b/>
          <w:szCs w:val="22"/>
        </w:rPr>
        <w:t xml:space="preserve"> </w:t>
      </w:r>
      <w:r w:rsidR="00674392">
        <w:rPr>
          <w:b/>
          <w:szCs w:val="22"/>
        </w:rPr>
        <w:t>20</w:t>
      </w:r>
      <w:r w:rsidR="00674392" w:rsidRPr="00013541">
        <w:rPr>
          <w:b/>
          <w:szCs w:val="22"/>
        </w:rPr>
        <w:t xml:space="preserve">, </w:t>
      </w:r>
      <w:r w:rsidRPr="00013541">
        <w:rPr>
          <w:b/>
          <w:szCs w:val="22"/>
        </w:rPr>
        <w:t>2016</w:t>
      </w:r>
    </w:p>
    <w:p w14:paraId="13CB0C78" w14:textId="77777777" w:rsidR="00602577" w:rsidRPr="00013541" w:rsidRDefault="00602577">
      <w:pPr>
        <w:jc w:val="right"/>
        <w:rPr>
          <w:szCs w:val="22"/>
        </w:rPr>
      </w:pPr>
    </w:p>
    <w:p w14:paraId="6FAA08F8" w14:textId="5397AFBE" w:rsidR="00602577" w:rsidRPr="00013541" w:rsidRDefault="0021097B">
      <w:pPr>
        <w:spacing w:after="240"/>
        <w:jc w:val="center"/>
        <w:rPr>
          <w:b/>
          <w:szCs w:val="22"/>
        </w:rPr>
      </w:pPr>
      <w:r w:rsidRPr="00013541">
        <w:rPr>
          <w:b/>
          <w:szCs w:val="22"/>
        </w:rPr>
        <w:t xml:space="preserve">WIRELINE COMPETITION BUREAU </w:t>
      </w:r>
      <w:r w:rsidR="007E1F94">
        <w:rPr>
          <w:b/>
          <w:szCs w:val="22"/>
        </w:rPr>
        <w:t xml:space="preserve">SEEKS COMMENT </w:t>
      </w:r>
      <w:r w:rsidR="008749AD">
        <w:rPr>
          <w:b/>
          <w:szCs w:val="22"/>
        </w:rPr>
        <w:t xml:space="preserve">ON </w:t>
      </w:r>
      <w:r w:rsidR="007F7003">
        <w:rPr>
          <w:b/>
          <w:szCs w:val="22"/>
        </w:rPr>
        <w:t>THE</w:t>
      </w:r>
      <w:r w:rsidR="007567FC">
        <w:rPr>
          <w:b/>
          <w:szCs w:val="22"/>
        </w:rPr>
        <w:t xml:space="preserve"> </w:t>
      </w:r>
      <w:r w:rsidR="007F7003">
        <w:rPr>
          <w:b/>
          <w:szCs w:val="22"/>
        </w:rPr>
        <w:t xml:space="preserve">2005 </w:t>
      </w:r>
      <w:r w:rsidR="007567FC">
        <w:rPr>
          <w:b/>
          <w:szCs w:val="22"/>
        </w:rPr>
        <w:t xml:space="preserve">WAIVER </w:t>
      </w:r>
      <w:r w:rsidR="007F7003">
        <w:rPr>
          <w:b/>
          <w:szCs w:val="22"/>
        </w:rPr>
        <w:t xml:space="preserve">THAT </w:t>
      </w:r>
      <w:r w:rsidR="007567FC">
        <w:rPr>
          <w:b/>
          <w:szCs w:val="22"/>
        </w:rPr>
        <w:t>ALLOW</w:t>
      </w:r>
      <w:r w:rsidR="007F7003">
        <w:rPr>
          <w:b/>
          <w:szCs w:val="22"/>
        </w:rPr>
        <w:t>S</w:t>
      </w:r>
      <w:r w:rsidR="007567FC">
        <w:rPr>
          <w:b/>
          <w:szCs w:val="22"/>
        </w:rPr>
        <w:t xml:space="preserve"> </w:t>
      </w:r>
      <w:r w:rsidR="00091B5B">
        <w:rPr>
          <w:b/>
          <w:szCs w:val="22"/>
        </w:rPr>
        <w:t>S</w:t>
      </w:r>
      <w:r w:rsidR="006044A0">
        <w:rPr>
          <w:b/>
          <w:szCs w:val="22"/>
        </w:rPr>
        <w:t>ANDWICH ISLES</w:t>
      </w:r>
      <w:r w:rsidR="007567FC">
        <w:rPr>
          <w:b/>
          <w:szCs w:val="22"/>
        </w:rPr>
        <w:t xml:space="preserve"> TO BE TREATED </w:t>
      </w:r>
      <w:r w:rsidR="008749AD">
        <w:rPr>
          <w:b/>
          <w:szCs w:val="22"/>
        </w:rPr>
        <w:t xml:space="preserve">AS AN INCUMBENT LOCAL EXCHANGE CARRIER FOR PURPOSES OF RECEIVING HIGH-COST UNIVERSAL SERVICE SUPPORT </w:t>
      </w:r>
    </w:p>
    <w:p w14:paraId="78A87D03" w14:textId="35019CDE" w:rsidR="0021097B" w:rsidRPr="00013541" w:rsidRDefault="0021097B" w:rsidP="003A65FD">
      <w:pPr>
        <w:spacing w:after="240"/>
        <w:jc w:val="center"/>
        <w:rPr>
          <w:b/>
          <w:szCs w:val="22"/>
        </w:rPr>
      </w:pPr>
      <w:r w:rsidRPr="00013541">
        <w:rPr>
          <w:b/>
          <w:szCs w:val="22"/>
        </w:rPr>
        <w:t>WC Docket No. 1</w:t>
      </w:r>
      <w:r w:rsidR="008749AD">
        <w:rPr>
          <w:b/>
          <w:szCs w:val="22"/>
        </w:rPr>
        <w:t>0</w:t>
      </w:r>
      <w:r w:rsidRPr="00013541">
        <w:rPr>
          <w:b/>
          <w:szCs w:val="22"/>
        </w:rPr>
        <w:t>-</w:t>
      </w:r>
      <w:r w:rsidR="008749AD">
        <w:rPr>
          <w:b/>
          <w:szCs w:val="22"/>
        </w:rPr>
        <w:t>90; CC Docket No. 96-45</w:t>
      </w:r>
      <w:r w:rsidRPr="00013541">
        <w:rPr>
          <w:b/>
          <w:szCs w:val="22"/>
        </w:rPr>
        <w:t xml:space="preserve"> </w:t>
      </w:r>
    </w:p>
    <w:p w14:paraId="16480BB5" w14:textId="3E467508" w:rsidR="00AA3978" w:rsidRPr="00AA3978" w:rsidRDefault="00AA3978" w:rsidP="00674392">
      <w:pPr>
        <w:rPr>
          <w:b/>
          <w:szCs w:val="22"/>
        </w:rPr>
      </w:pPr>
      <w:r>
        <w:rPr>
          <w:b/>
          <w:szCs w:val="22"/>
        </w:rPr>
        <w:t xml:space="preserve">Comment Date: </w:t>
      </w:r>
      <w:r w:rsidR="00EA1405">
        <w:rPr>
          <w:b/>
          <w:szCs w:val="22"/>
        </w:rPr>
        <w:t>February 3, 2017</w:t>
      </w:r>
    </w:p>
    <w:p w14:paraId="0045ED7B" w14:textId="77777777" w:rsidR="00674392" w:rsidRDefault="00674392" w:rsidP="00FF4092">
      <w:pPr>
        <w:spacing w:after="120"/>
        <w:ind w:firstLine="720"/>
        <w:rPr>
          <w:szCs w:val="22"/>
        </w:rPr>
      </w:pPr>
    </w:p>
    <w:p w14:paraId="7E193517" w14:textId="7DB4656C" w:rsidR="007F7003" w:rsidRDefault="0021097B" w:rsidP="00FF4092">
      <w:pPr>
        <w:spacing w:after="120"/>
        <w:ind w:firstLine="720"/>
        <w:rPr>
          <w:szCs w:val="22"/>
        </w:rPr>
      </w:pPr>
      <w:r w:rsidRPr="00337538">
        <w:rPr>
          <w:szCs w:val="22"/>
        </w:rPr>
        <w:t xml:space="preserve">In the </w:t>
      </w:r>
      <w:r w:rsidR="008749AD">
        <w:rPr>
          <w:i/>
          <w:szCs w:val="22"/>
        </w:rPr>
        <w:t xml:space="preserve">Sandwich Isles Improper Payment Order, </w:t>
      </w:r>
      <w:r w:rsidR="008749AD">
        <w:rPr>
          <w:szCs w:val="22"/>
        </w:rPr>
        <w:t xml:space="preserve">the </w:t>
      </w:r>
      <w:r w:rsidRPr="00FF4092">
        <w:rPr>
          <w:szCs w:val="22"/>
        </w:rPr>
        <w:t>Commission</w:t>
      </w:r>
      <w:r w:rsidRPr="00FF4092">
        <w:rPr>
          <w:i/>
          <w:szCs w:val="22"/>
        </w:rPr>
        <w:t xml:space="preserve"> </w:t>
      </w:r>
      <w:r w:rsidR="00AA3978">
        <w:rPr>
          <w:szCs w:val="22"/>
        </w:rPr>
        <w:t xml:space="preserve">concluded that Sandwich Isles improperly received payments </w:t>
      </w:r>
      <w:r w:rsidR="00B8364B">
        <w:rPr>
          <w:szCs w:val="22"/>
        </w:rPr>
        <w:t xml:space="preserve">of </w:t>
      </w:r>
      <w:r w:rsidR="00AA3978">
        <w:rPr>
          <w:szCs w:val="22"/>
        </w:rPr>
        <w:t>over $27,270,390 from the federal high-cost support mechanisms through repeated violations of the Commission’s rules.</w:t>
      </w:r>
      <w:r w:rsidR="00AA3978">
        <w:rPr>
          <w:rStyle w:val="FootnoteReference"/>
          <w:szCs w:val="22"/>
        </w:rPr>
        <w:footnoteReference w:id="2"/>
      </w:r>
      <w:r w:rsidR="00AA3978">
        <w:rPr>
          <w:szCs w:val="22"/>
        </w:rPr>
        <w:t xml:space="preserve"> </w:t>
      </w:r>
      <w:r w:rsidR="00BF320E">
        <w:rPr>
          <w:szCs w:val="22"/>
        </w:rPr>
        <w:t xml:space="preserve"> </w:t>
      </w:r>
      <w:r w:rsidR="00EA1405">
        <w:rPr>
          <w:szCs w:val="22"/>
        </w:rPr>
        <w:t xml:space="preserve">In light of </w:t>
      </w:r>
      <w:r w:rsidR="00B8364B">
        <w:rPr>
          <w:szCs w:val="22"/>
        </w:rPr>
        <w:t>these</w:t>
      </w:r>
      <w:r w:rsidR="00EA1405">
        <w:rPr>
          <w:szCs w:val="22"/>
        </w:rPr>
        <w:t xml:space="preserve"> findings, </w:t>
      </w:r>
      <w:r w:rsidR="00B8364B">
        <w:rPr>
          <w:szCs w:val="22"/>
        </w:rPr>
        <w:t xml:space="preserve">the Commission </w:t>
      </w:r>
      <w:r w:rsidR="00EA1405">
        <w:rPr>
          <w:szCs w:val="22"/>
        </w:rPr>
        <w:t>directed Sandwich Isles</w:t>
      </w:r>
      <w:r w:rsidR="007F7003">
        <w:rPr>
          <w:szCs w:val="22"/>
        </w:rPr>
        <w:t xml:space="preserve"> Communications, Inc. (Sandwich Isles)</w:t>
      </w:r>
      <w:r w:rsidR="00EA1405">
        <w:rPr>
          <w:szCs w:val="22"/>
        </w:rPr>
        <w:t xml:space="preserve"> to submit a response </w:t>
      </w:r>
      <w:r w:rsidR="00AB7779">
        <w:rPr>
          <w:szCs w:val="22"/>
        </w:rPr>
        <w:t xml:space="preserve">by February 3, 2017 </w:t>
      </w:r>
      <w:r w:rsidR="00EA1405">
        <w:rPr>
          <w:szCs w:val="22"/>
        </w:rPr>
        <w:t xml:space="preserve">explaining why the Commission should not terminate </w:t>
      </w:r>
      <w:r w:rsidR="00B8364B">
        <w:rPr>
          <w:szCs w:val="22"/>
        </w:rPr>
        <w:t xml:space="preserve">the previously granted </w:t>
      </w:r>
      <w:r w:rsidR="00A20D8A">
        <w:rPr>
          <w:szCs w:val="22"/>
        </w:rPr>
        <w:t xml:space="preserve">study area boundary </w:t>
      </w:r>
      <w:r w:rsidR="00240B31">
        <w:rPr>
          <w:szCs w:val="22"/>
        </w:rPr>
        <w:t>waiver</w:t>
      </w:r>
      <w:r w:rsidR="00433690">
        <w:rPr>
          <w:szCs w:val="22"/>
        </w:rPr>
        <w:t xml:space="preserve"> providing it status as an incumbent </w:t>
      </w:r>
      <w:r w:rsidR="00AB479F">
        <w:rPr>
          <w:szCs w:val="22"/>
        </w:rPr>
        <w:t xml:space="preserve">local exchange company </w:t>
      </w:r>
      <w:r w:rsidR="00433690">
        <w:rPr>
          <w:szCs w:val="22"/>
        </w:rPr>
        <w:t>for purposes of receiving high-cost support</w:t>
      </w:r>
      <w:r w:rsidR="007567FC">
        <w:rPr>
          <w:szCs w:val="22"/>
        </w:rPr>
        <w:t>, which would make it ineligible to receive such support</w:t>
      </w:r>
      <w:r w:rsidR="00F136E9">
        <w:rPr>
          <w:szCs w:val="22"/>
        </w:rPr>
        <w:t>.</w:t>
      </w:r>
      <w:r w:rsidR="006044A0">
        <w:rPr>
          <w:rStyle w:val="FootnoteReference"/>
          <w:szCs w:val="22"/>
        </w:rPr>
        <w:footnoteReference w:id="3"/>
      </w:r>
      <w:r w:rsidR="00BF320E">
        <w:rPr>
          <w:szCs w:val="22"/>
        </w:rPr>
        <w:t xml:space="preserve">  </w:t>
      </w:r>
      <w:r w:rsidR="007F7003">
        <w:rPr>
          <w:szCs w:val="22"/>
        </w:rPr>
        <w:t>The Commission observed that when granted in 2005, the</w:t>
      </w:r>
      <w:r w:rsidR="007F7003">
        <w:t xml:space="preserve"> waiver “relied on the minimal effect of the requested waiver on the universal service fund, the public interest benefits claimed from anticipated delivery of service to subscribers, the unavailability of service by other parties, and the lack of any record evidence to sustain claims that Sandwich was using universal service support for improper purposes or was not complying with the Commission’s accounting, reporting, and auditing rules.”</w:t>
      </w:r>
      <w:r w:rsidR="007F7003">
        <w:rPr>
          <w:rStyle w:val="FootnoteReference"/>
        </w:rPr>
        <w:footnoteReference w:id="4"/>
      </w:r>
      <w:r w:rsidR="007F7003">
        <w:t> </w:t>
      </w:r>
    </w:p>
    <w:p w14:paraId="4A2A7131" w14:textId="7AA5521C" w:rsidR="00433690" w:rsidRDefault="007F7003" w:rsidP="00FF4092">
      <w:pPr>
        <w:spacing w:after="120"/>
        <w:ind w:firstLine="720"/>
        <w:rPr>
          <w:szCs w:val="22"/>
        </w:rPr>
      </w:pPr>
      <w:r>
        <w:rPr>
          <w:szCs w:val="22"/>
        </w:rPr>
        <w:t>The Commission also directed the Wireline Competition Bureau (Bureau) to seek comment from the Hawaii Public Utilities Commission (HPUC), the Department of Hawaiian Homelands (DHHL), and all other interested stakeholders on the continued applicability of the study area waiver.</w:t>
      </w:r>
      <w:r w:rsidR="001253BB">
        <w:rPr>
          <w:rStyle w:val="FootnoteReference"/>
          <w:szCs w:val="22"/>
        </w:rPr>
        <w:footnoteReference w:id="5"/>
      </w:r>
      <w:r>
        <w:rPr>
          <w:szCs w:val="22"/>
        </w:rPr>
        <w:t xml:space="preserve">  By this public notice, </w:t>
      </w:r>
      <w:r w:rsidR="001253BB">
        <w:rPr>
          <w:szCs w:val="22"/>
        </w:rPr>
        <w:t>the Bureau seeks such comment.  A</w:t>
      </w:r>
      <w:r>
        <w:rPr>
          <w:szCs w:val="22"/>
        </w:rPr>
        <w:t xml:space="preserve">s directed by the </w:t>
      </w:r>
      <w:r>
        <w:rPr>
          <w:i/>
          <w:szCs w:val="22"/>
        </w:rPr>
        <w:t>Sandwich Isles Improper Payment Order</w:t>
      </w:r>
      <w:r>
        <w:rPr>
          <w:szCs w:val="22"/>
        </w:rPr>
        <w:t>, comment is due by February 3, 2017.</w:t>
      </w:r>
      <w:r w:rsidR="003D001E">
        <w:rPr>
          <w:rStyle w:val="FootnoteReference"/>
          <w:szCs w:val="22"/>
        </w:rPr>
        <w:footnoteReference w:id="6"/>
      </w:r>
      <w:r>
        <w:rPr>
          <w:szCs w:val="22"/>
        </w:rPr>
        <w:t xml:space="preserve">     </w:t>
      </w:r>
    </w:p>
    <w:p w14:paraId="47C2D8EF" w14:textId="352778F5" w:rsidR="0073223F" w:rsidRPr="00C02EBF" w:rsidRDefault="0073223F" w:rsidP="00C02EBF">
      <w:pPr>
        <w:spacing w:after="120"/>
        <w:ind w:firstLine="720"/>
        <w:rPr>
          <w:szCs w:val="22"/>
        </w:rPr>
      </w:pPr>
      <w:r>
        <w:rPr>
          <w:rFonts w:eastAsia="TimesNewRoman"/>
          <w:color w:val="000000"/>
          <w:szCs w:val="22"/>
        </w:rPr>
        <w:lastRenderedPageBreak/>
        <w:t>The HPUC</w:t>
      </w:r>
      <w:r w:rsidR="003D001E">
        <w:rPr>
          <w:rFonts w:eastAsia="TimesNewRoman"/>
          <w:color w:val="000000"/>
          <w:szCs w:val="22"/>
        </w:rPr>
        <w:t>,</w:t>
      </w:r>
      <w:r>
        <w:rPr>
          <w:rFonts w:eastAsia="TimesNewRoman"/>
          <w:color w:val="000000"/>
          <w:szCs w:val="22"/>
        </w:rPr>
        <w:t xml:space="preserve"> DHHL, </w:t>
      </w:r>
      <w:r w:rsidR="003D001E">
        <w:rPr>
          <w:rFonts w:eastAsia="TimesNewRoman"/>
          <w:color w:val="000000"/>
          <w:szCs w:val="22"/>
        </w:rPr>
        <w:t>and any</w:t>
      </w:r>
      <w:r w:rsidRPr="0073223F">
        <w:rPr>
          <w:rFonts w:eastAsia="TimesNewRoman"/>
          <w:color w:val="000000"/>
          <w:szCs w:val="22"/>
        </w:rPr>
        <w:t xml:space="preserve"> other </w:t>
      </w:r>
      <w:r w:rsidR="00D636A7">
        <w:rPr>
          <w:rFonts w:eastAsia="TimesNewRoman"/>
          <w:color w:val="000000"/>
          <w:szCs w:val="22"/>
        </w:rPr>
        <w:t xml:space="preserve">interested </w:t>
      </w:r>
      <w:r>
        <w:rPr>
          <w:rFonts w:eastAsia="TimesNewRoman"/>
          <w:color w:val="000000"/>
          <w:szCs w:val="22"/>
        </w:rPr>
        <w:t>stakeholders</w:t>
      </w:r>
      <w:r w:rsidRPr="0073223F">
        <w:rPr>
          <w:rFonts w:eastAsia="TimesNewRoman"/>
          <w:color w:val="000000"/>
          <w:szCs w:val="22"/>
        </w:rPr>
        <w:t xml:space="preserve"> may file comments on or before </w:t>
      </w:r>
      <w:r w:rsidR="007F7003">
        <w:rPr>
          <w:rFonts w:eastAsia="TimesNewRoman"/>
          <w:color w:val="000000"/>
          <w:szCs w:val="22"/>
        </w:rPr>
        <w:t>February 3</w:t>
      </w:r>
      <w:r w:rsidR="009507F5">
        <w:rPr>
          <w:rFonts w:eastAsia="TimesNewRoman"/>
          <w:color w:val="000000"/>
          <w:szCs w:val="22"/>
        </w:rPr>
        <w:t>, 2017</w:t>
      </w:r>
      <w:r w:rsidRPr="0073223F">
        <w:rPr>
          <w:rFonts w:eastAsia="TimesNewRoman"/>
          <w:color w:val="000000"/>
          <w:szCs w:val="22"/>
        </w:rPr>
        <w:t xml:space="preserve">. </w:t>
      </w:r>
      <w:r w:rsidR="00A20D8A">
        <w:rPr>
          <w:rFonts w:eastAsia="TimesNewRoman"/>
          <w:color w:val="000000"/>
          <w:szCs w:val="22"/>
        </w:rPr>
        <w:t xml:space="preserve"> </w:t>
      </w:r>
      <w:r w:rsidRPr="00400662">
        <w:rPr>
          <w:rFonts w:eastAsia="TimesNewRoman"/>
          <w:color w:val="000000"/>
          <w:szCs w:val="22"/>
        </w:rPr>
        <w:t>Comments</w:t>
      </w:r>
      <w:r w:rsidRPr="0073223F">
        <w:rPr>
          <w:rFonts w:eastAsia="TimesNewRoman"/>
          <w:color w:val="000000"/>
          <w:szCs w:val="22"/>
        </w:rPr>
        <w:t xml:space="preserve"> may be filed using the Commission’s Electronic Comment Filing System</w:t>
      </w:r>
      <w:r>
        <w:rPr>
          <w:rFonts w:eastAsia="TimesNewRoman"/>
          <w:color w:val="000000"/>
          <w:szCs w:val="22"/>
        </w:rPr>
        <w:t xml:space="preserve"> </w:t>
      </w:r>
      <w:r w:rsidRPr="0073223F">
        <w:rPr>
          <w:rFonts w:eastAsia="TimesNewRoman"/>
          <w:color w:val="000000"/>
          <w:szCs w:val="22"/>
        </w:rPr>
        <w:t>(ECFS), or by filing paper copies.</w:t>
      </w:r>
    </w:p>
    <w:p w14:paraId="71B7A520" w14:textId="77777777" w:rsidR="0073223F" w:rsidRPr="0073223F" w:rsidRDefault="0073223F" w:rsidP="0073223F">
      <w:pPr>
        <w:autoSpaceDE w:val="0"/>
        <w:autoSpaceDN w:val="0"/>
        <w:adjustRightInd w:val="0"/>
        <w:ind w:firstLine="720"/>
        <w:rPr>
          <w:rFonts w:eastAsia="TimesNewRoman"/>
          <w:color w:val="000000"/>
          <w:szCs w:val="22"/>
        </w:rPr>
      </w:pPr>
    </w:p>
    <w:p w14:paraId="19091B53" w14:textId="71A62778" w:rsidR="0073223F" w:rsidRPr="0073223F" w:rsidRDefault="0073223F" w:rsidP="0073223F">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14:paraId="0D69F21B" w14:textId="70AEB68D" w:rsidR="0073223F" w:rsidRDefault="0073223F" w:rsidP="0073223F">
      <w:pPr>
        <w:autoSpaceDE w:val="0"/>
        <w:autoSpaceDN w:val="0"/>
        <w:adjustRightInd w:val="0"/>
        <w:rPr>
          <w:rFonts w:eastAsia="TimesNewRoman"/>
          <w:color w:val="367FFF"/>
          <w:szCs w:val="22"/>
        </w:rPr>
      </w:pPr>
      <w:r w:rsidRPr="0073223F">
        <w:rPr>
          <w:rFonts w:eastAsia="TimesNewRoman"/>
          <w:color w:val="000000"/>
          <w:szCs w:val="22"/>
        </w:rPr>
        <w:t xml:space="preserve">ECFS: </w:t>
      </w:r>
      <w:hyperlink r:id="rId14" w:history="1">
        <w:r w:rsidRPr="00F25972">
          <w:rPr>
            <w:rStyle w:val="Hyperlink"/>
            <w:rFonts w:eastAsia="TimesNewRoman"/>
            <w:szCs w:val="22"/>
          </w:rPr>
          <w:t>https://www.fcc.gov/ecfs/</w:t>
        </w:r>
      </w:hyperlink>
    </w:p>
    <w:p w14:paraId="6CC30711" w14:textId="77777777" w:rsidR="0073223F" w:rsidRPr="0073223F" w:rsidRDefault="0073223F" w:rsidP="0073223F">
      <w:pPr>
        <w:autoSpaceDE w:val="0"/>
        <w:autoSpaceDN w:val="0"/>
        <w:adjustRightInd w:val="0"/>
        <w:rPr>
          <w:rFonts w:eastAsia="TimesNewRoman"/>
          <w:color w:val="367FFF"/>
          <w:szCs w:val="22"/>
        </w:rPr>
      </w:pPr>
    </w:p>
    <w:p w14:paraId="1325D581" w14:textId="77777777" w:rsidR="0073223F" w:rsidRPr="00C61DC6" w:rsidRDefault="0073223F" w:rsidP="0073223F">
      <w:pPr>
        <w:numPr>
          <w:ilvl w:val="0"/>
          <w:numId w:val="32"/>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2D7C7C86" w14:textId="77777777" w:rsidR="0073223F" w:rsidRPr="00C61DC6" w:rsidRDefault="0073223F" w:rsidP="0073223F">
      <w:pPr>
        <w:numPr>
          <w:ilvl w:val="1"/>
          <w:numId w:val="32"/>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1BC1DF2C" w14:textId="77777777" w:rsidR="0073223F" w:rsidRPr="00C61DC6" w:rsidRDefault="0073223F" w:rsidP="0073223F">
      <w:pPr>
        <w:numPr>
          <w:ilvl w:val="1"/>
          <w:numId w:val="32"/>
        </w:numPr>
        <w:spacing w:after="120"/>
        <w:rPr>
          <w:szCs w:val="22"/>
        </w:rPr>
      </w:pPr>
      <w:r>
        <w:rPr>
          <w:szCs w:val="22"/>
        </w:rPr>
        <w:t>Commercial overnight mail (other than U.S. Postal Service Express Mail and Priority Mail) must be sent to 9300 East Hampton Drive, Capitol Heights, MD  20743.</w:t>
      </w:r>
    </w:p>
    <w:p w14:paraId="779B6130" w14:textId="77777777" w:rsidR="0073223F" w:rsidRPr="00C61DC6" w:rsidRDefault="0073223F" w:rsidP="0073223F">
      <w:pPr>
        <w:numPr>
          <w:ilvl w:val="1"/>
          <w:numId w:val="32"/>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1EEC7636" w14:textId="184B7532" w:rsidR="0073223F" w:rsidRDefault="0073223F" w:rsidP="0073223F">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w:t>
      </w:r>
      <w:r w:rsidR="00674392">
        <w:rPr>
          <w:szCs w:val="22"/>
        </w:rPr>
        <w:t>TTY</w:t>
      </w:r>
      <w:r>
        <w:rPr>
          <w:szCs w:val="22"/>
        </w:rPr>
        <w:t>).</w:t>
      </w:r>
    </w:p>
    <w:p w14:paraId="707FAE2F" w14:textId="77777777" w:rsidR="0073223F" w:rsidRPr="00C61DC6" w:rsidRDefault="0073223F" w:rsidP="0073223F">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7"/>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w:t>
      </w:r>
      <w:r>
        <w:lastRenderedPageBreak/>
        <w:t xml:space="preserve">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6D4A4698" w14:textId="057E7440" w:rsidR="0073223F" w:rsidRDefault="0073223F" w:rsidP="0073223F">
      <w:pPr>
        <w:ind w:firstLine="720"/>
        <w:rPr>
          <w:szCs w:val="22"/>
        </w:rPr>
      </w:pPr>
      <w:r>
        <w:rPr>
          <w:szCs w:val="22"/>
        </w:rPr>
        <w:t>For further information, please contact Garnet Hanly, Telecommunications Access Policy Division, Wireline Competition Bureau at (202) 418-0995 or via email at Garnet.Hanly@fcc.gov.</w:t>
      </w:r>
    </w:p>
    <w:p w14:paraId="5583296E" w14:textId="77777777" w:rsidR="0073223F" w:rsidRDefault="0073223F" w:rsidP="0073223F">
      <w:pPr>
        <w:rPr>
          <w:szCs w:val="22"/>
        </w:rPr>
      </w:pPr>
    </w:p>
    <w:p w14:paraId="5272F073" w14:textId="75BC690B" w:rsidR="0073223F" w:rsidRDefault="0073223F" w:rsidP="006044A0">
      <w:pPr>
        <w:jc w:val="center"/>
        <w:rPr>
          <w:rFonts w:eastAsia="TimesNewRoman"/>
          <w:color w:val="000000"/>
          <w:szCs w:val="22"/>
        </w:rPr>
      </w:pPr>
      <w:r>
        <w:rPr>
          <w:b/>
          <w:szCs w:val="22"/>
        </w:rPr>
        <w:t>- FCC -</w:t>
      </w:r>
    </w:p>
    <w:p w14:paraId="1E7F4279" w14:textId="77777777" w:rsidR="0073223F" w:rsidRDefault="0073223F" w:rsidP="0073223F">
      <w:pPr>
        <w:pStyle w:val="ListParagraph"/>
        <w:autoSpaceDE w:val="0"/>
        <w:autoSpaceDN w:val="0"/>
        <w:adjustRightInd w:val="0"/>
        <w:rPr>
          <w:rFonts w:eastAsia="TimesNewRoman"/>
          <w:color w:val="000000"/>
          <w:szCs w:val="22"/>
        </w:rPr>
      </w:pPr>
    </w:p>
    <w:p w14:paraId="32E61B5F" w14:textId="49BA61E9" w:rsidR="005F57CA" w:rsidRPr="007A4751" w:rsidRDefault="005F57CA" w:rsidP="00150C53">
      <w:pPr>
        <w:tabs>
          <w:tab w:val="left" w:pos="720"/>
        </w:tabs>
        <w:rPr>
          <w:szCs w:val="22"/>
        </w:rPr>
      </w:pPr>
    </w:p>
    <w:p w14:paraId="30AC899C" w14:textId="77777777" w:rsidR="00602577" w:rsidRPr="007A4751" w:rsidRDefault="00602577" w:rsidP="00FF4092">
      <w:pPr>
        <w:jc w:val="center"/>
        <w:rPr>
          <w:szCs w:val="22"/>
        </w:rPr>
      </w:pPr>
    </w:p>
    <w:sectPr w:rsidR="00602577" w:rsidRPr="007A4751" w:rsidSect="00B47BB5">
      <w:type w:val="continuous"/>
      <w:pgSz w:w="12240" w:h="15840" w:code="1"/>
      <w:pgMar w:top="1440" w:right="1440" w:bottom="1440" w:left="1440" w:header="144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70FAA" w14:textId="77777777" w:rsidR="00617AEF" w:rsidRDefault="00617AEF">
      <w:r>
        <w:separator/>
      </w:r>
    </w:p>
  </w:endnote>
  <w:endnote w:type="continuationSeparator" w:id="0">
    <w:p w14:paraId="2C27A0BA" w14:textId="77777777" w:rsidR="00617AEF" w:rsidRDefault="00617AEF">
      <w:r>
        <w:continuationSeparator/>
      </w:r>
    </w:p>
  </w:endnote>
  <w:endnote w:type="continuationNotice" w:id="1">
    <w:p w14:paraId="4F1EF3E3" w14:textId="77777777" w:rsidR="00617AEF" w:rsidRDefault="00617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BAD0F" w14:textId="77777777" w:rsidR="00BF39E7" w:rsidRDefault="00BF3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3504"/>
      <w:docPartObj>
        <w:docPartGallery w:val="Page Numbers (Bottom of Page)"/>
        <w:docPartUnique/>
      </w:docPartObj>
    </w:sdtPr>
    <w:sdtEndPr>
      <w:rPr>
        <w:noProof/>
      </w:rPr>
    </w:sdtEndPr>
    <w:sdtContent>
      <w:p w14:paraId="0D8C7451" w14:textId="065F9DE6" w:rsidR="00BF320E" w:rsidRDefault="00BF320E" w:rsidP="008043C6">
        <w:pPr>
          <w:pStyle w:val="Footer"/>
          <w:jc w:val="center"/>
        </w:pPr>
        <w:r>
          <w:fldChar w:fldCharType="begin"/>
        </w:r>
        <w:r>
          <w:instrText xml:space="preserve"> PAGE   \* MERGEFORMAT </w:instrText>
        </w:r>
        <w:r>
          <w:fldChar w:fldCharType="separate"/>
        </w:r>
        <w:r w:rsidR="0066387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69F3" w14:textId="77777777" w:rsidR="00BF39E7" w:rsidRDefault="00BF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ECBF3" w14:textId="77777777" w:rsidR="00617AEF" w:rsidRDefault="00617AEF">
      <w:r>
        <w:separator/>
      </w:r>
    </w:p>
  </w:footnote>
  <w:footnote w:type="continuationSeparator" w:id="0">
    <w:p w14:paraId="6710B73C" w14:textId="77777777" w:rsidR="00617AEF" w:rsidRDefault="00617AEF">
      <w:r>
        <w:continuationSeparator/>
      </w:r>
    </w:p>
  </w:footnote>
  <w:footnote w:type="continuationNotice" w:id="1">
    <w:p w14:paraId="00973695" w14:textId="77777777" w:rsidR="00617AEF" w:rsidRDefault="00617AEF"/>
  </w:footnote>
  <w:footnote w:id="2">
    <w:p w14:paraId="3E94D20C" w14:textId="08627ACC" w:rsidR="00BF320E" w:rsidRPr="001253BB" w:rsidRDefault="00BF320E" w:rsidP="00516278">
      <w:pPr>
        <w:pStyle w:val="FootnoteText"/>
        <w:spacing w:after="120"/>
        <w:rPr>
          <w:sz w:val="20"/>
        </w:rPr>
      </w:pPr>
      <w:r w:rsidRPr="00C02EBF">
        <w:rPr>
          <w:rStyle w:val="FootnoteReference"/>
          <w:sz w:val="20"/>
        </w:rPr>
        <w:footnoteRef/>
      </w:r>
      <w:r w:rsidRPr="00C02EBF">
        <w:rPr>
          <w:sz w:val="20"/>
        </w:rPr>
        <w:t xml:space="preserve"> </w:t>
      </w:r>
      <w:r w:rsidRPr="00C02EBF">
        <w:rPr>
          <w:i/>
          <w:sz w:val="20"/>
        </w:rPr>
        <w:t xml:space="preserve">See generally </w:t>
      </w:r>
      <w:r w:rsidR="002253AC">
        <w:rPr>
          <w:i/>
          <w:sz w:val="20"/>
        </w:rPr>
        <w:t xml:space="preserve">Sandwich Isles Improper Payment Order, </w:t>
      </w:r>
      <w:r w:rsidR="00397453">
        <w:rPr>
          <w:sz w:val="20"/>
        </w:rPr>
        <w:t xml:space="preserve">WC Docket No. 10-90, </w:t>
      </w:r>
      <w:r w:rsidR="00437F55">
        <w:rPr>
          <w:sz w:val="20"/>
        </w:rPr>
        <w:t>FCC 16-167 at para</w:t>
      </w:r>
      <w:r w:rsidR="0077007E">
        <w:rPr>
          <w:sz w:val="20"/>
        </w:rPr>
        <w:t>s</w:t>
      </w:r>
      <w:r w:rsidR="00437F55">
        <w:rPr>
          <w:sz w:val="20"/>
        </w:rPr>
        <w:t xml:space="preserve">. </w:t>
      </w:r>
      <w:r w:rsidR="0077007E">
        <w:rPr>
          <w:sz w:val="20"/>
        </w:rPr>
        <w:t>2, 57</w:t>
      </w:r>
      <w:r w:rsidR="00397453">
        <w:rPr>
          <w:sz w:val="20"/>
        </w:rPr>
        <w:t xml:space="preserve"> (2016) (</w:t>
      </w:r>
      <w:r w:rsidR="00397453" w:rsidRPr="001253BB">
        <w:rPr>
          <w:i/>
          <w:sz w:val="20"/>
        </w:rPr>
        <w:t>Sandwich Isles Improper Payment Order</w:t>
      </w:r>
      <w:r w:rsidR="00397453" w:rsidRPr="001253BB">
        <w:rPr>
          <w:sz w:val="20"/>
        </w:rPr>
        <w:t>)</w:t>
      </w:r>
      <w:r w:rsidR="0077007E" w:rsidRPr="001253BB">
        <w:rPr>
          <w:sz w:val="20"/>
        </w:rPr>
        <w:t>.</w:t>
      </w:r>
      <w:r w:rsidRPr="001253BB">
        <w:rPr>
          <w:sz w:val="20"/>
        </w:rPr>
        <w:t xml:space="preserve"> </w:t>
      </w:r>
    </w:p>
  </w:footnote>
  <w:footnote w:id="3">
    <w:p w14:paraId="26388F46" w14:textId="0FEA1F31" w:rsidR="006044A0" w:rsidRPr="001253BB" w:rsidRDefault="006044A0" w:rsidP="001253BB">
      <w:pPr>
        <w:pStyle w:val="FootnoteText"/>
        <w:spacing w:after="120"/>
        <w:rPr>
          <w:sz w:val="20"/>
        </w:rPr>
      </w:pPr>
      <w:r w:rsidRPr="001253BB">
        <w:rPr>
          <w:rStyle w:val="FootnoteReference"/>
          <w:sz w:val="20"/>
        </w:rPr>
        <w:footnoteRef/>
      </w:r>
      <w:r w:rsidRPr="001253BB">
        <w:rPr>
          <w:sz w:val="20"/>
        </w:rPr>
        <w:t xml:space="preserve"> </w:t>
      </w:r>
      <w:r w:rsidRPr="001253BB">
        <w:rPr>
          <w:i/>
          <w:sz w:val="20"/>
        </w:rPr>
        <w:t xml:space="preserve">See </w:t>
      </w:r>
      <w:r w:rsidR="001A0A7C" w:rsidRPr="001253BB">
        <w:rPr>
          <w:i/>
          <w:sz w:val="20"/>
        </w:rPr>
        <w:t xml:space="preserve">id. </w:t>
      </w:r>
      <w:r w:rsidRPr="001253BB">
        <w:rPr>
          <w:sz w:val="20"/>
        </w:rPr>
        <w:t xml:space="preserve">at para. 58 (citing </w:t>
      </w:r>
      <w:r w:rsidRPr="001253BB">
        <w:rPr>
          <w:i/>
          <w:sz w:val="20"/>
        </w:rPr>
        <w:t xml:space="preserve">Sandwich Isles Communications, Inc., Petition for Waiver of the Definition of “Study Area” Contained in Part 36, Appendix-Glossary and Sections 36.611 and 69.22(hh) of the Commission’s Rules, </w:t>
      </w:r>
      <w:r w:rsidRPr="001253BB">
        <w:rPr>
          <w:sz w:val="20"/>
        </w:rPr>
        <w:t>Order, 20 FCC Rcd 8999 (WCB 2005)</w:t>
      </w:r>
      <w:r w:rsidRPr="001253BB">
        <w:rPr>
          <w:i/>
          <w:sz w:val="20"/>
        </w:rPr>
        <w:t xml:space="preserve"> </w:t>
      </w:r>
      <w:r w:rsidRPr="001253BB">
        <w:rPr>
          <w:sz w:val="20"/>
        </w:rPr>
        <w:t>(</w:t>
      </w:r>
      <w:r w:rsidRPr="001253BB">
        <w:rPr>
          <w:i/>
          <w:sz w:val="20"/>
        </w:rPr>
        <w:t>Bureau Order on Waiver of Study Area Boundary</w:t>
      </w:r>
      <w:r w:rsidRPr="001253BB">
        <w:rPr>
          <w:sz w:val="20"/>
        </w:rPr>
        <w:t>)</w:t>
      </w:r>
      <w:r w:rsidR="001A0A7C" w:rsidRPr="001253BB">
        <w:rPr>
          <w:sz w:val="20"/>
        </w:rPr>
        <w:t>)</w:t>
      </w:r>
      <w:r w:rsidRPr="001253BB">
        <w:rPr>
          <w:sz w:val="20"/>
        </w:rPr>
        <w:t xml:space="preserve">.  </w:t>
      </w:r>
    </w:p>
  </w:footnote>
  <w:footnote w:id="4">
    <w:p w14:paraId="4B6A950B" w14:textId="37EDE377" w:rsidR="007F7003" w:rsidRPr="001253BB" w:rsidRDefault="007F7003">
      <w:pPr>
        <w:pStyle w:val="FootnoteText"/>
        <w:rPr>
          <w:sz w:val="20"/>
        </w:rPr>
      </w:pPr>
      <w:r w:rsidRPr="001253BB">
        <w:rPr>
          <w:rStyle w:val="FootnoteReference"/>
          <w:sz w:val="20"/>
        </w:rPr>
        <w:footnoteRef/>
      </w:r>
      <w:r w:rsidRPr="001253BB">
        <w:rPr>
          <w:sz w:val="20"/>
        </w:rPr>
        <w:t xml:space="preserve"> </w:t>
      </w:r>
      <w:r w:rsidR="001253BB" w:rsidRPr="001253BB">
        <w:rPr>
          <w:i/>
          <w:sz w:val="20"/>
        </w:rPr>
        <w:t>Id.</w:t>
      </w:r>
    </w:p>
  </w:footnote>
  <w:footnote w:id="5">
    <w:p w14:paraId="7A13BC19" w14:textId="15AFA0AC" w:rsidR="001253BB" w:rsidRPr="001253BB" w:rsidRDefault="001253BB">
      <w:pPr>
        <w:pStyle w:val="FootnoteText"/>
        <w:rPr>
          <w:sz w:val="20"/>
        </w:rPr>
      </w:pPr>
      <w:r w:rsidRPr="001253BB">
        <w:rPr>
          <w:rStyle w:val="FootnoteReference"/>
          <w:sz w:val="20"/>
        </w:rPr>
        <w:footnoteRef/>
      </w:r>
      <w:r w:rsidRPr="001253BB">
        <w:rPr>
          <w:sz w:val="20"/>
        </w:rPr>
        <w:t xml:space="preserve"> </w:t>
      </w:r>
      <w:r w:rsidRPr="001253BB">
        <w:rPr>
          <w:i/>
          <w:sz w:val="20"/>
        </w:rPr>
        <w:t xml:space="preserve">See id. </w:t>
      </w:r>
      <w:r w:rsidRPr="001253BB">
        <w:rPr>
          <w:sz w:val="20"/>
        </w:rPr>
        <w:t>at para. 58.</w:t>
      </w:r>
    </w:p>
  </w:footnote>
  <w:footnote w:id="6">
    <w:p w14:paraId="09727948" w14:textId="66C3274E" w:rsidR="003D001E" w:rsidRPr="009507F5" w:rsidRDefault="003D001E" w:rsidP="003C7F03">
      <w:pPr>
        <w:pStyle w:val="FootnoteText"/>
        <w:rPr>
          <w:sz w:val="20"/>
        </w:rPr>
      </w:pPr>
      <w:r w:rsidRPr="009507F5">
        <w:rPr>
          <w:rStyle w:val="FootnoteReference"/>
          <w:sz w:val="20"/>
        </w:rPr>
        <w:footnoteRef/>
      </w:r>
      <w:r w:rsidRPr="009507F5">
        <w:rPr>
          <w:sz w:val="20"/>
        </w:rPr>
        <w:t xml:space="preserve"> </w:t>
      </w:r>
      <w:r w:rsidR="003C7F03" w:rsidRPr="009507F5">
        <w:rPr>
          <w:sz w:val="20"/>
        </w:rPr>
        <w:t>In a</w:t>
      </w:r>
      <w:r w:rsidRPr="009507F5">
        <w:rPr>
          <w:sz w:val="20"/>
        </w:rPr>
        <w:t xml:space="preserve"> separate Notice of Apparent Liability</w:t>
      </w:r>
      <w:r w:rsidR="003C7F03" w:rsidRPr="009507F5">
        <w:rPr>
          <w:sz w:val="20"/>
        </w:rPr>
        <w:t>, the Commission</w:t>
      </w:r>
      <w:r w:rsidRPr="009507F5">
        <w:rPr>
          <w:sz w:val="20"/>
        </w:rPr>
        <w:t xml:space="preserve"> </w:t>
      </w:r>
      <w:r w:rsidR="003C7F03" w:rsidRPr="009507F5">
        <w:rPr>
          <w:sz w:val="20"/>
        </w:rPr>
        <w:t>directed</w:t>
      </w:r>
      <w:r w:rsidRPr="009507F5">
        <w:rPr>
          <w:sz w:val="20"/>
        </w:rPr>
        <w:t xml:space="preserve"> </w:t>
      </w:r>
      <w:r w:rsidR="003C7F03" w:rsidRPr="009507F5">
        <w:rPr>
          <w:sz w:val="20"/>
        </w:rPr>
        <w:t xml:space="preserve">Sandwich Isles to submit a report by February 3, 2017 “explaining why the Commission should not initiate proceedings against SIC to revoke its Commission authorizations, including but not limited to, its Section 214 authorizations,” and directed the Bureau to issue a </w:t>
      </w:r>
      <w:r w:rsidR="009507F5">
        <w:rPr>
          <w:sz w:val="20"/>
        </w:rPr>
        <w:t>p</w:t>
      </w:r>
      <w:r w:rsidR="003C7F03" w:rsidRPr="009507F5">
        <w:rPr>
          <w:sz w:val="20"/>
        </w:rPr>
        <w:t xml:space="preserve">ublic </w:t>
      </w:r>
      <w:r w:rsidR="009507F5">
        <w:rPr>
          <w:sz w:val="20"/>
        </w:rPr>
        <w:t>n</w:t>
      </w:r>
      <w:r w:rsidR="003C7F03" w:rsidRPr="009507F5">
        <w:rPr>
          <w:sz w:val="20"/>
        </w:rPr>
        <w:t xml:space="preserve">otice seeking comment from the HPUC, DHHL, and other stakeholders on that question.  </w:t>
      </w:r>
      <w:r w:rsidR="009507F5" w:rsidRPr="009507F5">
        <w:rPr>
          <w:i/>
          <w:sz w:val="20"/>
        </w:rPr>
        <w:t xml:space="preserve">Sandwich Isles Communications, Inc., Waimana Enterprises, Inc., Albert S.N. Hee, </w:t>
      </w:r>
      <w:r w:rsidR="009507F5" w:rsidRPr="009507F5">
        <w:rPr>
          <w:sz w:val="20"/>
        </w:rPr>
        <w:t>File No. EB-IHD-15-00019603, NAL/Acct. No.: 201732080004, FRN: 0001514090, Notice of Apparent Liability for Forfeiture and Order, FCC 16-165 at para. 84 (2016)</w:t>
      </w:r>
      <w:r w:rsidR="009507F5">
        <w:rPr>
          <w:sz w:val="20"/>
        </w:rPr>
        <w:t>.</w:t>
      </w:r>
      <w:r w:rsidR="009507F5" w:rsidRPr="009507F5">
        <w:rPr>
          <w:sz w:val="20"/>
        </w:rPr>
        <w:t xml:space="preserve"> </w:t>
      </w:r>
      <w:r w:rsidR="003C7F03" w:rsidRPr="009507F5">
        <w:rPr>
          <w:sz w:val="20"/>
        </w:rPr>
        <w:t xml:space="preserve">The Bureau anticipates issuing that </w:t>
      </w:r>
      <w:r w:rsidR="009507F5">
        <w:rPr>
          <w:sz w:val="20"/>
        </w:rPr>
        <w:t>p</w:t>
      </w:r>
      <w:r w:rsidR="003C7F03" w:rsidRPr="009507F5">
        <w:rPr>
          <w:sz w:val="20"/>
        </w:rPr>
        <w:t>ublic</w:t>
      </w:r>
      <w:r w:rsidR="009507F5">
        <w:rPr>
          <w:sz w:val="20"/>
        </w:rPr>
        <w:t xml:space="preserve"> n</w:t>
      </w:r>
      <w:r w:rsidR="003C7F03" w:rsidRPr="009507F5">
        <w:rPr>
          <w:sz w:val="20"/>
        </w:rPr>
        <w:t xml:space="preserve">otice at a later date.  </w:t>
      </w:r>
    </w:p>
  </w:footnote>
  <w:footnote w:id="7">
    <w:p w14:paraId="63DEEC09" w14:textId="77777777" w:rsidR="00BF320E" w:rsidRPr="009507F5" w:rsidRDefault="00BF320E" w:rsidP="00516278">
      <w:pPr>
        <w:pStyle w:val="FootnoteText"/>
        <w:spacing w:after="120"/>
        <w:rPr>
          <w:i/>
          <w:iCs/>
          <w:sz w:val="20"/>
        </w:rPr>
      </w:pPr>
      <w:r w:rsidRPr="009507F5">
        <w:rPr>
          <w:rStyle w:val="FootnoteReference"/>
          <w:sz w:val="20"/>
        </w:rPr>
        <w:footnoteRef/>
      </w:r>
      <w:r w:rsidRPr="009507F5">
        <w:rPr>
          <w:sz w:val="20"/>
        </w:rPr>
        <w:t xml:space="preserve"> 47 CFR §§ 1.1200 </w:t>
      </w:r>
      <w:r w:rsidRPr="009507F5">
        <w:rPr>
          <w:i/>
          <w:iCs/>
          <w:sz w:val="20"/>
        </w:rPr>
        <w:t>et seq.</w:t>
      </w:r>
    </w:p>
    <w:p w14:paraId="7A11F028" w14:textId="77777777" w:rsidR="00BF320E" w:rsidRPr="009507F5" w:rsidRDefault="00BF320E" w:rsidP="00516278">
      <w:pPr>
        <w:pStyle w:val="FootnoteText"/>
        <w:spacing w:after="120"/>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E73D" w14:textId="77777777" w:rsidR="00BF39E7" w:rsidRDefault="00BF39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B3D5" w14:textId="77777777" w:rsidR="00BF39E7" w:rsidRDefault="00BF39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5FE7" w14:textId="2A6986F5" w:rsidR="00BF320E" w:rsidRDefault="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AD849" wp14:editId="5B37FB14">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AD849"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14:anchorId="735CE369" wp14:editId="246641EE">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14:paraId="78D0DFA1" w14:textId="19EF35FD"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0263DDA6" wp14:editId="40F17AC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5C3EB6"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08883E18" wp14:editId="08F6F162">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83E18"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5"/>
  </w:num>
  <w:num w:numId="30">
    <w:abstractNumId w:val="11"/>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265AE"/>
    <w:rsid w:val="00045B50"/>
    <w:rsid w:val="00051EC6"/>
    <w:rsid w:val="0008243F"/>
    <w:rsid w:val="000861E0"/>
    <w:rsid w:val="000871C7"/>
    <w:rsid w:val="000910AA"/>
    <w:rsid w:val="00091B5B"/>
    <w:rsid w:val="000B6924"/>
    <w:rsid w:val="000C4416"/>
    <w:rsid w:val="000C6B8E"/>
    <w:rsid w:val="000D3A9B"/>
    <w:rsid w:val="000E5FA5"/>
    <w:rsid w:val="00103814"/>
    <w:rsid w:val="0011197A"/>
    <w:rsid w:val="00112FC7"/>
    <w:rsid w:val="001253BB"/>
    <w:rsid w:val="00150C53"/>
    <w:rsid w:val="001514F9"/>
    <w:rsid w:val="00153024"/>
    <w:rsid w:val="001678E5"/>
    <w:rsid w:val="00175A94"/>
    <w:rsid w:val="00180B23"/>
    <w:rsid w:val="0018301E"/>
    <w:rsid w:val="001847A1"/>
    <w:rsid w:val="00187B6B"/>
    <w:rsid w:val="001A0A7C"/>
    <w:rsid w:val="001B64CA"/>
    <w:rsid w:val="001C49FA"/>
    <w:rsid w:val="001D1C72"/>
    <w:rsid w:val="001D7A31"/>
    <w:rsid w:val="001E241C"/>
    <w:rsid w:val="001E49AC"/>
    <w:rsid w:val="001F0DDB"/>
    <w:rsid w:val="00210882"/>
    <w:rsid w:val="0021097B"/>
    <w:rsid w:val="00215A35"/>
    <w:rsid w:val="00223357"/>
    <w:rsid w:val="002253AC"/>
    <w:rsid w:val="002407BA"/>
    <w:rsid w:val="00240B31"/>
    <w:rsid w:val="00270C78"/>
    <w:rsid w:val="0027168F"/>
    <w:rsid w:val="0028547A"/>
    <w:rsid w:val="002973AB"/>
    <w:rsid w:val="002974A4"/>
    <w:rsid w:val="002D48D7"/>
    <w:rsid w:val="002E764D"/>
    <w:rsid w:val="003055D5"/>
    <w:rsid w:val="00322510"/>
    <w:rsid w:val="00337538"/>
    <w:rsid w:val="00337956"/>
    <w:rsid w:val="003637F7"/>
    <w:rsid w:val="0039335F"/>
    <w:rsid w:val="003947DD"/>
    <w:rsid w:val="00395CF7"/>
    <w:rsid w:val="003973D2"/>
    <w:rsid w:val="00397453"/>
    <w:rsid w:val="003A65FD"/>
    <w:rsid w:val="003A71DA"/>
    <w:rsid w:val="003B1534"/>
    <w:rsid w:val="003B3065"/>
    <w:rsid w:val="003B3424"/>
    <w:rsid w:val="003C1DA8"/>
    <w:rsid w:val="003C2F4C"/>
    <w:rsid w:val="003C7F03"/>
    <w:rsid w:val="003D001E"/>
    <w:rsid w:val="003D06D0"/>
    <w:rsid w:val="003E38F3"/>
    <w:rsid w:val="003E6A10"/>
    <w:rsid w:val="00400662"/>
    <w:rsid w:val="00433690"/>
    <w:rsid w:val="00433B1F"/>
    <w:rsid w:val="004373A2"/>
    <w:rsid w:val="00437F55"/>
    <w:rsid w:val="00443C62"/>
    <w:rsid w:val="00450A18"/>
    <w:rsid w:val="00466547"/>
    <w:rsid w:val="0046662A"/>
    <w:rsid w:val="004B40EF"/>
    <w:rsid w:val="004B6E9D"/>
    <w:rsid w:val="004E3256"/>
    <w:rsid w:val="004F3CA6"/>
    <w:rsid w:val="004F451F"/>
    <w:rsid w:val="005043F4"/>
    <w:rsid w:val="005066AD"/>
    <w:rsid w:val="00516278"/>
    <w:rsid w:val="00524E05"/>
    <w:rsid w:val="00530A8E"/>
    <w:rsid w:val="00544413"/>
    <w:rsid w:val="005524CF"/>
    <w:rsid w:val="005567F7"/>
    <w:rsid w:val="005721F7"/>
    <w:rsid w:val="00574BB1"/>
    <w:rsid w:val="00577FCC"/>
    <w:rsid w:val="005C08F7"/>
    <w:rsid w:val="005C1482"/>
    <w:rsid w:val="005F3932"/>
    <w:rsid w:val="005F57CA"/>
    <w:rsid w:val="005F6C6F"/>
    <w:rsid w:val="00600456"/>
    <w:rsid w:val="00601C63"/>
    <w:rsid w:val="00602577"/>
    <w:rsid w:val="006044A0"/>
    <w:rsid w:val="00617AEF"/>
    <w:rsid w:val="0063300E"/>
    <w:rsid w:val="006422A8"/>
    <w:rsid w:val="006576D2"/>
    <w:rsid w:val="00662D8A"/>
    <w:rsid w:val="0066387D"/>
    <w:rsid w:val="00674392"/>
    <w:rsid w:val="006811D0"/>
    <w:rsid w:val="0069406A"/>
    <w:rsid w:val="006F296E"/>
    <w:rsid w:val="006F49EB"/>
    <w:rsid w:val="00706CD5"/>
    <w:rsid w:val="00720042"/>
    <w:rsid w:val="0072583D"/>
    <w:rsid w:val="0073223F"/>
    <w:rsid w:val="00745DAE"/>
    <w:rsid w:val="007567FC"/>
    <w:rsid w:val="0077007E"/>
    <w:rsid w:val="00774286"/>
    <w:rsid w:val="0078013E"/>
    <w:rsid w:val="00792E4B"/>
    <w:rsid w:val="007A4751"/>
    <w:rsid w:val="007E1F94"/>
    <w:rsid w:val="007F7003"/>
    <w:rsid w:val="008025A6"/>
    <w:rsid w:val="008043C6"/>
    <w:rsid w:val="00810AFF"/>
    <w:rsid w:val="00812AFC"/>
    <w:rsid w:val="00833073"/>
    <w:rsid w:val="00847E40"/>
    <w:rsid w:val="008630E1"/>
    <w:rsid w:val="008700BD"/>
    <w:rsid w:val="00873345"/>
    <w:rsid w:val="008749AD"/>
    <w:rsid w:val="0089301B"/>
    <w:rsid w:val="00897BFD"/>
    <w:rsid w:val="008C76A0"/>
    <w:rsid w:val="00922632"/>
    <w:rsid w:val="00931B94"/>
    <w:rsid w:val="00934245"/>
    <w:rsid w:val="009507F5"/>
    <w:rsid w:val="0095098F"/>
    <w:rsid w:val="009557E3"/>
    <w:rsid w:val="00971D2B"/>
    <w:rsid w:val="0098175F"/>
    <w:rsid w:val="00996BD3"/>
    <w:rsid w:val="009D60F2"/>
    <w:rsid w:val="009E1C24"/>
    <w:rsid w:val="009E2A26"/>
    <w:rsid w:val="009F7803"/>
    <w:rsid w:val="00A05ADF"/>
    <w:rsid w:val="00A12521"/>
    <w:rsid w:val="00A15A0C"/>
    <w:rsid w:val="00A20D8A"/>
    <w:rsid w:val="00A56735"/>
    <w:rsid w:val="00A90184"/>
    <w:rsid w:val="00AA3978"/>
    <w:rsid w:val="00AB479F"/>
    <w:rsid w:val="00AB7779"/>
    <w:rsid w:val="00AC3D1F"/>
    <w:rsid w:val="00AF6887"/>
    <w:rsid w:val="00B26D44"/>
    <w:rsid w:val="00B324AE"/>
    <w:rsid w:val="00B3390A"/>
    <w:rsid w:val="00B37253"/>
    <w:rsid w:val="00B40500"/>
    <w:rsid w:val="00B4136B"/>
    <w:rsid w:val="00B47BB5"/>
    <w:rsid w:val="00B547F1"/>
    <w:rsid w:val="00B66810"/>
    <w:rsid w:val="00B7780D"/>
    <w:rsid w:val="00B77E2B"/>
    <w:rsid w:val="00B8364B"/>
    <w:rsid w:val="00BB0BD3"/>
    <w:rsid w:val="00BC36A5"/>
    <w:rsid w:val="00BE72D9"/>
    <w:rsid w:val="00BF320E"/>
    <w:rsid w:val="00BF39E7"/>
    <w:rsid w:val="00C00460"/>
    <w:rsid w:val="00C00A7A"/>
    <w:rsid w:val="00C02EBF"/>
    <w:rsid w:val="00C25F48"/>
    <w:rsid w:val="00C37CB6"/>
    <w:rsid w:val="00C80A73"/>
    <w:rsid w:val="00C908D2"/>
    <w:rsid w:val="00C9498E"/>
    <w:rsid w:val="00C95A91"/>
    <w:rsid w:val="00CA686E"/>
    <w:rsid w:val="00CB1952"/>
    <w:rsid w:val="00CB29C9"/>
    <w:rsid w:val="00CB5380"/>
    <w:rsid w:val="00CB53E2"/>
    <w:rsid w:val="00CD057B"/>
    <w:rsid w:val="00CD2A3D"/>
    <w:rsid w:val="00CD55FB"/>
    <w:rsid w:val="00CE1082"/>
    <w:rsid w:val="00CF3235"/>
    <w:rsid w:val="00D01737"/>
    <w:rsid w:val="00D1563D"/>
    <w:rsid w:val="00D17DC0"/>
    <w:rsid w:val="00D20E2F"/>
    <w:rsid w:val="00D25C12"/>
    <w:rsid w:val="00D32530"/>
    <w:rsid w:val="00D43A33"/>
    <w:rsid w:val="00D470AE"/>
    <w:rsid w:val="00D60158"/>
    <w:rsid w:val="00D60EFF"/>
    <w:rsid w:val="00D636A7"/>
    <w:rsid w:val="00D63FDA"/>
    <w:rsid w:val="00D71031"/>
    <w:rsid w:val="00D73314"/>
    <w:rsid w:val="00D75BA7"/>
    <w:rsid w:val="00DD35A6"/>
    <w:rsid w:val="00DE0672"/>
    <w:rsid w:val="00DE6175"/>
    <w:rsid w:val="00DE7913"/>
    <w:rsid w:val="00DF5AE9"/>
    <w:rsid w:val="00E03F53"/>
    <w:rsid w:val="00E0442E"/>
    <w:rsid w:val="00E05E2F"/>
    <w:rsid w:val="00E35040"/>
    <w:rsid w:val="00E47A76"/>
    <w:rsid w:val="00E563CF"/>
    <w:rsid w:val="00E63488"/>
    <w:rsid w:val="00E70BA1"/>
    <w:rsid w:val="00E8692A"/>
    <w:rsid w:val="00E86B4C"/>
    <w:rsid w:val="00EA0B8F"/>
    <w:rsid w:val="00EA1405"/>
    <w:rsid w:val="00EA63E6"/>
    <w:rsid w:val="00ED1081"/>
    <w:rsid w:val="00ED3EC6"/>
    <w:rsid w:val="00EF2048"/>
    <w:rsid w:val="00F003BC"/>
    <w:rsid w:val="00F10C5E"/>
    <w:rsid w:val="00F136E9"/>
    <w:rsid w:val="00F14517"/>
    <w:rsid w:val="00F16066"/>
    <w:rsid w:val="00F17D41"/>
    <w:rsid w:val="00F40B6D"/>
    <w:rsid w:val="00F45482"/>
    <w:rsid w:val="00F45AE1"/>
    <w:rsid w:val="00F53908"/>
    <w:rsid w:val="00F666C6"/>
    <w:rsid w:val="00F71C41"/>
    <w:rsid w:val="00F85326"/>
    <w:rsid w:val="00F86868"/>
    <w:rsid w:val="00F97B19"/>
    <w:rsid w:val="00FA1F75"/>
    <w:rsid w:val="00FA6073"/>
    <w:rsid w:val="00FB7664"/>
    <w:rsid w:val="00FC1B87"/>
    <w:rsid w:val="00FC2537"/>
    <w:rsid w:val="00FC45C1"/>
    <w:rsid w:val="00FD165C"/>
    <w:rsid w:val="00FE5DE6"/>
    <w:rsid w:val="00FF3C50"/>
    <w:rsid w:val="00FF3F3F"/>
    <w:rsid w:val="00FF4092"/>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uiPriority w:val="99"/>
    <w:semiHidden/>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3</Pages>
  <Words>833</Words>
  <Characters>4737</Characters>
  <Application>Microsoft Office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2016-12-20T16:25:00Z</dcterms:created>
  <dcterms:modified xsi:type="dcterms:W3CDTF">2016-12-20T16:25:00Z</dcterms:modified>
  <cp:category> </cp:category>
  <cp:contentStatus> </cp:contentStatus>
</cp:coreProperties>
</file>