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285B65" w:rsidRDefault="00602577">
      <w:pPr>
        <w:pStyle w:val="Header"/>
        <w:tabs>
          <w:tab w:val="clear" w:pos="4320"/>
          <w:tab w:val="clear" w:pos="8640"/>
        </w:tabs>
        <w:rPr>
          <w:szCs w:val="22"/>
        </w:rPr>
        <w:sectPr w:rsidR="00602577" w:rsidRPr="00285B6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85B65" w:rsidRPr="00285B65" w:rsidRDefault="00285B65" w:rsidP="00285B65">
      <w:pPr>
        <w:widowControl w:val="0"/>
        <w:tabs>
          <w:tab w:val="left" w:pos="8532"/>
        </w:tabs>
        <w:rPr>
          <w:b/>
          <w:snapToGrid w:val="0"/>
          <w:kern w:val="28"/>
          <w:szCs w:val="22"/>
        </w:rPr>
      </w:pPr>
    </w:p>
    <w:p w:rsidR="00285B65" w:rsidRPr="00285B65" w:rsidRDefault="00285B65" w:rsidP="00285B65">
      <w:pPr>
        <w:widowControl w:val="0"/>
        <w:jc w:val="right"/>
        <w:rPr>
          <w:b/>
          <w:snapToGrid w:val="0"/>
          <w:kern w:val="28"/>
          <w:szCs w:val="22"/>
        </w:rPr>
      </w:pPr>
      <w:r w:rsidRPr="00285B65">
        <w:rPr>
          <w:b/>
          <w:snapToGrid w:val="0"/>
          <w:kern w:val="28"/>
          <w:szCs w:val="22"/>
        </w:rPr>
        <w:t>DA 16-</w:t>
      </w:r>
      <w:r w:rsidR="00AD498B">
        <w:rPr>
          <w:b/>
          <w:snapToGrid w:val="0"/>
          <w:kern w:val="28"/>
          <w:szCs w:val="22"/>
        </w:rPr>
        <w:t>1425</w:t>
      </w:r>
    </w:p>
    <w:p w:rsidR="00285B65" w:rsidRPr="00285B65" w:rsidRDefault="00CE284F" w:rsidP="00285B65">
      <w:pPr>
        <w:widowControl w:val="0"/>
        <w:spacing w:before="60"/>
        <w:jc w:val="right"/>
        <w:rPr>
          <w:b/>
          <w:snapToGrid w:val="0"/>
          <w:kern w:val="28"/>
          <w:szCs w:val="22"/>
        </w:rPr>
      </w:pPr>
      <w:r>
        <w:rPr>
          <w:b/>
          <w:snapToGrid w:val="0"/>
          <w:kern w:val="28"/>
          <w:szCs w:val="22"/>
        </w:rPr>
        <w:t xml:space="preserve">Released:  December </w:t>
      </w:r>
      <w:r w:rsidR="00C87A19">
        <w:rPr>
          <w:b/>
          <w:snapToGrid w:val="0"/>
          <w:kern w:val="28"/>
          <w:szCs w:val="22"/>
        </w:rPr>
        <w:t>21</w:t>
      </w:r>
      <w:r w:rsidR="00285B65" w:rsidRPr="00285B65">
        <w:rPr>
          <w:b/>
          <w:snapToGrid w:val="0"/>
          <w:kern w:val="28"/>
          <w:szCs w:val="22"/>
        </w:rPr>
        <w:t>, 2016</w:t>
      </w:r>
    </w:p>
    <w:p w:rsidR="00285B65" w:rsidRPr="00285B65" w:rsidRDefault="00285B65" w:rsidP="00285B65">
      <w:pPr>
        <w:widowControl w:val="0"/>
        <w:jc w:val="right"/>
        <w:rPr>
          <w:snapToGrid w:val="0"/>
          <w:kern w:val="28"/>
          <w:szCs w:val="22"/>
        </w:rPr>
      </w:pPr>
    </w:p>
    <w:p w:rsidR="00285B65" w:rsidRPr="00285B65" w:rsidRDefault="00285B65" w:rsidP="00285B65">
      <w:pPr>
        <w:widowControl w:val="0"/>
        <w:jc w:val="center"/>
        <w:rPr>
          <w:b/>
          <w:snapToGrid w:val="0"/>
          <w:color w:val="000000"/>
          <w:kern w:val="28"/>
          <w:szCs w:val="22"/>
        </w:rPr>
      </w:pPr>
      <w:r w:rsidRPr="00285B65">
        <w:rPr>
          <w:b/>
          <w:snapToGrid w:val="0"/>
          <w:color w:val="000000"/>
          <w:kern w:val="28"/>
          <w:szCs w:val="22"/>
        </w:rPr>
        <w:t xml:space="preserve">WIRELINE COMPETITION BUREAU AUTHORIZES ALASKA PLAN SUPPORT </w:t>
      </w:r>
    </w:p>
    <w:p w:rsidR="00285B65" w:rsidRPr="00285B65" w:rsidRDefault="00285B65" w:rsidP="00285B65">
      <w:pPr>
        <w:widowControl w:val="0"/>
        <w:jc w:val="center"/>
        <w:rPr>
          <w:b/>
          <w:snapToGrid w:val="0"/>
          <w:color w:val="000000"/>
          <w:kern w:val="28"/>
          <w:szCs w:val="22"/>
        </w:rPr>
      </w:pPr>
      <w:r w:rsidRPr="00285B65">
        <w:rPr>
          <w:b/>
          <w:snapToGrid w:val="0"/>
          <w:color w:val="000000"/>
          <w:kern w:val="28"/>
          <w:szCs w:val="22"/>
        </w:rPr>
        <w:t>FOR 13 ALASKAN RATE-OF-RETURN COMPANIES</w:t>
      </w:r>
    </w:p>
    <w:p w:rsidR="00285B65" w:rsidRPr="00285B65" w:rsidRDefault="00285B65" w:rsidP="00285B65">
      <w:pPr>
        <w:widowControl w:val="0"/>
        <w:jc w:val="center"/>
        <w:rPr>
          <w:b/>
          <w:snapToGrid w:val="0"/>
          <w:kern w:val="28"/>
          <w:szCs w:val="22"/>
        </w:rPr>
      </w:pPr>
    </w:p>
    <w:p w:rsidR="00285B65" w:rsidRPr="00285B65" w:rsidRDefault="00285B65" w:rsidP="00285B65">
      <w:pPr>
        <w:widowControl w:val="0"/>
        <w:jc w:val="center"/>
        <w:rPr>
          <w:b/>
          <w:snapToGrid w:val="0"/>
          <w:kern w:val="28"/>
          <w:szCs w:val="22"/>
        </w:rPr>
      </w:pPr>
      <w:r w:rsidRPr="00285B65">
        <w:rPr>
          <w:b/>
          <w:snapToGrid w:val="0"/>
          <w:kern w:val="28"/>
          <w:szCs w:val="22"/>
        </w:rPr>
        <w:t>WC Docket Nos. 10-90 and 16-271</w:t>
      </w:r>
    </w:p>
    <w:p w:rsidR="00285B65" w:rsidRPr="00285B65" w:rsidRDefault="00285B65" w:rsidP="00285B65">
      <w:pPr>
        <w:widowControl w:val="0"/>
        <w:jc w:val="center"/>
        <w:rPr>
          <w:b/>
          <w:snapToGrid w:val="0"/>
          <w:kern w:val="28"/>
          <w:szCs w:val="22"/>
        </w:rPr>
      </w:pPr>
    </w:p>
    <w:p w:rsidR="00285B65" w:rsidRPr="00285B65" w:rsidRDefault="00285B65" w:rsidP="00285B65">
      <w:pPr>
        <w:widowControl w:val="0"/>
        <w:spacing w:after="120"/>
        <w:ind w:firstLine="720"/>
        <w:rPr>
          <w:snapToGrid w:val="0"/>
          <w:kern w:val="28"/>
          <w:szCs w:val="22"/>
        </w:rPr>
      </w:pPr>
      <w:r w:rsidRPr="00285B65">
        <w:rPr>
          <w:snapToGrid w:val="0"/>
          <w:kern w:val="28"/>
          <w:szCs w:val="22"/>
        </w:rPr>
        <w:t xml:space="preserve">On August 23, 2016, the Federal Communications Commission (Commission) adopted the </w:t>
      </w:r>
      <w:r w:rsidRPr="00285B65">
        <w:rPr>
          <w:i/>
          <w:snapToGrid w:val="0"/>
          <w:kern w:val="28"/>
          <w:szCs w:val="22"/>
        </w:rPr>
        <w:t>Alaska Plan Order</w:t>
      </w:r>
      <w:r w:rsidRPr="00285B65">
        <w:rPr>
          <w:snapToGrid w:val="0"/>
          <w:kern w:val="28"/>
          <w:szCs w:val="22"/>
        </w:rPr>
        <w:t>.</w:t>
      </w:r>
      <w:r w:rsidRPr="00285B65">
        <w:rPr>
          <w:snapToGrid w:val="0"/>
          <w:kern w:val="28"/>
          <w:szCs w:val="22"/>
          <w:vertAlign w:val="superscript"/>
        </w:rPr>
        <w:footnoteReference w:id="2"/>
      </w:r>
      <w:r w:rsidRPr="00285B65">
        <w:rPr>
          <w:snapToGrid w:val="0"/>
          <w:kern w:val="28"/>
          <w:szCs w:val="22"/>
        </w:rPr>
        <w:t xml:space="preserve">  In the </w:t>
      </w:r>
      <w:r w:rsidRPr="00285B65">
        <w:rPr>
          <w:i/>
          <w:snapToGrid w:val="0"/>
          <w:kern w:val="28"/>
          <w:szCs w:val="22"/>
        </w:rPr>
        <w:t>Alaska Plan Order</w:t>
      </w:r>
      <w:r w:rsidRPr="00285B65">
        <w:rPr>
          <w:snapToGrid w:val="0"/>
          <w:kern w:val="28"/>
          <w:szCs w:val="22"/>
        </w:rPr>
        <w:t xml:space="preserve">, the Commission provided a one-time opportunity for Alaskan rate-of-return carriers to elect to receive support frozen at adjusted 2011 levels for a 10-year term in exchange for meeting individualized performance obligations — offering voice and broadband services meeting specific service obligations at specified minimum speeds by five-year and 10-year service milestones to a specified number of locations.  </w:t>
      </w:r>
    </w:p>
    <w:p w:rsidR="00285B65" w:rsidRPr="00285B65" w:rsidRDefault="00285B65" w:rsidP="00C87A19">
      <w:pPr>
        <w:spacing w:after="120"/>
        <w:ind w:firstLine="720"/>
        <w:rPr>
          <w:snapToGrid w:val="0"/>
          <w:kern w:val="28"/>
          <w:szCs w:val="22"/>
        </w:rPr>
      </w:pPr>
      <w:r w:rsidRPr="00285B65">
        <w:rPr>
          <w:snapToGrid w:val="0"/>
          <w:kern w:val="28"/>
          <w:szCs w:val="22"/>
        </w:rPr>
        <w:t xml:space="preserve">Today, in accordance with the </w:t>
      </w:r>
      <w:r w:rsidRPr="00285B65">
        <w:rPr>
          <w:i/>
          <w:snapToGrid w:val="0"/>
          <w:kern w:val="28"/>
          <w:szCs w:val="22"/>
        </w:rPr>
        <w:t>Alaska Plan Order</w:t>
      </w:r>
      <w:r w:rsidRPr="00285B65">
        <w:rPr>
          <w:snapToGrid w:val="0"/>
          <w:kern w:val="28"/>
          <w:szCs w:val="22"/>
        </w:rPr>
        <w:t>, the Wireline Competition Bureau (Bureau) approves the individualized performance obligations and authorizes support amounts as described in the appendices.</w:t>
      </w:r>
      <w:r w:rsidRPr="00285B65">
        <w:rPr>
          <w:snapToGrid w:val="0"/>
          <w:kern w:val="28"/>
          <w:szCs w:val="22"/>
          <w:vertAlign w:val="superscript"/>
        </w:rPr>
        <w:footnoteReference w:id="3"/>
      </w:r>
      <w:r w:rsidRPr="00285B65">
        <w:rPr>
          <w:snapToGrid w:val="0"/>
          <w:kern w:val="28"/>
          <w:szCs w:val="22"/>
        </w:rPr>
        <w:t xml:space="preserve">  The individualized performance obligations we approve today were submitted by the Alaska Telephone Association on behalf of its member companies on May 9, 2016, supplemented on May 12, 2016, and further revised/clarified after the Order’s adoption.</w:t>
      </w:r>
      <w:r w:rsidRPr="00285B65">
        <w:rPr>
          <w:snapToGrid w:val="0"/>
          <w:kern w:val="28"/>
          <w:szCs w:val="22"/>
          <w:vertAlign w:val="superscript"/>
        </w:rPr>
        <w:footnoteReference w:id="4"/>
      </w:r>
      <w:r w:rsidRPr="00285B65">
        <w:rPr>
          <w:snapToGrid w:val="0"/>
          <w:kern w:val="28"/>
          <w:szCs w:val="22"/>
        </w:rPr>
        <w:t xml:space="preserve">  Consistent with the Commission’s direction, the Bureau finds it is in the public interest to approve these performance obligations. </w:t>
      </w:r>
    </w:p>
    <w:p w:rsidR="00285B65" w:rsidRPr="00285B65" w:rsidRDefault="00285B65" w:rsidP="00285B65">
      <w:pPr>
        <w:spacing w:after="120"/>
        <w:ind w:firstLine="720"/>
        <w:rPr>
          <w:snapToGrid w:val="0"/>
          <w:kern w:val="28"/>
          <w:szCs w:val="22"/>
        </w:rPr>
      </w:pPr>
      <w:r w:rsidRPr="00285B65">
        <w:rPr>
          <w:snapToGrid w:val="0"/>
          <w:kern w:val="28"/>
          <w:szCs w:val="22"/>
        </w:rPr>
        <w:lastRenderedPageBreak/>
        <w:t>Certain carriers, due to limited access to middle-mile facilities, committed to maintaining service at existing levels without deploying new service or upgrading existing locations.  The Commission required carriers that commit to only maintaining existing Internet access service at existing speeds to explain why they are unable to commit to upgrade their existing service or deploy service to new locations.</w:t>
      </w:r>
      <w:r w:rsidRPr="00285B65">
        <w:rPr>
          <w:snapToGrid w:val="0"/>
          <w:kern w:val="28"/>
          <w:szCs w:val="22"/>
          <w:vertAlign w:val="superscript"/>
        </w:rPr>
        <w:footnoteReference w:id="5"/>
      </w:r>
      <w:r w:rsidRPr="00285B65">
        <w:rPr>
          <w:snapToGrid w:val="0"/>
          <w:kern w:val="28"/>
          <w:szCs w:val="22"/>
        </w:rPr>
        <w:t xml:space="preserve">  Based on our review of the information submitted, consistent with the Commission’s direction, we approve those plans today.  We remind those carriers that they are required to certify in their annual reports that they are providing service in accordance with their approved plan.</w:t>
      </w:r>
      <w:r w:rsidRPr="00285B65">
        <w:rPr>
          <w:snapToGrid w:val="0"/>
          <w:kern w:val="28"/>
          <w:szCs w:val="22"/>
          <w:vertAlign w:val="superscript"/>
        </w:rPr>
        <w:footnoteReference w:id="6"/>
      </w:r>
      <w:r w:rsidRPr="00285B65">
        <w:rPr>
          <w:snapToGrid w:val="0"/>
          <w:kern w:val="28"/>
          <w:szCs w:val="22"/>
        </w:rPr>
        <w:t xml:space="preserve">  As directed by the Commission, we will review these carriers’ plans on a biennial basis and adjust the plans based on any changed circumstances.</w:t>
      </w:r>
      <w:r w:rsidRPr="00285B65">
        <w:rPr>
          <w:snapToGrid w:val="0"/>
          <w:kern w:val="28"/>
          <w:szCs w:val="22"/>
          <w:vertAlign w:val="superscript"/>
        </w:rPr>
        <w:footnoteReference w:id="7"/>
      </w:r>
      <w:r w:rsidRPr="00285B65">
        <w:rPr>
          <w:snapToGrid w:val="0"/>
          <w:kern w:val="28"/>
          <w:szCs w:val="22"/>
        </w:rPr>
        <w:t xml:space="preserve">  Further, we remind all carriers on the Alaska Plan that they are required to report as new backhaul becomes available, which certain carriers anticipate will happen during the 10-year support term.</w:t>
      </w:r>
      <w:r w:rsidRPr="00285B65">
        <w:rPr>
          <w:snapToGrid w:val="0"/>
          <w:kern w:val="28"/>
          <w:szCs w:val="22"/>
          <w:vertAlign w:val="superscript"/>
        </w:rPr>
        <w:footnoteReference w:id="8"/>
      </w:r>
      <w:r w:rsidRPr="00285B65">
        <w:rPr>
          <w:snapToGrid w:val="0"/>
          <w:kern w:val="28"/>
          <w:szCs w:val="22"/>
        </w:rPr>
        <w:t xml:space="preserve">          </w:t>
      </w:r>
    </w:p>
    <w:p w:rsidR="00285B65" w:rsidRPr="00285B65" w:rsidRDefault="00285B65" w:rsidP="00285B65">
      <w:pPr>
        <w:widowControl w:val="0"/>
        <w:spacing w:after="120"/>
        <w:ind w:firstLine="720"/>
        <w:rPr>
          <w:snapToGrid w:val="0"/>
          <w:kern w:val="28"/>
          <w:szCs w:val="22"/>
        </w:rPr>
      </w:pPr>
      <w:r w:rsidRPr="00285B65">
        <w:rPr>
          <w:snapToGrid w:val="0"/>
          <w:kern w:val="28"/>
          <w:szCs w:val="22"/>
        </w:rPr>
        <w:t>Both Summit Telephone Company of Alaska, Inc. d/b/a Summit Telephone Company and Alaska Power &amp; Telephone, on behalf of its rate-of-return carrier subsidiaries, Bettles Telephone Company (SAC 613002), Alaska Telephone Company (SAC 613017), and North Country Telephone Company (SAC 613026), have indicated their interest in receiving Alternative Connect America Model (A-CAM) support.</w:t>
      </w:r>
      <w:r w:rsidRPr="00285B65">
        <w:rPr>
          <w:snapToGrid w:val="0"/>
          <w:kern w:val="28"/>
          <w:szCs w:val="22"/>
          <w:vertAlign w:val="superscript"/>
        </w:rPr>
        <w:footnoteReference w:id="9"/>
      </w:r>
      <w:r w:rsidRPr="00285B65">
        <w:rPr>
          <w:snapToGrid w:val="0"/>
          <w:kern w:val="28"/>
          <w:szCs w:val="22"/>
        </w:rPr>
        <w:t xml:space="preserve">  These companies previously had submitted proposed Alaska Plan performance plans.  For administrative convenience, the Bureau briefly defers action on the performance plans for these companies, pending resolution of whether these carriers are ultimately authorized for A-CAM support.  In the meantime, they will continue to receive support under the reformed legacy support mechanisms.      </w:t>
      </w:r>
    </w:p>
    <w:p w:rsidR="00285B65" w:rsidRPr="00285B65" w:rsidRDefault="00285B65" w:rsidP="00285B65">
      <w:pPr>
        <w:widowControl w:val="0"/>
        <w:spacing w:after="120"/>
        <w:ind w:firstLine="720"/>
        <w:rPr>
          <w:snapToGrid w:val="0"/>
          <w:kern w:val="28"/>
          <w:szCs w:val="22"/>
        </w:rPr>
      </w:pPr>
      <w:r w:rsidRPr="00285B65">
        <w:rPr>
          <w:snapToGrid w:val="0"/>
          <w:kern w:val="28"/>
          <w:szCs w:val="22"/>
        </w:rPr>
        <w:t xml:space="preserve">We also authorize Adak Eagle Enterprises, LLC (Adak) (SAC 610989) for Alaska Plan support.  While Adak has indicated its interest in receiving A-CAM support, in the </w:t>
      </w:r>
      <w:r w:rsidRPr="00285B65">
        <w:rPr>
          <w:i/>
          <w:snapToGrid w:val="0"/>
          <w:kern w:val="28"/>
          <w:szCs w:val="22"/>
        </w:rPr>
        <w:t>Alaska Plan Order</w:t>
      </w:r>
      <w:r w:rsidRPr="00285B65">
        <w:rPr>
          <w:snapToGrid w:val="0"/>
          <w:kern w:val="28"/>
          <w:szCs w:val="22"/>
        </w:rPr>
        <w:t>, the Commission noted that those Alaska rate-of-return carriers that are unable to offer even 4/1 Mbps service would not be permitted to elect A-CAM support.</w:t>
      </w:r>
      <w:r w:rsidRPr="00285B65">
        <w:rPr>
          <w:snapToGrid w:val="0"/>
          <w:kern w:val="28"/>
          <w:szCs w:val="22"/>
          <w:vertAlign w:val="superscript"/>
        </w:rPr>
        <w:footnoteReference w:id="10"/>
      </w:r>
      <w:r w:rsidRPr="00285B65">
        <w:rPr>
          <w:snapToGrid w:val="0"/>
          <w:kern w:val="28"/>
          <w:szCs w:val="22"/>
        </w:rPr>
        <w:t xml:space="preserve">  Adak is unable to meet a 4/1 Mbps service obligation;</w:t>
      </w:r>
      <w:r w:rsidRPr="00285B65">
        <w:rPr>
          <w:snapToGrid w:val="0"/>
          <w:kern w:val="28"/>
          <w:szCs w:val="22"/>
          <w:vertAlign w:val="superscript"/>
        </w:rPr>
        <w:footnoteReference w:id="11"/>
      </w:r>
      <w:r w:rsidRPr="00285B65">
        <w:rPr>
          <w:snapToGrid w:val="0"/>
          <w:kern w:val="28"/>
          <w:szCs w:val="22"/>
        </w:rPr>
        <w:t xml:space="preserve"> as such, it is not eligible to elect A-CAM support.</w:t>
      </w:r>
      <w:r w:rsidR="003F2EB0">
        <w:rPr>
          <w:rStyle w:val="FootnoteReference"/>
          <w:snapToGrid w:val="0"/>
          <w:kern w:val="28"/>
          <w:szCs w:val="22"/>
        </w:rPr>
        <w:footnoteReference w:id="12"/>
      </w:r>
    </w:p>
    <w:p w:rsidR="00285B65" w:rsidRPr="00285B65" w:rsidRDefault="00285B65" w:rsidP="00285B65">
      <w:pPr>
        <w:widowControl w:val="0"/>
        <w:spacing w:after="120"/>
        <w:ind w:firstLine="720"/>
        <w:rPr>
          <w:snapToGrid w:val="0"/>
          <w:kern w:val="28"/>
          <w:szCs w:val="22"/>
        </w:rPr>
      </w:pPr>
      <w:r w:rsidRPr="00285B65">
        <w:rPr>
          <w:snapToGrid w:val="0"/>
          <w:kern w:val="28"/>
          <w:szCs w:val="22"/>
        </w:rPr>
        <w:t xml:space="preserve">For each of the carriers whose plans we approve today, by </w:t>
      </w:r>
      <w:r w:rsidRPr="00285B65">
        <w:rPr>
          <w:snapToGrid w:val="0"/>
          <w:kern w:val="28"/>
          <w:szCs w:val="22"/>
          <w:u w:val="single"/>
        </w:rPr>
        <w:t>December 29, 2016</w:t>
      </w:r>
      <w:r w:rsidRPr="00285B65">
        <w:rPr>
          <w:snapToGrid w:val="0"/>
          <w:kern w:val="28"/>
          <w:szCs w:val="22"/>
        </w:rPr>
        <w:t xml:space="preserve"> an officer of the company must submit a letter in WC Docket No. 16-271 certifying that the carrier will comply with the public interest obligations adopted in the </w:t>
      </w:r>
      <w:r w:rsidRPr="00285B65">
        <w:rPr>
          <w:i/>
          <w:snapToGrid w:val="0"/>
          <w:kern w:val="28"/>
          <w:szCs w:val="22"/>
        </w:rPr>
        <w:t>Alaska Plan Order</w:t>
      </w:r>
      <w:r w:rsidRPr="00285B65">
        <w:rPr>
          <w:snapToGrid w:val="0"/>
          <w:kern w:val="28"/>
          <w:szCs w:val="22"/>
        </w:rPr>
        <w:t xml:space="preserve"> and the deployment obligations set forth in the adopted performance plan.</w:t>
      </w:r>
      <w:r w:rsidRPr="00285B65">
        <w:rPr>
          <w:snapToGrid w:val="0"/>
          <w:kern w:val="28"/>
          <w:szCs w:val="22"/>
          <w:vertAlign w:val="superscript"/>
        </w:rPr>
        <w:footnoteReference w:id="13"/>
      </w:r>
      <w:r w:rsidRPr="00285B65">
        <w:rPr>
          <w:snapToGrid w:val="0"/>
          <w:kern w:val="28"/>
          <w:szCs w:val="22"/>
        </w:rPr>
        <w:t xml:space="preserve">  </w:t>
      </w:r>
    </w:p>
    <w:p w:rsidR="00285B65" w:rsidRPr="00285B65" w:rsidRDefault="00285B65" w:rsidP="003D1FD3">
      <w:pPr>
        <w:spacing w:after="120"/>
        <w:ind w:firstLine="720"/>
        <w:rPr>
          <w:snapToGrid w:val="0"/>
          <w:kern w:val="28"/>
          <w:szCs w:val="22"/>
        </w:rPr>
      </w:pPr>
      <w:r w:rsidRPr="00285B65">
        <w:rPr>
          <w:snapToGrid w:val="0"/>
          <w:kern w:val="28"/>
          <w:szCs w:val="22"/>
        </w:rPr>
        <w:lastRenderedPageBreak/>
        <w:t>Finally, we remind the carriers approved to receive Alaska Plan support of the requirements related to tariffs.</w:t>
      </w:r>
      <w:r w:rsidRPr="00285B65">
        <w:rPr>
          <w:snapToGrid w:val="0"/>
          <w:kern w:val="28"/>
          <w:szCs w:val="22"/>
          <w:vertAlign w:val="superscript"/>
        </w:rPr>
        <w:footnoteReference w:id="14"/>
      </w:r>
      <w:r w:rsidRPr="00285B65">
        <w:rPr>
          <w:snapToGrid w:val="0"/>
          <w:kern w:val="28"/>
          <w:szCs w:val="22"/>
        </w:rPr>
        <w:t xml:space="preserve">  They must refile their special access tariffs removing the costs of Consumer Broadband-only Loops (CBOL) from the Special Access category, consistent with the </w:t>
      </w:r>
      <w:r w:rsidRPr="00285B65">
        <w:rPr>
          <w:i/>
          <w:iCs/>
          <w:snapToGrid w:val="0"/>
          <w:kern w:val="28"/>
          <w:szCs w:val="22"/>
        </w:rPr>
        <w:t>2016 Rate-of-Return Order</w:t>
      </w:r>
      <w:r w:rsidRPr="00285B65">
        <w:rPr>
          <w:snapToGrid w:val="0"/>
          <w:kern w:val="28"/>
          <w:szCs w:val="22"/>
        </w:rPr>
        <w:t>.</w:t>
      </w:r>
      <w:r w:rsidRPr="00285B65">
        <w:rPr>
          <w:snapToGrid w:val="0"/>
          <w:kern w:val="28"/>
          <w:szCs w:val="22"/>
          <w:vertAlign w:val="superscript"/>
        </w:rPr>
        <w:footnoteReference w:id="15"/>
      </w:r>
      <w:r w:rsidRPr="00285B65">
        <w:rPr>
          <w:snapToGrid w:val="0"/>
          <w:kern w:val="28"/>
          <w:szCs w:val="22"/>
        </w:rPr>
        <w:t xml:space="preserve">  They are permitted—but not required—to assess a wholesale consumer broadband-only loop charge that does not exceed $42 per line per month.  Alternatively, they may detariff such a charge.  Moreover, carriers receiving support pursuant to the Alaska Plan are not required to offer a separate CBOL service, on either a tariffed or detariffed basis.</w:t>
      </w:r>
    </w:p>
    <w:p w:rsidR="00285B65" w:rsidRPr="00285B65" w:rsidRDefault="00285B65" w:rsidP="00285B65">
      <w:pPr>
        <w:widowControl w:val="0"/>
        <w:spacing w:after="120"/>
        <w:ind w:firstLine="720"/>
        <w:rPr>
          <w:iCs/>
          <w:snapToGrid w:val="0"/>
          <w:kern w:val="28"/>
          <w:szCs w:val="22"/>
        </w:rPr>
      </w:pPr>
      <w:r w:rsidRPr="00285B65">
        <w:rPr>
          <w:snapToGrid w:val="0"/>
          <w:kern w:val="28"/>
          <w:szCs w:val="22"/>
        </w:rPr>
        <w:t xml:space="preserve">Alaska Plan recipients must also exit the National Exchange Carrier Association (NECA) Common Line pool, while they have the option of continuing to use NECA to tariff their Common Line and CBOL charges.  The affected Alaska carriers shall coordinate with NECA on making any required tariff filings in order to ease the administrative burden associated with implementation of any changes.  Once </w:t>
      </w:r>
      <w:r w:rsidR="00A82009">
        <w:rPr>
          <w:snapToGrid w:val="0"/>
          <w:kern w:val="28"/>
          <w:szCs w:val="22"/>
        </w:rPr>
        <w:t xml:space="preserve">the </w:t>
      </w:r>
      <w:r w:rsidR="00A82009" w:rsidRPr="00A82009">
        <w:rPr>
          <w:snapToGrid w:val="0"/>
          <w:kern w:val="28"/>
          <w:szCs w:val="22"/>
        </w:rPr>
        <w:t>Universal Service Administrative Company</w:t>
      </w:r>
      <w:r w:rsidR="002B632E">
        <w:rPr>
          <w:snapToGrid w:val="0"/>
          <w:kern w:val="28"/>
          <w:szCs w:val="22"/>
        </w:rPr>
        <w:t xml:space="preserve"> </w:t>
      </w:r>
      <w:r w:rsidRPr="00285B65">
        <w:rPr>
          <w:snapToGrid w:val="0"/>
          <w:kern w:val="28"/>
          <w:szCs w:val="22"/>
        </w:rPr>
        <w:t>confirms that the carriers have notified NECA of their intention to exit the Common Line pool, support under the Alaska Plan may be disbursed.</w:t>
      </w:r>
      <w:r w:rsidRPr="00285B65">
        <w:rPr>
          <w:snapToGrid w:val="0"/>
          <w:kern w:val="28"/>
          <w:szCs w:val="22"/>
          <w:vertAlign w:val="superscript"/>
        </w:rPr>
        <w:footnoteReference w:id="16"/>
      </w:r>
      <w:r w:rsidRPr="00285B65">
        <w:rPr>
          <w:snapToGrid w:val="0"/>
          <w:kern w:val="28"/>
          <w:szCs w:val="22"/>
        </w:rPr>
        <w:t xml:space="preserve">  </w:t>
      </w:r>
    </w:p>
    <w:p w:rsidR="00285B65" w:rsidRPr="00285B65" w:rsidRDefault="00285B65" w:rsidP="00285B65">
      <w:pPr>
        <w:widowControl w:val="0"/>
        <w:spacing w:after="200"/>
        <w:ind w:firstLine="720"/>
        <w:rPr>
          <w:b/>
          <w:snapToGrid w:val="0"/>
          <w:kern w:val="28"/>
          <w:szCs w:val="22"/>
        </w:rPr>
      </w:pPr>
      <w:r w:rsidRPr="00285B65">
        <w:rPr>
          <w:snapToGrid w:val="0"/>
          <w:kern w:val="28"/>
          <w:szCs w:val="22"/>
        </w:rPr>
        <w:t xml:space="preserve">For additional information on this proceeding, </w:t>
      </w:r>
      <w:r w:rsidR="00CE1FE3">
        <w:rPr>
          <w:snapToGrid w:val="0"/>
          <w:kern w:val="28"/>
          <w:szCs w:val="22"/>
        </w:rPr>
        <w:t xml:space="preserve">contact </w:t>
      </w:r>
      <w:r w:rsidR="00A82009" w:rsidRPr="00A82009">
        <w:rPr>
          <w:snapToGrid w:val="0"/>
          <w:kern w:val="28"/>
          <w:szCs w:val="22"/>
        </w:rPr>
        <w:t xml:space="preserve">Alexander Minard, </w:t>
      </w:r>
      <w:hyperlink r:id="rId14" w:history="1">
        <w:r w:rsidR="00A82009" w:rsidRPr="0016218E">
          <w:rPr>
            <w:rStyle w:val="Hyperlink"/>
            <w:snapToGrid w:val="0"/>
            <w:kern w:val="28"/>
            <w:szCs w:val="22"/>
          </w:rPr>
          <w:t>alexander.minard@fcc.gov</w:t>
        </w:r>
      </w:hyperlink>
      <w:r w:rsidR="00A82009" w:rsidRPr="00A82009">
        <w:rPr>
          <w:snapToGrid w:val="0"/>
          <w:kern w:val="28"/>
          <w:szCs w:val="22"/>
        </w:rPr>
        <w:t xml:space="preserve">, or Jesse Jachman, </w:t>
      </w:r>
      <w:hyperlink r:id="rId15" w:history="1">
        <w:r w:rsidR="00A82009" w:rsidRPr="0016218E">
          <w:rPr>
            <w:rStyle w:val="Hyperlink"/>
            <w:snapToGrid w:val="0"/>
            <w:kern w:val="28"/>
            <w:szCs w:val="22"/>
          </w:rPr>
          <w:t>jesse.jachman@fcc.gov</w:t>
        </w:r>
      </w:hyperlink>
      <w:r w:rsidR="00A82009">
        <w:rPr>
          <w:snapToGrid w:val="0"/>
          <w:kern w:val="28"/>
          <w:szCs w:val="22"/>
        </w:rPr>
        <w:t xml:space="preserve"> </w:t>
      </w:r>
      <w:r w:rsidR="00A82009" w:rsidRPr="00A82009">
        <w:rPr>
          <w:snapToGrid w:val="0"/>
          <w:kern w:val="28"/>
          <w:szCs w:val="22"/>
        </w:rPr>
        <w:t>of the Wireline Competition Bureau, Telecommunications Access Policy Division, (202) 418-7400</w:t>
      </w:r>
      <w:r w:rsidR="00A82009">
        <w:rPr>
          <w:snapToGrid w:val="0"/>
          <w:kern w:val="28"/>
          <w:szCs w:val="22"/>
        </w:rPr>
        <w:t>.</w:t>
      </w:r>
    </w:p>
    <w:p w:rsidR="003D1FD3" w:rsidRDefault="00285B65" w:rsidP="00285B65">
      <w:pPr>
        <w:widowControl w:val="0"/>
        <w:jc w:val="center"/>
        <w:rPr>
          <w:b/>
          <w:snapToGrid w:val="0"/>
          <w:kern w:val="28"/>
          <w:szCs w:val="22"/>
        </w:rPr>
        <w:sectPr w:rsidR="003D1FD3" w:rsidSect="00285B6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code="1"/>
          <w:pgMar w:top="1440" w:right="1440" w:bottom="720" w:left="1440" w:header="720" w:footer="720" w:gutter="0"/>
          <w:pgNumType w:start="1"/>
          <w:cols w:space="720"/>
          <w:noEndnote/>
          <w:titlePg/>
        </w:sectPr>
      </w:pPr>
      <w:r w:rsidRPr="00285B65">
        <w:rPr>
          <w:b/>
          <w:snapToGrid w:val="0"/>
          <w:kern w:val="28"/>
          <w:szCs w:val="22"/>
        </w:rPr>
        <w:t>- FCC -</w:t>
      </w:r>
    </w:p>
    <w:p w:rsidR="003D1FD3" w:rsidRPr="00285B65" w:rsidRDefault="003D1FD3" w:rsidP="003D1FD3">
      <w:pPr>
        <w:widowControl w:val="0"/>
        <w:jc w:val="center"/>
        <w:rPr>
          <w:rFonts w:eastAsia="Calibri"/>
          <w:b/>
          <w:caps/>
          <w:szCs w:val="22"/>
        </w:rPr>
      </w:pPr>
      <w:r w:rsidRPr="00285B65">
        <w:rPr>
          <w:rFonts w:eastAsia="Calibri"/>
          <w:b/>
          <w:caps/>
          <w:szCs w:val="22"/>
        </w:rPr>
        <w:t>Appendix A</w:t>
      </w:r>
    </w:p>
    <w:p w:rsidR="003D1FD3" w:rsidRPr="00285B65" w:rsidRDefault="003D1FD3" w:rsidP="003D1FD3">
      <w:pPr>
        <w:jc w:val="center"/>
        <w:rPr>
          <w:rFonts w:eastAsia="Calibri"/>
          <w:b/>
          <w:szCs w:val="22"/>
        </w:rPr>
      </w:pPr>
      <w:r w:rsidRPr="00285B65">
        <w:rPr>
          <w:rFonts w:eastAsia="Calibri"/>
          <w:b/>
          <w:szCs w:val="22"/>
        </w:rPr>
        <w:t xml:space="preserve">Approved Support Amounts for Rate-of-Return Carrier Alaska Plan Recipients </w:t>
      </w:r>
    </w:p>
    <w:p w:rsidR="00285B65" w:rsidRPr="003D1FD3" w:rsidRDefault="003D1FD3" w:rsidP="003D1FD3">
      <w:pPr>
        <w:jc w:val="center"/>
        <w:rPr>
          <w:rFonts w:eastAsia="Calibri"/>
          <w:b/>
          <w:szCs w:val="22"/>
        </w:rPr>
      </w:pPr>
      <w:r w:rsidRPr="00285B65">
        <w:rPr>
          <w:rFonts w:eastAsia="Calibri"/>
          <w:b/>
          <w:szCs w:val="22"/>
        </w:rPr>
        <w:t>January 1, 2017 to December 31, 2026</w:t>
      </w:r>
      <w:r w:rsidRPr="00285B65">
        <w:rPr>
          <w:rFonts w:eastAsia="Calibri"/>
          <w:b/>
          <w:szCs w:val="22"/>
          <w:vertAlign w:val="superscript"/>
        </w:rPr>
        <w:footnoteReference w:id="17"/>
      </w:r>
    </w:p>
    <w:p w:rsidR="00285B65" w:rsidRPr="00285B65" w:rsidRDefault="00285B65" w:rsidP="00285B65">
      <w:pPr>
        <w:jc w:val="center"/>
        <w:rPr>
          <w:rFonts w:eastAsia="Calibri"/>
          <w:b/>
          <w:szCs w:val="22"/>
        </w:rPr>
      </w:pPr>
    </w:p>
    <w:p w:rsidR="00285B65" w:rsidRPr="00285B65" w:rsidRDefault="00285B65" w:rsidP="00285B65">
      <w:pPr>
        <w:jc w:val="center"/>
        <w:rPr>
          <w:rFonts w:eastAsia="Calibri"/>
          <w:b/>
          <w:szCs w:val="22"/>
        </w:rPr>
      </w:pPr>
      <w:r w:rsidRPr="00285B65">
        <w:rPr>
          <w:rFonts w:eastAsia="Calibri"/>
          <w:b/>
          <w:szCs w:val="22"/>
        </w:rPr>
        <w:t>Aggregated to Holding Company Level</w:t>
      </w:r>
    </w:p>
    <w:p w:rsidR="00285B65" w:rsidRPr="00285B65" w:rsidRDefault="00285B65" w:rsidP="00285B65">
      <w:pPr>
        <w:rPr>
          <w:rFonts w:eastAsia="Calibri"/>
          <w:b/>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226"/>
        <w:gridCol w:w="1260"/>
        <w:gridCol w:w="1278"/>
        <w:gridCol w:w="1687"/>
      </w:tblGrid>
      <w:tr w:rsidR="00285B65" w:rsidRPr="00285B65" w:rsidTr="00285B65">
        <w:trPr>
          <w:trHeight w:val="506"/>
          <w:jc w:val="center"/>
        </w:trPr>
        <w:tc>
          <w:tcPr>
            <w:tcW w:w="899" w:type="dxa"/>
            <w:shd w:val="clear" w:color="auto" w:fill="A6A6A6"/>
          </w:tcPr>
          <w:p w:rsidR="00285B65" w:rsidRPr="00285B65" w:rsidRDefault="00285B65" w:rsidP="00285B65">
            <w:pPr>
              <w:jc w:val="center"/>
              <w:rPr>
                <w:rFonts w:eastAsia="Calibri"/>
                <w:b/>
                <w:szCs w:val="22"/>
              </w:rPr>
            </w:pPr>
            <w:r w:rsidRPr="00285B65">
              <w:rPr>
                <w:rFonts w:eastAsia="Calibri"/>
                <w:b/>
                <w:szCs w:val="22"/>
              </w:rPr>
              <w:t>State</w:t>
            </w:r>
          </w:p>
        </w:tc>
        <w:tc>
          <w:tcPr>
            <w:tcW w:w="4226" w:type="dxa"/>
            <w:shd w:val="clear" w:color="auto" w:fill="A6A6A6"/>
          </w:tcPr>
          <w:p w:rsidR="00285B65" w:rsidRPr="00285B65" w:rsidRDefault="00285B65" w:rsidP="00285B65">
            <w:pPr>
              <w:jc w:val="center"/>
              <w:rPr>
                <w:rFonts w:eastAsia="Calibri"/>
                <w:b/>
                <w:szCs w:val="22"/>
              </w:rPr>
            </w:pPr>
            <w:r w:rsidRPr="00285B65">
              <w:rPr>
                <w:rFonts w:eastAsia="Calibri"/>
                <w:b/>
                <w:szCs w:val="22"/>
              </w:rPr>
              <w:t>Holding Company</w:t>
            </w:r>
          </w:p>
        </w:tc>
        <w:tc>
          <w:tcPr>
            <w:tcW w:w="1260" w:type="dxa"/>
            <w:shd w:val="clear" w:color="auto" w:fill="A6A6A6"/>
          </w:tcPr>
          <w:p w:rsidR="00285B65" w:rsidRPr="00285B65" w:rsidRDefault="00285B65" w:rsidP="00285B65">
            <w:pPr>
              <w:jc w:val="center"/>
              <w:rPr>
                <w:rFonts w:eastAsia="Calibri"/>
                <w:b/>
                <w:szCs w:val="22"/>
              </w:rPr>
            </w:pPr>
            <w:r w:rsidRPr="00285B65">
              <w:rPr>
                <w:rFonts w:eastAsia="Calibri"/>
                <w:b/>
                <w:szCs w:val="22"/>
              </w:rPr>
              <w:t>Rate-of-Return Carrier</w:t>
            </w:r>
          </w:p>
        </w:tc>
        <w:tc>
          <w:tcPr>
            <w:tcW w:w="1278" w:type="dxa"/>
            <w:shd w:val="clear" w:color="auto" w:fill="A6A6A6"/>
          </w:tcPr>
          <w:p w:rsidR="00285B65" w:rsidRPr="00285B65" w:rsidRDefault="00285B65" w:rsidP="00285B65">
            <w:pPr>
              <w:jc w:val="center"/>
              <w:rPr>
                <w:rFonts w:eastAsia="Calibri"/>
                <w:b/>
                <w:szCs w:val="22"/>
              </w:rPr>
            </w:pPr>
            <w:r w:rsidRPr="00285B65">
              <w:rPr>
                <w:rFonts w:eastAsia="Calibri"/>
                <w:b/>
                <w:szCs w:val="22"/>
              </w:rPr>
              <w:t>Study Area Code</w:t>
            </w:r>
          </w:p>
        </w:tc>
        <w:tc>
          <w:tcPr>
            <w:tcW w:w="1687" w:type="dxa"/>
            <w:shd w:val="clear" w:color="auto" w:fill="A6A6A6"/>
          </w:tcPr>
          <w:p w:rsidR="00285B65" w:rsidRPr="00285B65" w:rsidRDefault="00285B65" w:rsidP="00285B65">
            <w:pPr>
              <w:jc w:val="center"/>
              <w:rPr>
                <w:rFonts w:eastAsia="Calibri"/>
                <w:b/>
                <w:szCs w:val="22"/>
              </w:rPr>
            </w:pPr>
            <w:r w:rsidRPr="00285B65">
              <w:rPr>
                <w:rFonts w:eastAsia="Calibri"/>
                <w:b/>
                <w:szCs w:val="22"/>
              </w:rPr>
              <w:t>Yearly Support Amount ($)</w:t>
            </w:r>
          </w:p>
        </w:tc>
      </w:tr>
      <w:tr w:rsidR="00285B65" w:rsidRPr="00285B65" w:rsidTr="00285B65">
        <w:trPr>
          <w:trHeight w:val="506"/>
          <w:jc w:val="center"/>
        </w:trPr>
        <w:tc>
          <w:tcPr>
            <w:tcW w:w="899" w:type="dxa"/>
            <w:shd w:val="clear" w:color="auto" w:fill="auto"/>
          </w:tcPr>
          <w:p w:rsidR="00285B65" w:rsidRPr="00285B65" w:rsidDel="00395EDD"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Adak Eagle Enterprises, LLC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ADKG</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610989</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333,000</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American Broadband Communications et al.</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AMRC</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613011</w:t>
            </w:r>
          </w:p>
          <w:p w:rsidR="00285B65" w:rsidRPr="00285B65" w:rsidRDefault="00285B65" w:rsidP="00285B65">
            <w:pPr>
              <w:rPr>
                <w:rFonts w:eastAsia="Calibri"/>
                <w:szCs w:val="22"/>
              </w:rPr>
            </w:pPr>
            <w:r w:rsidRPr="00285B65">
              <w:rPr>
                <w:rFonts w:eastAsia="Calibri"/>
                <w:szCs w:val="22"/>
              </w:rPr>
              <w:t>613016</w:t>
            </w:r>
          </w:p>
          <w:p w:rsidR="00285B65" w:rsidRPr="00285B65" w:rsidRDefault="00285B65" w:rsidP="00285B65">
            <w:pPr>
              <w:rPr>
                <w:rFonts w:eastAsia="Calibri"/>
                <w:szCs w:val="22"/>
              </w:rPr>
            </w:pP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5,391,870</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Arctic Slope Telephone Association Cooperative, Inc.</w:t>
            </w:r>
          </w:p>
          <w:p w:rsidR="00285B65" w:rsidRPr="00285B65" w:rsidRDefault="00285B65" w:rsidP="00285B65">
            <w:pPr>
              <w:rPr>
                <w:rFonts w:eastAsia="Calibri"/>
                <w:szCs w:val="22"/>
              </w:rPr>
            </w:pP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ARCT</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613001</w:t>
            </w:r>
          </w:p>
          <w:p w:rsidR="00285B65" w:rsidRPr="00285B65" w:rsidRDefault="00285B65" w:rsidP="00285B65">
            <w:pPr>
              <w:rPr>
                <w:rFonts w:eastAsia="Calibri"/>
                <w:szCs w:val="22"/>
              </w:rPr>
            </w:pP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3,135,240</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highlight w:val="yellow"/>
              </w:rPr>
            </w:pPr>
            <w:r w:rsidRPr="00285B65">
              <w:rPr>
                <w:rFonts w:eastAsia="Calibri"/>
                <w:szCs w:val="22"/>
              </w:rPr>
              <w:t>Bristol Bay Telephone Cooperative</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BRST</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613003</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1,136,604</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Bush-Tell, Inc.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BSHT</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613004</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783,048</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Circle Telephone &amp; Electric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CRCL</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613005</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38,532</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highlight w:val="yellow"/>
              </w:rPr>
            </w:pPr>
            <w:r w:rsidRPr="00285B65">
              <w:rPr>
                <w:rFonts w:eastAsia="Calibri"/>
                <w:szCs w:val="22"/>
              </w:rPr>
              <w:t>Copper Valley Telephone Cooperative</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CPPR</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613006</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11,307,498</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Cordova Telephone Cooperative, Inc.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CRDV</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613007</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2,316,234</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City of Ketchikan</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CTYF3</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613013</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4,217,490</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Matanuska Telephone Association, Inc.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MTNS</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613015</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18,720,342</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Nushagak Electric &amp; Telephone Cooperative, Inc.</w:t>
            </w:r>
          </w:p>
          <w:p w:rsidR="00285B65" w:rsidRPr="00285B65" w:rsidRDefault="00285B65" w:rsidP="00285B65">
            <w:pPr>
              <w:rPr>
                <w:rFonts w:eastAsia="Calibri"/>
                <w:szCs w:val="22"/>
              </w:rPr>
            </w:pP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NSHG</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613018</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1,545,198</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OTZ Telephone Cooperative, Inc.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OTZT</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613019</w:t>
            </w: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1,925,544</w:t>
            </w:r>
          </w:p>
        </w:tc>
      </w:tr>
      <w:tr w:rsidR="00285B65" w:rsidRPr="00285B65" w:rsidTr="00285B65">
        <w:trPr>
          <w:trHeight w:val="506"/>
          <w:jc w:val="center"/>
        </w:trPr>
        <w:tc>
          <w:tcPr>
            <w:tcW w:w="899" w:type="dxa"/>
            <w:shd w:val="clear" w:color="auto" w:fill="auto"/>
          </w:tcPr>
          <w:p w:rsidR="00285B65" w:rsidRPr="00285B65" w:rsidRDefault="00285B65" w:rsidP="00285B65">
            <w:pPr>
              <w:rPr>
                <w:rFonts w:eastAsia="Calibri"/>
                <w:szCs w:val="22"/>
              </w:rPr>
            </w:pPr>
            <w:r w:rsidRPr="00285B65">
              <w:rPr>
                <w:rFonts w:eastAsia="Calibri"/>
                <w:szCs w:val="22"/>
              </w:rPr>
              <w:t>AK</w:t>
            </w:r>
          </w:p>
        </w:tc>
        <w:tc>
          <w:tcPr>
            <w:tcW w:w="4226" w:type="dxa"/>
            <w:shd w:val="clear" w:color="auto" w:fill="auto"/>
          </w:tcPr>
          <w:p w:rsidR="00285B65" w:rsidRPr="00285B65" w:rsidRDefault="00285B65" w:rsidP="00285B65">
            <w:pPr>
              <w:rPr>
                <w:rFonts w:eastAsia="Calibri"/>
                <w:szCs w:val="22"/>
              </w:rPr>
            </w:pPr>
            <w:r w:rsidRPr="00285B65">
              <w:rPr>
                <w:rFonts w:eastAsia="Calibri"/>
                <w:szCs w:val="22"/>
              </w:rPr>
              <w:t>General Communication, Inc.</w:t>
            </w:r>
          </w:p>
        </w:tc>
        <w:tc>
          <w:tcPr>
            <w:tcW w:w="1260" w:type="dxa"/>
            <w:shd w:val="clear" w:color="auto" w:fill="auto"/>
          </w:tcPr>
          <w:p w:rsidR="00285B65" w:rsidRPr="00285B65" w:rsidRDefault="00285B65" w:rsidP="00285B65">
            <w:pPr>
              <w:rPr>
                <w:rFonts w:eastAsia="Calibri"/>
                <w:szCs w:val="22"/>
              </w:rPr>
            </w:pPr>
            <w:r w:rsidRPr="00285B65">
              <w:rPr>
                <w:rFonts w:eastAsia="Calibri"/>
                <w:szCs w:val="22"/>
              </w:rPr>
              <w:t>GNRL</w:t>
            </w:r>
          </w:p>
        </w:tc>
        <w:tc>
          <w:tcPr>
            <w:tcW w:w="1278" w:type="dxa"/>
            <w:shd w:val="clear" w:color="auto" w:fill="auto"/>
          </w:tcPr>
          <w:p w:rsidR="00285B65" w:rsidRPr="00285B65" w:rsidRDefault="00285B65" w:rsidP="00285B65">
            <w:pPr>
              <w:rPr>
                <w:rFonts w:eastAsia="Calibri"/>
                <w:szCs w:val="22"/>
              </w:rPr>
            </w:pPr>
            <w:r w:rsidRPr="00285B65">
              <w:rPr>
                <w:rFonts w:eastAsia="Calibri"/>
                <w:szCs w:val="22"/>
              </w:rPr>
              <w:t>613023</w:t>
            </w:r>
          </w:p>
          <w:p w:rsidR="00285B65" w:rsidRPr="00285B65" w:rsidRDefault="00285B65" w:rsidP="00285B65">
            <w:pPr>
              <w:rPr>
                <w:rFonts w:eastAsia="Calibri"/>
                <w:szCs w:val="22"/>
              </w:rPr>
            </w:pPr>
            <w:r w:rsidRPr="00285B65">
              <w:rPr>
                <w:rFonts w:eastAsia="Calibri"/>
                <w:szCs w:val="22"/>
              </w:rPr>
              <w:t>613025</w:t>
            </w:r>
          </w:p>
          <w:p w:rsidR="00285B65" w:rsidRPr="00285B65" w:rsidRDefault="00285B65" w:rsidP="00285B65">
            <w:pPr>
              <w:rPr>
                <w:rFonts w:eastAsia="Calibri"/>
                <w:szCs w:val="22"/>
              </w:rPr>
            </w:pPr>
          </w:p>
        </w:tc>
        <w:tc>
          <w:tcPr>
            <w:tcW w:w="1687" w:type="dxa"/>
            <w:shd w:val="clear" w:color="auto" w:fill="auto"/>
          </w:tcPr>
          <w:p w:rsidR="00285B65" w:rsidRPr="00285B65" w:rsidRDefault="00285B65" w:rsidP="00285B65">
            <w:pPr>
              <w:rPr>
                <w:rFonts w:eastAsia="Calibri"/>
                <w:szCs w:val="22"/>
              </w:rPr>
            </w:pPr>
            <w:r w:rsidRPr="00285B65">
              <w:rPr>
                <w:rFonts w:eastAsia="Calibri"/>
                <w:szCs w:val="22"/>
              </w:rPr>
              <w:t>3,525,624</w:t>
            </w:r>
          </w:p>
        </w:tc>
      </w:tr>
    </w:tbl>
    <w:p w:rsidR="00285B65" w:rsidRPr="00285B65" w:rsidRDefault="00285B65" w:rsidP="00285B65">
      <w:pPr>
        <w:rPr>
          <w:rFonts w:eastAsia="Calibri"/>
          <w:szCs w:val="22"/>
        </w:rPr>
        <w:sectPr w:rsidR="00285B65" w:rsidRPr="00285B65" w:rsidSect="003D1FD3">
          <w:headerReference w:type="first" r:id="rId20"/>
          <w:footnotePr>
            <w:numRestart w:val="eachSect"/>
          </w:footnotePr>
          <w:endnotePr>
            <w:numFmt w:val="decimal"/>
          </w:endnotePr>
          <w:pgSz w:w="12240" w:h="15840" w:code="1"/>
          <w:pgMar w:top="1440" w:right="1440" w:bottom="720" w:left="1440" w:header="720" w:footer="720" w:gutter="0"/>
          <w:pgNumType w:start="1"/>
          <w:cols w:space="720"/>
          <w:noEndnote/>
          <w:titlePg/>
        </w:sectPr>
      </w:pPr>
    </w:p>
    <w:p w:rsidR="00285B65" w:rsidRPr="00285B65" w:rsidRDefault="00285B65" w:rsidP="00285B65">
      <w:pPr>
        <w:widowControl w:val="0"/>
        <w:jc w:val="center"/>
        <w:rPr>
          <w:b/>
          <w:caps/>
          <w:snapToGrid w:val="0"/>
          <w:kern w:val="28"/>
          <w:szCs w:val="22"/>
        </w:rPr>
      </w:pPr>
      <w:r w:rsidRPr="00285B65">
        <w:rPr>
          <w:b/>
          <w:caps/>
          <w:snapToGrid w:val="0"/>
          <w:kern w:val="28"/>
          <w:szCs w:val="22"/>
        </w:rPr>
        <w:t>Appendix B</w:t>
      </w:r>
    </w:p>
    <w:p w:rsidR="00285B65" w:rsidRPr="00285B65" w:rsidRDefault="00285B65" w:rsidP="00285B65">
      <w:pPr>
        <w:widowControl w:val="0"/>
        <w:jc w:val="center"/>
        <w:rPr>
          <w:b/>
          <w:snapToGrid w:val="0"/>
          <w:kern w:val="28"/>
          <w:szCs w:val="22"/>
        </w:rPr>
      </w:pPr>
    </w:p>
    <w:p w:rsidR="00285B65" w:rsidRPr="00285B65" w:rsidRDefault="00285B65" w:rsidP="00285B65">
      <w:pPr>
        <w:widowControl w:val="0"/>
        <w:jc w:val="center"/>
        <w:rPr>
          <w:b/>
          <w:snapToGrid w:val="0"/>
          <w:kern w:val="28"/>
          <w:szCs w:val="22"/>
        </w:rPr>
      </w:pPr>
      <w:r w:rsidRPr="00285B65">
        <w:rPr>
          <w:b/>
          <w:snapToGrid w:val="0"/>
          <w:kern w:val="28"/>
          <w:szCs w:val="22"/>
        </w:rPr>
        <w:t>Approved Plans for Carriers Committing to Newly Deployed/Upgraded Service</w:t>
      </w:r>
    </w:p>
    <w:p w:rsidR="00285B65" w:rsidRPr="00285B65" w:rsidRDefault="00285B65" w:rsidP="00285B65">
      <w:pPr>
        <w:widowControl w:val="0"/>
        <w:rPr>
          <w:snapToGrid w:val="0"/>
          <w:kern w:val="28"/>
          <w:szCs w:val="22"/>
        </w:rPr>
      </w:pPr>
    </w:p>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0"/>
        <w:gridCol w:w="1260"/>
        <w:gridCol w:w="1260"/>
        <w:gridCol w:w="1260"/>
        <w:gridCol w:w="1440"/>
        <w:gridCol w:w="2160"/>
        <w:gridCol w:w="2160"/>
      </w:tblGrid>
      <w:tr w:rsidR="00285B65" w:rsidRPr="00285B65" w:rsidTr="00CE284F">
        <w:trPr>
          <w:cantSplit/>
          <w:trHeight w:val="1012"/>
          <w:tblHeader/>
          <w:jc w:val="center"/>
        </w:trPr>
        <w:tc>
          <w:tcPr>
            <w:tcW w:w="1885"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Carrier</w:t>
            </w:r>
          </w:p>
        </w:tc>
        <w:tc>
          <w:tcPr>
            <w:tcW w:w="90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Study Area Code</w:t>
            </w:r>
          </w:p>
        </w:tc>
        <w:tc>
          <w:tcPr>
            <w:tcW w:w="126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Rate-of-Return Carrier Code</w:t>
            </w:r>
          </w:p>
          <w:p w:rsidR="00285B65" w:rsidRPr="00285B65" w:rsidRDefault="00285B65" w:rsidP="00285B65">
            <w:pPr>
              <w:widowControl w:val="0"/>
              <w:jc w:val="center"/>
              <w:rPr>
                <w:rFonts w:eastAsia="Calibri"/>
                <w:b/>
                <w:snapToGrid w:val="0"/>
                <w:kern w:val="28"/>
                <w:szCs w:val="22"/>
              </w:rPr>
            </w:pPr>
          </w:p>
        </w:tc>
        <w:tc>
          <w:tcPr>
            <w:tcW w:w="126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Backhaul</w:t>
            </w:r>
          </w:p>
        </w:tc>
        <w:tc>
          <w:tcPr>
            <w:tcW w:w="126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Speed</w:t>
            </w:r>
          </w:p>
        </w:tc>
        <w:tc>
          <w:tcPr>
            <w:tcW w:w="144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Minimum Data Usage</w:t>
            </w:r>
          </w:p>
        </w:tc>
        <w:tc>
          <w:tcPr>
            <w:tcW w:w="216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Newly Deployed/Upgraded Locations by December 31, 2021</w:t>
            </w:r>
          </w:p>
        </w:tc>
        <w:tc>
          <w:tcPr>
            <w:tcW w:w="2160"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Newly Deployed/Upgraded Locations by December 31, 2026</w:t>
            </w:r>
          </w:p>
        </w:tc>
      </w:tr>
      <w:tr w:rsidR="00285B65" w:rsidRPr="00285B65" w:rsidTr="00CE284F">
        <w:trPr>
          <w:cantSplit/>
          <w:trHeight w:val="683"/>
          <w:jc w:val="center"/>
        </w:trPr>
        <w:tc>
          <w:tcPr>
            <w:tcW w:w="1885" w:type="dxa"/>
            <w:shd w:val="clear" w:color="auto" w:fill="auto"/>
          </w:tcPr>
          <w:p w:rsidR="00285B65" w:rsidRPr="00285B65" w:rsidRDefault="00285B65" w:rsidP="00285B65">
            <w:pPr>
              <w:widowControl w:val="0"/>
              <w:rPr>
                <w:rFonts w:eastAsia="Calibri"/>
                <w:snapToGrid w:val="0"/>
                <w:kern w:val="28"/>
                <w:szCs w:val="22"/>
                <w:highlight w:val="yellow"/>
              </w:rPr>
            </w:pPr>
            <w:r w:rsidRPr="00285B65">
              <w:rPr>
                <w:rFonts w:eastAsia="Calibri"/>
                <w:snapToGrid w:val="0"/>
                <w:kern w:val="28"/>
                <w:szCs w:val="22"/>
              </w:rPr>
              <w:t>Bristol Bay Tel Coop</w:t>
            </w:r>
          </w:p>
        </w:tc>
        <w:tc>
          <w:tcPr>
            <w:tcW w:w="90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613003</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BRST</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Microwave</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 xml:space="preserve">4/1 </w:t>
            </w:r>
          </w:p>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40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0</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10</w:t>
            </w:r>
          </w:p>
        </w:tc>
      </w:tr>
      <w:tr w:rsidR="00285B65" w:rsidRPr="00285B65" w:rsidTr="00CE284F">
        <w:trPr>
          <w:cantSplit/>
          <w:trHeight w:val="206"/>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908"/>
          <w:jc w:val="center"/>
        </w:trPr>
        <w:tc>
          <w:tcPr>
            <w:tcW w:w="1885" w:type="dxa"/>
            <w:vMerge w:val="restart"/>
            <w:shd w:val="clear" w:color="auto" w:fill="auto"/>
          </w:tcPr>
          <w:p w:rsidR="00285B65" w:rsidRPr="00285B65" w:rsidRDefault="00285B65" w:rsidP="00285B65">
            <w:pPr>
              <w:widowControl w:val="0"/>
              <w:rPr>
                <w:rFonts w:eastAsia="Calibri"/>
                <w:snapToGrid w:val="0"/>
                <w:kern w:val="28"/>
                <w:szCs w:val="22"/>
                <w:highlight w:val="yellow"/>
              </w:rPr>
            </w:pPr>
            <w:r w:rsidRPr="00285B65">
              <w:rPr>
                <w:rFonts w:eastAsia="Calibri"/>
                <w:snapToGrid w:val="0"/>
                <w:kern w:val="28"/>
                <w:szCs w:val="22"/>
              </w:rPr>
              <w:t>Copper Valley Tel</w:t>
            </w:r>
          </w:p>
        </w:tc>
        <w:tc>
          <w:tcPr>
            <w:tcW w:w="90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613006</w:t>
            </w:r>
          </w:p>
          <w:p w:rsidR="00285B65" w:rsidRPr="00285B65" w:rsidRDefault="00285B65" w:rsidP="00285B65">
            <w:pPr>
              <w:widowControl w:val="0"/>
              <w:rPr>
                <w:rFonts w:eastAsia="Calibri"/>
                <w:snapToGrid w:val="0"/>
                <w:kern w:val="28"/>
                <w:szCs w:val="22"/>
              </w:rPr>
            </w:pPr>
          </w:p>
        </w:tc>
        <w:tc>
          <w:tcPr>
            <w:tcW w:w="126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CPPR</w:t>
            </w:r>
          </w:p>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Hybrid Microwave/ 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97</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97</w:t>
            </w:r>
          </w:p>
        </w:tc>
      </w:tr>
      <w:tr w:rsidR="00285B65" w:rsidRPr="00285B65" w:rsidTr="00CE284F">
        <w:trPr>
          <w:cantSplit/>
          <w:trHeight w:val="620"/>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786</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786</w:t>
            </w:r>
          </w:p>
        </w:tc>
      </w:tr>
      <w:tr w:rsidR="00285B65" w:rsidRPr="00285B65" w:rsidTr="00CE284F">
        <w:trPr>
          <w:cantSplit/>
          <w:trHeight w:val="530"/>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50/5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668</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668</w:t>
            </w:r>
          </w:p>
        </w:tc>
      </w:tr>
      <w:tr w:rsidR="00285B65" w:rsidRPr="00285B65" w:rsidTr="00CE284F">
        <w:trPr>
          <w:cantSplit/>
          <w:trHeight w:val="701"/>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590</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1101</w:t>
            </w:r>
          </w:p>
        </w:tc>
      </w:tr>
      <w:tr w:rsidR="00285B65" w:rsidRPr="00285B65" w:rsidTr="00CE284F">
        <w:trPr>
          <w:cantSplit/>
          <w:trHeight w:val="719"/>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1GB/</w:t>
            </w:r>
          </w:p>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100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708</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1769</w:t>
            </w:r>
          </w:p>
        </w:tc>
      </w:tr>
      <w:tr w:rsidR="00285B65" w:rsidRPr="00285B65" w:rsidTr="00CE284F">
        <w:trPr>
          <w:cantSplit/>
          <w:trHeight w:val="170"/>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512"/>
          <w:jc w:val="center"/>
        </w:trPr>
        <w:tc>
          <w:tcPr>
            <w:tcW w:w="1885"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Cordova Tel Coop</w:t>
            </w:r>
          </w:p>
          <w:p w:rsidR="00285B65" w:rsidRPr="00285B65" w:rsidRDefault="00285B65" w:rsidP="00285B65">
            <w:pPr>
              <w:widowControl w:val="0"/>
              <w:rPr>
                <w:rFonts w:eastAsia="Calibri"/>
                <w:snapToGrid w:val="0"/>
                <w:kern w:val="28"/>
                <w:szCs w:val="22"/>
              </w:rPr>
            </w:pPr>
          </w:p>
        </w:tc>
        <w:tc>
          <w:tcPr>
            <w:tcW w:w="90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613007</w:t>
            </w:r>
          </w:p>
          <w:p w:rsidR="00285B65" w:rsidRPr="00285B65" w:rsidRDefault="00285B65" w:rsidP="00285B65">
            <w:pPr>
              <w:widowControl w:val="0"/>
              <w:rPr>
                <w:rFonts w:eastAsia="Calibri"/>
                <w:snapToGrid w:val="0"/>
                <w:kern w:val="28"/>
                <w:szCs w:val="22"/>
              </w:rPr>
            </w:pPr>
          </w:p>
        </w:tc>
        <w:tc>
          <w:tcPr>
            <w:tcW w:w="126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CRDV</w:t>
            </w:r>
          </w:p>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17</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17</w:t>
            </w:r>
          </w:p>
        </w:tc>
      </w:tr>
      <w:tr w:rsidR="00285B65" w:rsidRPr="00285B65" w:rsidTr="00CE284F">
        <w:trPr>
          <w:cantSplit/>
          <w:trHeight w:val="566"/>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50/5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255</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255</w:t>
            </w:r>
          </w:p>
        </w:tc>
      </w:tr>
      <w:tr w:rsidR="00285B65" w:rsidRPr="00285B65" w:rsidTr="00CE284F">
        <w:trPr>
          <w:cantSplit/>
          <w:trHeight w:val="629"/>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425</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850</w:t>
            </w:r>
          </w:p>
        </w:tc>
      </w:tr>
      <w:tr w:rsidR="00285B65" w:rsidRPr="00285B65" w:rsidTr="00CE284F">
        <w:trPr>
          <w:cantSplit/>
          <w:trHeight w:val="143"/>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bl>
    <w:p w:rsidR="00CE284F" w:rsidRDefault="00CE284F" w:rsidP="00285B65">
      <w:pPr>
        <w:widowControl w:val="0"/>
        <w:rPr>
          <w:rFonts w:eastAsia="Calibri"/>
          <w:snapToGrid w:val="0"/>
          <w:kern w:val="28"/>
          <w:szCs w:val="22"/>
        </w:rPr>
        <w:sectPr w:rsidR="00CE284F" w:rsidSect="000F537E">
          <w:headerReference w:type="default" r:id="rId21"/>
          <w:pgSz w:w="15840" w:h="12240" w:orient="landscape"/>
          <w:pgMar w:top="1440" w:right="1440" w:bottom="1440" w:left="1440" w:header="720" w:footer="720" w:gutter="0"/>
          <w:cols w:space="720"/>
          <w:docGrid w:linePitch="360"/>
        </w:sectPr>
      </w:pPr>
    </w:p>
    <w:p w:rsidR="00CE284F" w:rsidRDefault="00CE284F" w:rsidP="00285B65">
      <w:pPr>
        <w:widowControl w:val="0"/>
        <w:rPr>
          <w:rFonts w:eastAsia="Calibri"/>
          <w:snapToGrid w:val="0"/>
          <w:kern w:val="28"/>
          <w:szCs w:val="22"/>
        </w:rPr>
        <w:sectPr w:rsidR="00CE284F" w:rsidSect="00CE284F">
          <w:type w:val="continuous"/>
          <w:pgSz w:w="15840" w:h="12240" w:orient="landscape"/>
          <w:pgMar w:top="1440" w:right="1440" w:bottom="1440" w:left="1440" w:header="720" w:footer="720" w:gutter="0"/>
          <w:cols w:space="720"/>
          <w:docGrid w:linePitch="360"/>
        </w:sectPr>
      </w:pPr>
    </w:p>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0"/>
        <w:gridCol w:w="1260"/>
        <w:gridCol w:w="1260"/>
        <w:gridCol w:w="1260"/>
        <w:gridCol w:w="1440"/>
        <w:gridCol w:w="2160"/>
        <w:gridCol w:w="2160"/>
      </w:tblGrid>
      <w:tr w:rsidR="00285B65" w:rsidRPr="00285B65" w:rsidTr="00CE284F">
        <w:trPr>
          <w:cantSplit/>
          <w:trHeight w:val="602"/>
          <w:jc w:val="center"/>
        </w:trPr>
        <w:tc>
          <w:tcPr>
            <w:tcW w:w="1885"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Interior Tel Co Inc.</w:t>
            </w:r>
            <w:r w:rsidRPr="00285B65">
              <w:rPr>
                <w:rFonts w:eastAsia="Calibri"/>
                <w:snapToGrid w:val="0"/>
                <w:kern w:val="28"/>
                <w:szCs w:val="22"/>
                <w:vertAlign w:val="superscript"/>
              </w:rPr>
              <w:footnoteReference w:id="18"/>
            </w:r>
          </w:p>
          <w:p w:rsidR="00285B65" w:rsidRPr="00285B65" w:rsidRDefault="00285B65" w:rsidP="00285B65">
            <w:pPr>
              <w:widowControl w:val="0"/>
              <w:rPr>
                <w:rFonts w:eastAsia="Calibri"/>
                <w:snapToGrid w:val="0"/>
                <w:kern w:val="28"/>
                <w:szCs w:val="22"/>
              </w:rPr>
            </w:pPr>
          </w:p>
        </w:tc>
        <w:tc>
          <w:tcPr>
            <w:tcW w:w="90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613011</w:t>
            </w:r>
          </w:p>
          <w:p w:rsidR="00285B65" w:rsidRPr="00285B65" w:rsidRDefault="00285B65" w:rsidP="00285B65">
            <w:pPr>
              <w:widowControl w:val="0"/>
              <w:rPr>
                <w:rFonts w:eastAsia="Calibri"/>
                <w:snapToGrid w:val="0"/>
                <w:kern w:val="28"/>
                <w:szCs w:val="22"/>
              </w:rPr>
            </w:pPr>
          </w:p>
        </w:tc>
        <w:tc>
          <w:tcPr>
            <w:tcW w:w="126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AMRC</w:t>
            </w:r>
          </w:p>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10/1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1,616</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1,616</w:t>
            </w:r>
          </w:p>
        </w:tc>
      </w:tr>
      <w:tr w:rsidR="00285B65" w:rsidRPr="00285B65" w:rsidTr="00CE284F">
        <w:trPr>
          <w:cantSplit/>
          <w:trHeight w:val="629"/>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652</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1,332</w:t>
            </w:r>
          </w:p>
        </w:tc>
      </w:tr>
      <w:tr w:rsidR="00285B65" w:rsidRPr="00285B65" w:rsidTr="00CE284F">
        <w:trPr>
          <w:cantSplit/>
          <w:trHeight w:val="161"/>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710"/>
          <w:jc w:val="center"/>
        </w:trPr>
        <w:tc>
          <w:tcPr>
            <w:tcW w:w="1885"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Ketchikan Public Ut.</w:t>
            </w:r>
          </w:p>
          <w:p w:rsidR="00285B65" w:rsidRPr="00285B65" w:rsidRDefault="00285B65" w:rsidP="00285B65">
            <w:pPr>
              <w:widowControl w:val="0"/>
              <w:rPr>
                <w:rFonts w:eastAsia="Calibri"/>
                <w:snapToGrid w:val="0"/>
                <w:kern w:val="28"/>
                <w:szCs w:val="22"/>
              </w:rPr>
            </w:pPr>
          </w:p>
        </w:tc>
        <w:tc>
          <w:tcPr>
            <w:tcW w:w="90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613013</w:t>
            </w:r>
          </w:p>
          <w:p w:rsidR="00285B65" w:rsidRPr="00285B65" w:rsidRDefault="00285B65" w:rsidP="00285B65">
            <w:pPr>
              <w:widowControl w:val="0"/>
              <w:rPr>
                <w:rFonts w:eastAsia="Calibri"/>
                <w:snapToGrid w:val="0"/>
                <w:kern w:val="28"/>
                <w:szCs w:val="22"/>
              </w:rPr>
            </w:pPr>
          </w:p>
        </w:tc>
        <w:tc>
          <w:tcPr>
            <w:tcW w:w="126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CTYF3</w:t>
            </w:r>
          </w:p>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71</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71</w:t>
            </w:r>
          </w:p>
        </w:tc>
      </w:tr>
      <w:tr w:rsidR="00285B65" w:rsidRPr="00285B65" w:rsidTr="00CE284F">
        <w:trPr>
          <w:cantSplit/>
          <w:trHeight w:val="710"/>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50/5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72</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216</w:t>
            </w:r>
          </w:p>
        </w:tc>
      </w:tr>
      <w:tr w:rsidR="00285B65" w:rsidRPr="00285B65" w:rsidTr="00CE284F">
        <w:trPr>
          <w:cantSplit/>
          <w:trHeight w:val="629"/>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502</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933</w:t>
            </w:r>
          </w:p>
        </w:tc>
      </w:tr>
      <w:tr w:rsidR="00285B65" w:rsidRPr="00285B65" w:rsidTr="00CE284F">
        <w:trPr>
          <w:cantSplit/>
          <w:trHeight w:val="143"/>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710"/>
          <w:jc w:val="center"/>
        </w:trPr>
        <w:tc>
          <w:tcPr>
            <w:tcW w:w="1885"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Matanuska Tel Assoc</w:t>
            </w:r>
          </w:p>
          <w:p w:rsidR="00285B65" w:rsidRPr="00285B65" w:rsidRDefault="00285B65" w:rsidP="00285B65">
            <w:pPr>
              <w:widowControl w:val="0"/>
              <w:rPr>
                <w:rFonts w:eastAsia="Calibri"/>
                <w:snapToGrid w:val="0"/>
                <w:kern w:val="28"/>
                <w:szCs w:val="22"/>
              </w:rPr>
            </w:pPr>
          </w:p>
        </w:tc>
        <w:tc>
          <w:tcPr>
            <w:tcW w:w="90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613015</w:t>
            </w:r>
          </w:p>
          <w:p w:rsidR="00285B65" w:rsidRPr="00285B65" w:rsidRDefault="00285B65" w:rsidP="00285B65">
            <w:pPr>
              <w:widowControl w:val="0"/>
              <w:rPr>
                <w:rFonts w:eastAsia="Calibri"/>
                <w:snapToGrid w:val="0"/>
                <w:kern w:val="28"/>
                <w:szCs w:val="22"/>
              </w:rPr>
            </w:pPr>
          </w:p>
        </w:tc>
        <w:tc>
          <w:tcPr>
            <w:tcW w:w="126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MTNS</w:t>
            </w:r>
          </w:p>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15,027</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19,540</w:t>
            </w:r>
          </w:p>
        </w:tc>
      </w:tr>
      <w:tr w:rsidR="00285B65" w:rsidRPr="00285B65" w:rsidTr="00CE284F">
        <w:trPr>
          <w:cantSplit/>
          <w:trHeight w:val="710"/>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50/5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8,518</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15,500</w:t>
            </w:r>
          </w:p>
        </w:tc>
      </w:tr>
      <w:tr w:rsidR="00285B65" w:rsidRPr="00285B65" w:rsidTr="00CE284F">
        <w:trPr>
          <w:cantSplit/>
          <w:trHeight w:val="710"/>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100/5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1,500</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4,000</w:t>
            </w:r>
          </w:p>
        </w:tc>
      </w:tr>
      <w:tr w:rsidR="00285B65" w:rsidRPr="00285B65" w:rsidTr="00CE284F">
        <w:trPr>
          <w:cantSplit/>
          <w:trHeight w:val="170"/>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962"/>
          <w:jc w:val="center"/>
        </w:trPr>
        <w:tc>
          <w:tcPr>
            <w:tcW w:w="1885"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Nushagak Elec &amp; Tel</w:t>
            </w:r>
          </w:p>
          <w:p w:rsidR="00285B65" w:rsidRPr="00285B65" w:rsidRDefault="00285B65" w:rsidP="00285B65">
            <w:pPr>
              <w:widowControl w:val="0"/>
              <w:rPr>
                <w:rFonts w:eastAsia="Calibri"/>
                <w:snapToGrid w:val="0"/>
                <w:kern w:val="28"/>
                <w:szCs w:val="22"/>
              </w:rPr>
            </w:pPr>
          </w:p>
        </w:tc>
        <w:tc>
          <w:tcPr>
            <w:tcW w:w="90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613018</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NSHG</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Microwave</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40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146</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195</w:t>
            </w:r>
          </w:p>
        </w:tc>
      </w:tr>
      <w:tr w:rsidR="00285B65" w:rsidRPr="00285B65" w:rsidTr="00CE284F">
        <w:trPr>
          <w:cantSplit/>
          <w:trHeight w:val="170"/>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800"/>
          <w:jc w:val="center"/>
        </w:trPr>
        <w:tc>
          <w:tcPr>
            <w:tcW w:w="1885"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Otz Tel Cooperative</w:t>
            </w:r>
            <w:r w:rsidRPr="00285B65">
              <w:rPr>
                <w:rFonts w:eastAsia="Calibri"/>
                <w:snapToGrid w:val="0"/>
                <w:kern w:val="28"/>
                <w:szCs w:val="22"/>
                <w:vertAlign w:val="superscript"/>
              </w:rPr>
              <w:footnoteReference w:id="19"/>
            </w:r>
          </w:p>
        </w:tc>
        <w:tc>
          <w:tcPr>
            <w:tcW w:w="90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613019</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OTZT</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694</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1,249</w:t>
            </w:r>
          </w:p>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116"/>
          <w:jc w:val="center"/>
        </w:trPr>
        <w:tc>
          <w:tcPr>
            <w:tcW w:w="1885" w:type="dxa"/>
            <w:shd w:val="clear" w:color="auto" w:fill="BFBFBF"/>
          </w:tcPr>
          <w:p w:rsidR="00285B65" w:rsidRPr="00285B65" w:rsidRDefault="00285B65" w:rsidP="00285B65">
            <w:pPr>
              <w:widowControl w:val="0"/>
              <w:rPr>
                <w:rFonts w:eastAsia="Calibri"/>
                <w:snapToGrid w:val="0"/>
                <w:kern w:val="28"/>
                <w:szCs w:val="22"/>
              </w:rPr>
            </w:pPr>
          </w:p>
        </w:tc>
        <w:tc>
          <w:tcPr>
            <w:tcW w:w="90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260" w:type="dxa"/>
            <w:shd w:val="clear" w:color="auto" w:fill="BFBFBF"/>
          </w:tcPr>
          <w:p w:rsidR="00285B65" w:rsidRPr="00285B65" w:rsidRDefault="00285B65" w:rsidP="00285B65">
            <w:pPr>
              <w:widowControl w:val="0"/>
              <w:rPr>
                <w:rFonts w:eastAsia="Calibri"/>
                <w:snapToGrid w:val="0"/>
                <w:kern w:val="28"/>
                <w:szCs w:val="22"/>
              </w:rPr>
            </w:pPr>
          </w:p>
        </w:tc>
        <w:tc>
          <w:tcPr>
            <w:tcW w:w="144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c>
          <w:tcPr>
            <w:tcW w:w="2160"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CE284F">
        <w:trPr>
          <w:cantSplit/>
          <w:trHeight w:val="773"/>
          <w:jc w:val="center"/>
        </w:trPr>
        <w:tc>
          <w:tcPr>
            <w:tcW w:w="1885"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United Utilities Inc. And Yukon Tel Co Inc.</w:t>
            </w:r>
          </w:p>
          <w:p w:rsidR="00285B65" w:rsidRPr="00285B65" w:rsidRDefault="00285B65" w:rsidP="00285B65">
            <w:pPr>
              <w:widowControl w:val="0"/>
              <w:rPr>
                <w:rFonts w:eastAsia="Calibri"/>
                <w:snapToGrid w:val="0"/>
                <w:kern w:val="28"/>
                <w:szCs w:val="22"/>
              </w:rPr>
            </w:pPr>
          </w:p>
        </w:tc>
        <w:tc>
          <w:tcPr>
            <w:tcW w:w="90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613023</w:t>
            </w:r>
          </w:p>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613025</w:t>
            </w:r>
          </w:p>
          <w:p w:rsidR="00285B65" w:rsidRPr="00285B65" w:rsidRDefault="00285B65" w:rsidP="00285B65">
            <w:pPr>
              <w:widowControl w:val="0"/>
              <w:rPr>
                <w:rFonts w:eastAsia="Calibri"/>
                <w:snapToGrid w:val="0"/>
                <w:kern w:val="28"/>
                <w:szCs w:val="22"/>
              </w:rPr>
            </w:pPr>
          </w:p>
        </w:tc>
        <w:tc>
          <w:tcPr>
            <w:tcW w:w="1260"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GNRL</w:t>
            </w:r>
          </w:p>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Satellite</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1Mbps/256kbps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7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1,063</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1,063</w:t>
            </w:r>
          </w:p>
        </w:tc>
      </w:tr>
      <w:tr w:rsidR="00285B65" w:rsidRPr="00285B65" w:rsidTr="00CE284F">
        <w:trPr>
          <w:cantSplit/>
          <w:trHeight w:val="746"/>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Microwave</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10/1 Mbps</w:t>
            </w:r>
          </w:p>
        </w:tc>
        <w:tc>
          <w:tcPr>
            <w:tcW w:w="1440" w:type="dxa"/>
            <w:shd w:val="clear" w:color="auto" w:fill="auto"/>
          </w:tcPr>
          <w:p w:rsidR="00285B65" w:rsidRPr="00285B65" w:rsidRDefault="00285B65" w:rsidP="00285B65">
            <w:pPr>
              <w:widowControl w:val="0"/>
              <w:jc w:val="center"/>
              <w:rPr>
                <w:rFonts w:eastAsia="Calibri"/>
                <w:snapToGrid w:val="0"/>
                <w:kern w:val="28"/>
                <w:szCs w:val="22"/>
                <w:highlight w:val="yellow"/>
              </w:rPr>
            </w:pPr>
            <w:r w:rsidRPr="00285B65">
              <w:rPr>
                <w:rFonts w:eastAsia="Calibri"/>
                <w:snapToGrid w:val="0"/>
                <w:kern w:val="28"/>
                <w:szCs w:val="22"/>
              </w:rPr>
              <w:t>40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4,311</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8,621</w:t>
            </w:r>
          </w:p>
        </w:tc>
      </w:tr>
      <w:tr w:rsidR="00285B65" w:rsidRPr="00285B65" w:rsidTr="00CE284F">
        <w:trPr>
          <w:cantSplit/>
          <w:trHeight w:val="710"/>
          <w:jc w:val="center"/>
        </w:trPr>
        <w:tc>
          <w:tcPr>
            <w:tcW w:w="1885" w:type="dxa"/>
            <w:vMerge/>
            <w:shd w:val="clear" w:color="auto" w:fill="auto"/>
          </w:tcPr>
          <w:p w:rsidR="00285B65" w:rsidRPr="00285B65" w:rsidRDefault="00285B65" w:rsidP="00285B65">
            <w:pPr>
              <w:widowControl w:val="0"/>
              <w:rPr>
                <w:rFonts w:eastAsia="Calibri"/>
                <w:snapToGrid w:val="0"/>
                <w:kern w:val="28"/>
                <w:szCs w:val="22"/>
              </w:rPr>
            </w:pPr>
          </w:p>
        </w:tc>
        <w:tc>
          <w:tcPr>
            <w:tcW w:w="90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vMerge/>
            <w:shd w:val="clear" w:color="auto" w:fill="auto"/>
          </w:tcPr>
          <w:p w:rsidR="00285B65" w:rsidRPr="00285B65" w:rsidRDefault="00285B65" w:rsidP="00285B65">
            <w:pPr>
              <w:widowControl w:val="0"/>
              <w:rPr>
                <w:rFonts w:eastAsia="Calibri"/>
                <w:snapToGrid w:val="0"/>
                <w:kern w:val="28"/>
                <w:szCs w:val="22"/>
              </w:rPr>
            </w:pP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Fiber</w:t>
            </w:r>
          </w:p>
        </w:tc>
        <w:tc>
          <w:tcPr>
            <w:tcW w:w="1260"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25/3 Mbps</w:t>
            </w:r>
          </w:p>
        </w:tc>
        <w:tc>
          <w:tcPr>
            <w:tcW w:w="144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150 GB</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324</w:t>
            </w:r>
          </w:p>
        </w:tc>
        <w:tc>
          <w:tcPr>
            <w:tcW w:w="2160"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324</w:t>
            </w:r>
          </w:p>
        </w:tc>
      </w:tr>
    </w:tbl>
    <w:p w:rsidR="00285B65" w:rsidRPr="00285B65" w:rsidRDefault="00285B65" w:rsidP="00285B65">
      <w:pPr>
        <w:widowControl w:val="0"/>
        <w:jc w:val="center"/>
        <w:rPr>
          <w:b/>
          <w:snapToGrid w:val="0"/>
          <w:kern w:val="28"/>
          <w:szCs w:val="22"/>
          <w:u w:val="single"/>
        </w:rPr>
      </w:pPr>
    </w:p>
    <w:p w:rsidR="00285B65" w:rsidRPr="00285B65" w:rsidRDefault="00285B65" w:rsidP="00CE284F">
      <w:pPr>
        <w:widowControl w:val="0"/>
        <w:jc w:val="center"/>
        <w:rPr>
          <w:b/>
          <w:snapToGrid w:val="0"/>
          <w:kern w:val="28"/>
          <w:szCs w:val="22"/>
        </w:rPr>
      </w:pPr>
      <w:r w:rsidRPr="00285B65">
        <w:rPr>
          <w:b/>
          <w:snapToGrid w:val="0"/>
          <w:kern w:val="28"/>
          <w:szCs w:val="22"/>
          <w:u w:val="single"/>
        </w:rPr>
        <w:br w:type="page"/>
      </w:r>
      <w:r w:rsidRPr="00285B65">
        <w:rPr>
          <w:b/>
          <w:snapToGrid w:val="0"/>
          <w:kern w:val="28"/>
          <w:szCs w:val="22"/>
        </w:rPr>
        <w:t>Approved Plans for Carriers Maintaining Service at Current Levels</w:t>
      </w:r>
      <w:r w:rsidRPr="00285B65">
        <w:rPr>
          <w:b/>
          <w:snapToGrid w:val="0"/>
          <w:kern w:val="28"/>
          <w:szCs w:val="22"/>
          <w:vertAlign w:val="superscript"/>
        </w:rPr>
        <w:footnoteReference w:id="20"/>
      </w:r>
    </w:p>
    <w:p w:rsidR="00285B65" w:rsidRPr="00285B65" w:rsidRDefault="00285B65" w:rsidP="00285B65">
      <w:pPr>
        <w:widowControl w:val="0"/>
        <w:jc w:val="right"/>
        <w:rPr>
          <w:snapToGrid w:val="0"/>
          <w:kern w:val="28"/>
          <w:szCs w:val="22"/>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638"/>
        <w:gridCol w:w="1274"/>
        <w:gridCol w:w="1638"/>
        <w:gridCol w:w="1729"/>
        <w:gridCol w:w="1274"/>
        <w:gridCol w:w="1365"/>
      </w:tblGrid>
      <w:tr w:rsidR="00285B65" w:rsidRPr="00285B65" w:rsidTr="004347B4">
        <w:trPr>
          <w:trHeight w:val="763"/>
          <w:jc w:val="center"/>
        </w:trPr>
        <w:tc>
          <w:tcPr>
            <w:tcW w:w="1724" w:type="dxa"/>
            <w:shd w:val="clear" w:color="auto" w:fill="A6A6A6"/>
          </w:tcPr>
          <w:p w:rsidR="00285B65" w:rsidRPr="00285B65" w:rsidRDefault="00285B65" w:rsidP="00285B65">
            <w:pPr>
              <w:widowControl w:val="0"/>
              <w:rPr>
                <w:rFonts w:eastAsia="Calibri"/>
                <w:b/>
                <w:snapToGrid w:val="0"/>
                <w:kern w:val="28"/>
                <w:szCs w:val="22"/>
              </w:rPr>
            </w:pPr>
            <w:r w:rsidRPr="00285B65">
              <w:rPr>
                <w:rFonts w:eastAsia="Calibri"/>
                <w:b/>
                <w:snapToGrid w:val="0"/>
                <w:kern w:val="28"/>
                <w:szCs w:val="22"/>
              </w:rPr>
              <w:t>Carrier</w:t>
            </w:r>
          </w:p>
        </w:tc>
        <w:tc>
          <w:tcPr>
            <w:tcW w:w="1638"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Rate-of-Return Carrier Code</w:t>
            </w:r>
          </w:p>
        </w:tc>
        <w:tc>
          <w:tcPr>
            <w:tcW w:w="1274"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Study Area Code</w:t>
            </w:r>
          </w:p>
        </w:tc>
        <w:tc>
          <w:tcPr>
            <w:tcW w:w="1638" w:type="dxa"/>
            <w:shd w:val="clear" w:color="auto" w:fill="A6A6A6"/>
          </w:tcPr>
          <w:p w:rsidR="00285B65" w:rsidRPr="00285B65" w:rsidRDefault="00285B65" w:rsidP="00285B65">
            <w:pPr>
              <w:widowControl w:val="0"/>
              <w:rPr>
                <w:rFonts w:eastAsia="Calibri"/>
                <w:b/>
                <w:snapToGrid w:val="0"/>
                <w:kern w:val="28"/>
                <w:szCs w:val="22"/>
              </w:rPr>
            </w:pPr>
            <w:r w:rsidRPr="00285B65">
              <w:rPr>
                <w:rFonts w:eastAsia="Calibri"/>
                <w:b/>
                <w:snapToGrid w:val="0"/>
                <w:kern w:val="28"/>
                <w:szCs w:val="22"/>
              </w:rPr>
              <w:t>Backhaul</w:t>
            </w:r>
          </w:p>
        </w:tc>
        <w:tc>
          <w:tcPr>
            <w:tcW w:w="1729" w:type="dxa"/>
            <w:shd w:val="clear" w:color="auto" w:fill="A6A6A6"/>
          </w:tcPr>
          <w:p w:rsidR="00285B65" w:rsidRPr="00285B65" w:rsidRDefault="00285B65" w:rsidP="00285B65">
            <w:pPr>
              <w:widowControl w:val="0"/>
              <w:rPr>
                <w:rFonts w:eastAsia="Calibri"/>
                <w:b/>
                <w:snapToGrid w:val="0"/>
                <w:kern w:val="28"/>
                <w:szCs w:val="22"/>
              </w:rPr>
            </w:pPr>
            <w:r w:rsidRPr="00285B65">
              <w:rPr>
                <w:rFonts w:eastAsia="Calibri"/>
                <w:b/>
                <w:snapToGrid w:val="0"/>
                <w:kern w:val="28"/>
                <w:szCs w:val="22"/>
              </w:rPr>
              <w:t>Speed</w:t>
            </w:r>
          </w:p>
        </w:tc>
        <w:tc>
          <w:tcPr>
            <w:tcW w:w="1274" w:type="dxa"/>
            <w:shd w:val="clear" w:color="auto" w:fill="A6A6A6"/>
          </w:tcPr>
          <w:p w:rsidR="00285B65" w:rsidRPr="00285B65" w:rsidRDefault="00285B65" w:rsidP="00285B65">
            <w:pPr>
              <w:widowControl w:val="0"/>
              <w:rPr>
                <w:rFonts w:eastAsia="Calibri"/>
                <w:b/>
                <w:snapToGrid w:val="0"/>
                <w:kern w:val="28"/>
                <w:szCs w:val="22"/>
              </w:rPr>
            </w:pPr>
            <w:r w:rsidRPr="00285B65">
              <w:rPr>
                <w:rFonts w:eastAsia="Calibri"/>
                <w:b/>
                <w:snapToGrid w:val="0"/>
                <w:kern w:val="28"/>
                <w:szCs w:val="22"/>
              </w:rPr>
              <w:t>Data Usage</w:t>
            </w:r>
          </w:p>
        </w:tc>
        <w:tc>
          <w:tcPr>
            <w:tcW w:w="1365" w:type="dxa"/>
            <w:shd w:val="clear" w:color="auto" w:fill="A6A6A6"/>
          </w:tcPr>
          <w:p w:rsidR="00285B65" w:rsidRPr="00285B65" w:rsidRDefault="00285B65" w:rsidP="00285B65">
            <w:pPr>
              <w:widowControl w:val="0"/>
              <w:jc w:val="center"/>
              <w:rPr>
                <w:rFonts w:eastAsia="Calibri"/>
                <w:b/>
                <w:snapToGrid w:val="0"/>
                <w:kern w:val="28"/>
                <w:szCs w:val="22"/>
              </w:rPr>
            </w:pPr>
            <w:r w:rsidRPr="00285B65">
              <w:rPr>
                <w:rFonts w:eastAsia="Calibri"/>
                <w:b/>
                <w:snapToGrid w:val="0"/>
                <w:kern w:val="28"/>
                <w:szCs w:val="22"/>
              </w:rPr>
              <w:t>Locations Passed</w:t>
            </w:r>
          </w:p>
        </w:tc>
      </w:tr>
      <w:tr w:rsidR="00285B65" w:rsidRPr="00285B65" w:rsidTr="00E5511F">
        <w:trPr>
          <w:trHeight w:val="503"/>
          <w:jc w:val="center"/>
        </w:trPr>
        <w:tc>
          <w:tcPr>
            <w:tcW w:w="172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Adak Tel Utility</w:t>
            </w:r>
          </w:p>
          <w:p w:rsidR="00285B65" w:rsidRPr="00285B65" w:rsidRDefault="00285B65" w:rsidP="00285B65">
            <w:pPr>
              <w:widowControl w:val="0"/>
              <w:rPr>
                <w:rFonts w:eastAsia="Calibri"/>
                <w:snapToGrid w:val="0"/>
                <w:kern w:val="28"/>
                <w:szCs w:val="22"/>
              </w:rPr>
            </w:pP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ADKG</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610989</w:t>
            </w: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Satellite</w:t>
            </w:r>
          </w:p>
        </w:tc>
        <w:tc>
          <w:tcPr>
            <w:tcW w:w="1729"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1Mbps/256kbps</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4 GB</w:t>
            </w:r>
          </w:p>
        </w:tc>
        <w:tc>
          <w:tcPr>
            <w:tcW w:w="1365"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346</w:t>
            </w:r>
          </w:p>
        </w:tc>
      </w:tr>
      <w:tr w:rsidR="00285B65" w:rsidRPr="00285B65" w:rsidTr="004347B4">
        <w:trPr>
          <w:trHeight w:val="63"/>
          <w:jc w:val="center"/>
        </w:trPr>
        <w:tc>
          <w:tcPr>
            <w:tcW w:w="172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729"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365"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Del="000A6401" w:rsidTr="004347B4">
        <w:trPr>
          <w:trHeight w:val="732"/>
          <w:jc w:val="center"/>
        </w:trPr>
        <w:tc>
          <w:tcPr>
            <w:tcW w:w="1724"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Arctic Slope Tel</w:t>
            </w:r>
          </w:p>
          <w:p w:rsidR="00285B65" w:rsidRPr="00285B65" w:rsidDel="000A6401" w:rsidRDefault="00285B65" w:rsidP="00285B65">
            <w:pPr>
              <w:widowControl w:val="0"/>
              <w:rPr>
                <w:rFonts w:eastAsia="Calibri"/>
                <w:snapToGrid w:val="0"/>
                <w:kern w:val="28"/>
                <w:szCs w:val="22"/>
              </w:rPr>
            </w:pPr>
          </w:p>
        </w:tc>
        <w:tc>
          <w:tcPr>
            <w:tcW w:w="1638" w:type="dxa"/>
            <w:vMerge w:val="restart"/>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ARCT</w:t>
            </w:r>
          </w:p>
          <w:p w:rsidR="00285B65" w:rsidRPr="00285B65" w:rsidRDefault="00285B65" w:rsidP="00285B65">
            <w:pPr>
              <w:widowControl w:val="0"/>
              <w:rPr>
                <w:rFonts w:eastAsia="Calibri"/>
                <w:snapToGrid w:val="0"/>
                <w:kern w:val="28"/>
                <w:szCs w:val="22"/>
              </w:rPr>
            </w:pPr>
          </w:p>
        </w:tc>
        <w:tc>
          <w:tcPr>
            <w:tcW w:w="1274" w:type="dxa"/>
            <w:vMerge w:val="restart"/>
            <w:shd w:val="clear" w:color="auto" w:fill="auto"/>
          </w:tcPr>
          <w:p w:rsidR="00285B65" w:rsidRPr="00285B65" w:rsidDel="000A6401" w:rsidRDefault="00285B65" w:rsidP="00285B65">
            <w:pPr>
              <w:widowControl w:val="0"/>
              <w:rPr>
                <w:rFonts w:eastAsia="Calibri"/>
                <w:snapToGrid w:val="0"/>
                <w:kern w:val="28"/>
                <w:szCs w:val="22"/>
              </w:rPr>
            </w:pPr>
            <w:r w:rsidRPr="00285B65">
              <w:rPr>
                <w:rFonts w:eastAsia="Calibri"/>
                <w:snapToGrid w:val="0"/>
                <w:kern w:val="28"/>
                <w:szCs w:val="22"/>
              </w:rPr>
              <w:t>613001</w:t>
            </w:r>
          </w:p>
          <w:p w:rsidR="00285B65" w:rsidRPr="00285B65" w:rsidDel="000A6401" w:rsidRDefault="00285B65" w:rsidP="00285B65">
            <w:pPr>
              <w:widowControl w:val="0"/>
              <w:rPr>
                <w:rFonts w:eastAsia="Calibri"/>
                <w:snapToGrid w:val="0"/>
                <w:kern w:val="28"/>
                <w:szCs w:val="22"/>
              </w:rPr>
            </w:pPr>
          </w:p>
        </w:tc>
        <w:tc>
          <w:tcPr>
            <w:tcW w:w="1638" w:type="dxa"/>
            <w:shd w:val="clear" w:color="auto" w:fill="auto"/>
          </w:tcPr>
          <w:p w:rsidR="00285B65" w:rsidRPr="00285B65" w:rsidDel="000A6401" w:rsidRDefault="00285B65" w:rsidP="00285B65">
            <w:pPr>
              <w:widowControl w:val="0"/>
              <w:rPr>
                <w:rFonts w:eastAsia="Calibri"/>
                <w:snapToGrid w:val="0"/>
                <w:kern w:val="28"/>
                <w:szCs w:val="22"/>
              </w:rPr>
            </w:pPr>
            <w:r w:rsidRPr="00285B65">
              <w:rPr>
                <w:rFonts w:eastAsia="Calibri"/>
                <w:snapToGrid w:val="0"/>
                <w:kern w:val="28"/>
                <w:szCs w:val="22"/>
              </w:rPr>
              <w:t xml:space="preserve">Satellite </w:t>
            </w:r>
          </w:p>
        </w:tc>
        <w:tc>
          <w:tcPr>
            <w:tcW w:w="1729" w:type="dxa"/>
            <w:shd w:val="clear" w:color="auto" w:fill="auto"/>
          </w:tcPr>
          <w:p w:rsidR="00285B65" w:rsidRPr="00285B65" w:rsidDel="000A6401" w:rsidRDefault="00285B65" w:rsidP="00285B65">
            <w:pPr>
              <w:widowControl w:val="0"/>
              <w:rPr>
                <w:rFonts w:eastAsia="Calibri"/>
                <w:snapToGrid w:val="0"/>
                <w:kern w:val="28"/>
                <w:szCs w:val="22"/>
              </w:rPr>
            </w:pPr>
            <w:r w:rsidRPr="00285B65">
              <w:rPr>
                <w:rFonts w:eastAsia="Calibri"/>
                <w:snapToGrid w:val="0"/>
                <w:kern w:val="28"/>
                <w:szCs w:val="22"/>
              </w:rPr>
              <w:t>1Mbps/256kbps</w:t>
            </w:r>
          </w:p>
        </w:tc>
        <w:tc>
          <w:tcPr>
            <w:tcW w:w="1274" w:type="dxa"/>
            <w:shd w:val="clear" w:color="auto" w:fill="auto"/>
          </w:tcPr>
          <w:p w:rsidR="00285B65" w:rsidRPr="00285B65" w:rsidDel="000A6401" w:rsidRDefault="00285B65" w:rsidP="00285B65">
            <w:pPr>
              <w:widowControl w:val="0"/>
              <w:rPr>
                <w:rFonts w:eastAsia="Calibri"/>
                <w:snapToGrid w:val="0"/>
                <w:kern w:val="28"/>
                <w:szCs w:val="22"/>
              </w:rPr>
            </w:pPr>
            <w:r w:rsidRPr="00285B65">
              <w:rPr>
                <w:rFonts w:eastAsia="Calibri"/>
                <w:snapToGrid w:val="0"/>
                <w:kern w:val="28"/>
                <w:szCs w:val="22"/>
              </w:rPr>
              <w:t>Unlimited</w:t>
            </w:r>
          </w:p>
        </w:tc>
        <w:tc>
          <w:tcPr>
            <w:tcW w:w="1365"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2,509</w:t>
            </w:r>
          </w:p>
        </w:tc>
      </w:tr>
      <w:tr w:rsidR="00285B65" w:rsidRPr="00285B65" w:rsidDel="000A6401" w:rsidTr="00E5511F">
        <w:trPr>
          <w:trHeight w:val="881"/>
          <w:jc w:val="center"/>
        </w:trPr>
        <w:tc>
          <w:tcPr>
            <w:tcW w:w="1724" w:type="dxa"/>
            <w:vMerge/>
            <w:shd w:val="clear" w:color="auto" w:fill="auto"/>
          </w:tcPr>
          <w:p w:rsidR="00285B65" w:rsidRPr="00285B65" w:rsidRDefault="00285B65" w:rsidP="00285B65">
            <w:pPr>
              <w:widowControl w:val="0"/>
              <w:rPr>
                <w:rFonts w:eastAsia="Calibri"/>
                <w:snapToGrid w:val="0"/>
                <w:kern w:val="28"/>
                <w:szCs w:val="22"/>
              </w:rPr>
            </w:pPr>
          </w:p>
        </w:tc>
        <w:tc>
          <w:tcPr>
            <w:tcW w:w="1638" w:type="dxa"/>
            <w:vMerge/>
            <w:shd w:val="clear" w:color="auto" w:fill="auto"/>
          </w:tcPr>
          <w:p w:rsidR="00285B65" w:rsidRPr="00285B65" w:rsidRDefault="00285B65" w:rsidP="00285B65">
            <w:pPr>
              <w:widowControl w:val="0"/>
              <w:rPr>
                <w:rFonts w:eastAsia="Calibri"/>
                <w:snapToGrid w:val="0"/>
                <w:kern w:val="28"/>
                <w:szCs w:val="22"/>
              </w:rPr>
            </w:pPr>
          </w:p>
        </w:tc>
        <w:tc>
          <w:tcPr>
            <w:tcW w:w="1274" w:type="dxa"/>
            <w:vMerge/>
            <w:shd w:val="clear" w:color="auto" w:fill="auto"/>
          </w:tcPr>
          <w:p w:rsidR="00285B65" w:rsidRPr="00285B65" w:rsidRDefault="00285B65" w:rsidP="00285B65">
            <w:pPr>
              <w:widowControl w:val="0"/>
              <w:rPr>
                <w:rFonts w:eastAsia="Calibri"/>
                <w:snapToGrid w:val="0"/>
                <w:kern w:val="28"/>
                <w:szCs w:val="22"/>
              </w:rPr>
            </w:pP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Hybrid Microwave-Fiber</w:t>
            </w:r>
          </w:p>
          <w:p w:rsidR="00285B65" w:rsidRPr="00285B65" w:rsidRDefault="00285B65" w:rsidP="00285B65">
            <w:pPr>
              <w:widowControl w:val="0"/>
              <w:rPr>
                <w:rFonts w:eastAsia="Calibri"/>
                <w:snapToGrid w:val="0"/>
                <w:kern w:val="28"/>
                <w:szCs w:val="22"/>
              </w:rPr>
            </w:pPr>
          </w:p>
        </w:tc>
        <w:tc>
          <w:tcPr>
            <w:tcW w:w="1729"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4/1 Mbps</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Unlimited</w:t>
            </w:r>
          </w:p>
        </w:tc>
        <w:tc>
          <w:tcPr>
            <w:tcW w:w="1365"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206</w:t>
            </w:r>
          </w:p>
        </w:tc>
      </w:tr>
      <w:tr w:rsidR="00285B65" w:rsidRPr="00285B65" w:rsidTr="004347B4">
        <w:trPr>
          <w:trHeight w:val="63"/>
          <w:jc w:val="center"/>
        </w:trPr>
        <w:tc>
          <w:tcPr>
            <w:tcW w:w="172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729"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365"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E5511F">
        <w:trPr>
          <w:trHeight w:val="503"/>
          <w:jc w:val="center"/>
        </w:trPr>
        <w:tc>
          <w:tcPr>
            <w:tcW w:w="172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Bush-Tell Inc.</w:t>
            </w:r>
          </w:p>
          <w:p w:rsidR="00285B65" w:rsidRPr="00285B65" w:rsidRDefault="00285B65" w:rsidP="00285B65">
            <w:pPr>
              <w:widowControl w:val="0"/>
              <w:rPr>
                <w:rFonts w:eastAsia="Calibri"/>
                <w:snapToGrid w:val="0"/>
                <w:kern w:val="28"/>
                <w:szCs w:val="22"/>
              </w:rPr>
            </w:pP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BSHT</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613004</w:t>
            </w: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Microwave</w:t>
            </w:r>
          </w:p>
        </w:tc>
        <w:tc>
          <w:tcPr>
            <w:tcW w:w="1729"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 Mbps</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25 GB</w:t>
            </w:r>
          </w:p>
        </w:tc>
        <w:tc>
          <w:tcPr>
            <w:tcW w:w="1365"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1,109</w:t>
            </w:r>
          </w:p>
        </w:tc>
      </w:tr>
      <w:tr w:rsidR="00285B65" w:rsidRPr="00285B65" w:rsidTr="004347B4">
        <w:trPr>
          <w:trHeight w:val="116"/>
          <w:jc w:val="center"/>
        </w:trPr>
        <w:tc>
          <w:tcPr>
            <w:tcW w:w="172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729"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365"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E5511F">
        <w:trPr>
          <w:trHeight w:val="530"/>
          <w:jc w:val="center"/>
        </w:trPr>
        <w:tc>
          <w:tcPr>
            <w:tcW w:w="172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Circle Utilities</w:t>
            </w:r>
          </w:p>
          <w:p w:rsidR="00285B65" w:rsidRPr="00285B65" w:rsidRDefault="00285B65" w:rsidP="00285B65">
            <w:pPr>
              <w:widowControl w:val="0"/>
              <w:rPr>
                <w:rFonts w:eastAsia="Calibri"/>
                <w:snapToGrid w:val="0"/>
                <w:kern w:val="28"/>
                <w:szCs w:val="22"/>
              </w:rPr>
            </w:pP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CRCL</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613005</w:t>
            </w: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N/A</w:t>
            </w:r>
          </w:p>
        </w:tc>
        <w:tc>
          <w:tcPr>
            <w:tcW w:w="1729"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N/A</w:t>
            </w:r>
            <w:r w:rsidRPr="00285B65">
              <w:rPr>
                <w:rFonts w:eastAsia="Calibri"/>
                <w:snapToGrid w:val="0"/>
                <w:kern w:val="28"/>
                <w:szCs w:val="22"/>
                <w:vertAlign w:val="superscript"/>
              </w:rPr>
              <w:footnoteReference w:id="21"/>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N/A</w:t>
            </w:r>
          </w:p>
        </w:tc>
        <w:tc>
          <w:tcPr>
            <w:tcW w:w="1365"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40</w:t>
            </w:r>
          </w:p>
        </w:tc>
      </w:tr>
      <w:tr w:rsidR="00285B65" w:rsidRPr="00285B65" w:rsidTr="004347B4">
        <w:trPr>
          <w:trHeight w:val="80"/>
          <w:jc w:val="center"/>
        </w:trPr>
        <w:tc>
          <w:tcPr>
            <w:tcW w:w="172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638" w:type="dxa"/>
            <w:shd w:val="clear" w:color="auto" w:fill="BFBFBF"/>
          </w:tcPr>
          <w:p w:rsidR="00285B65" w:rsidRPr="00285B65" w:rsidRDefault="00285B65" w:rsidP="00285B65">
            <w:pPr>
              <w:widowControl w:val="0"/>
              <w:rPr>
                <w:rFonts w:eastAsia="Calibri"/>
                <w:snapToGrid w:val="0"/>
                <w:kern w:val="28"/>
                <w:szCs w:val="22"/>
              </w:rPr>
            </w:pPr>
          </w:p>
        </w:tc>
        <w:tc>
          <w:tcPr>
            <w:tcW w:w="1729" w:type="dxa"/>
            <w:shd w:val="clear" w:color="auto" w:fill="BFBFBF"/>
          </w:tcPr>
          <w:p w:rsidR="00285B65" w:rsidRPr="00285B65" w:rsidRDefault="00285B65" w:rsidP="00285B65">
            <w:pPr>
              <w:widowControl w:val="0"/>
              <w:rPr>
                <w:rFonts w:eastAsia="Calibri"/>
                <w:snapToGrid w:val="0"/>
                <w:kern w:val="28"/>
                <w:szCs w:val="22"/>
              </w:rPr>
            </w:pPr>
          </w:p>
        </w:tc>
        <w:tc>
          <w:tcPr>
            <w:tcW w:w="1274" w:type="dxa"/>
            <w:shd w:val="clear" w:color="auto" w:fill="BFBFBF"/>
          </w:tcPr>
          <w:p w:rsidR="00285B65" w:rsidRPr="00285B65" w:rsidRDefault="00285B65" w:rsidP="00285B65">
            <w:pPr>
              <w:widowControl w:val="0"/>
              <w:rPr>
                <w:rFonts w:eastAsia="Calibri"/>
                <w:snapToGrid w:val="0"/>
                <w:kern w:val="28"/>
                <w:szCs w:val="22"/>
              </w:rPr>
            </w:pPr>
          </w:p>
        </w:tc>
        <w:tc>
          <w:tcPr>
            <w:tcW w:w="1365" w:type="dxa"/>
            <w:shd w:val="clear" w:color="auto" w:fill="BFBFBF"/>
          </w:tcPr>
          <w:p w:rsidR="00285B65" w:rsidRPr="00285B65" w:rsidRDefault="00285B65" w:rsidP="00285B65">
            <w:pPr>
              <w:widowControl w:val="0"/>
              <w:jc w:val="center"/>
              <w:rPr>
                <w:rFonts w:eastAsia="Calibri"/>
                <w:snapToGrid w:val="0"/>
                <w:kern w:val="28"/>
                <w:szCs w:val="22"/>
              </w:rPr>
            </w:pPr>
          </w:p>
        </w:tc>
      </w:tr>
      <w:tr w:rsidR="00285B65" w:rsidRPr="00285B65" w:rsidTr="004347B4">
        <w:trPr>
          <w:trHeight w:val="614"/>
          <w:jc w:val="center"/>
        </w:trPr>
        <w:tc>
          <w:tcPr>
            <w:tcW w:w="172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Mukluk Tel Co Inc.</w:t>
            </w: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AMRC</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613016</w:t>
            </w:r>
          </w:p>
        </w:tc>
        <w:tc>
          <w:tcPr>
            <w:tcW w:w="1638"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Satellite</w:t>
            </w:r>
          </w:p>
          <w:p w:rsidR="00285B65" w:rsidRPr="00285B65" w:rsidRDefault="00285B65" w:rsidP="00285B65">
            <w:pPr>
              <w:widowControl w:val="0"/>
              <w:rPr>
                <w:rFonts w:eastAsia="Calibri"/>
                <w:snapToGrid w:val="0"/>
                <w:kern w:val="28"/>
                <w:szCs w:val="22"/>
              </w:rPr>
            </w:pPr>
          </w:p>
        </w:tc>
        <w:tc>
          <w:tcPr>
            <w:tcW w:w="1729"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1Mbps/256kbps</w:t>
            </w:r>
          </w:p>
        </w:tc>
        <w:tc>
          <w:tcPr>
            <w:tcW w:w="1274" w:type="dxa"/>
            <w:shd w:val="clear" w:color="auto" w:fill="auto"/>
          </w:tcPr>
          <w:p w:rsidR="00285B65" w:rsidRPr="00285B65" w:rsidRDefault="00285B65" w:rsidP="00285B65">
            <w:pPr>
              <w:widowControl w:val="0"/>
              <w:rPr>
                <w:rFonts w:eastAsia="Calibri"/>
                <w:snapToGrid w:val="0"/>
                <w:kern w:val="28"/>
                <w:szCs w:val="22"/>
              </w:rPr>
            </w:pPr>
            <w:r w:rsidRPr="00285B65">
              <w:rPr>
                <w:rFonts w:eastAsia="Calibri"/>
                <w:snapToGrid w:val="0"/>
                <w:kern w:val="28"/>
                <w:szCs w:val="22"/>
              </w:rPr>
              <w:t>12 GB</w:t>
            </w:r>
          </w:p>
        </w:tc>
        <w:tc>
          <w:tcPr>
            <w:tcW w:w="1365" w:type="dxa"/>
            <w:shd w:val="clear" w:color="auto" w:fill="auto"/>
          </w:tcPr>
          <w:p w:rsidR="00285B65" w:rsidRPr="00285B65" w:rsidRDefault="00285B65" w:rsidP="00285B65">
            <w:pPr>
              <w:widowControl w:val="0"/>
              <w:jc w:val="center"/>
              <w:rPr>
                <w:rFonts w:eastAsia="Calibri"/>
                <w:snapToGrid w:val="0"/>
                <w:kern w:val="28"/>
                <w:szCs w:val="22"/>
              </w:rPr>
            </w:pPr>
            <w:r w:rsidRPr="00285B65">
              <w:rPr>
                <w:rFonts w:eastAsia="Calibri"/>
                <w:snapToGrid w:val="0"/>
                <w:kern w:val="28"/>
                <w:szCs w:val="22"/>
              </w:rPr>
              <w:t>2,628</w:t>
            </w:r>
          </w:p>
        </w:tc>
      </w:tr>
    </w:tbl>
    <w:p w:rsidR="00602577" w:rsidRPr="00285B65" w:rsidRDefault="00602577" w:rsidP="00E5511F">
      <w:pPr>
        <w:spacing w:before="120" w:after="240"/>
        <w:rPr>
          <w:szCs w:val="22"/>
        </w:rPr>
      </w:pPr>
    </w:p>
    <w:sectPr w:rsidR="00602577" w:rsidRPr="00285B65" w:rsidSect="00CE284F">
      <w:footerReference w:type="default" r:id="rId22"/>
      <w:footnotePr>
        <w:numRestart w:val="eachSect"/>
      </w:footnotePr>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49" w:rsidRDefault="00D24049">
      <w:r>
        <w:separator/>
      </w:r>
    </w:p>
  </w:endnote>
  <w:endnote w:type="continuationSeparator" w:id="0">
    <w:p w:rsidR="00D24049" w:rsidRDefault="00D2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2A" w:rsidRDefault="005B6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2A" w:rsidRDefault="005B6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2A" w:rsidRDefault="005B68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65" w:rsidRDefault="00285B65" w:rsidP="0055614C">
    <w:pPr>
      <w:pStyle w:val="Footer"/>
      <w:framePr w:wrap="around" w:vAnchor="text" w:hAnchor="margin" w:xAlign="center" w:y="1"/>
    </w:pPr>
    <w:r>
      <w:fldChar w:fldCharType="begin"/>
    </w:r>
    <w:r>
      <w:instrText xml:space="preserve">PAGE  </w:instrText>
    </w:r>
    <w:r>
      <w:fldChar w:fldCharType="end"/>
    </w:r>
  </w:p>
  <w:p w:rsidR="00285B65" w:rsidRDefault="00285B65">
    <w:pPr>
      <w:pStyle w:val="Footer"/>
    </w:pPr>
  </w:p>
  <w:p w:rsidR="00285B65" w:rsidRDefault="00285B6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65" w:rsidRDefault="00285B65">
    <w:pPr>
      <w:pStyle w:val="Footer"/>
      <w:jc w:val="center"/>
    </w:pPr>
    <w:r>
      <w:fldChar w:fldCharType="begin"/>
    </w:r>
    <w:r>
      <w:instrText xml:space="preserve"> PAGE   \* MERGEFORMAT </w:instrText>
    </w:r>
    <w:r>
      <w:fldChar w:fldCharType="separate"/>
    </w:r>
    <w:r w:rsidR="00EA086A">
      <w:rPr>
        <w:noProof/>
      </w:rPr>
      <w:t>2</w:t>
    </w:r>
    <w:r>
      <w:rPr>
        <w:noProof/>
      </w:rPr>
      <w:fldChar w:fldCharType="end"/>
    </w:r>
  </w:p>
  <w:p w:rsidR="00285B65" w:rsidRDefault="00285B65"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65" w:rsidRDefault="00285B65" w:rsidP="00B2036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B4" w:rsidRDefault="004347B4">
    <w:pPr>
      <w:pStyle w:val="Footer"/>
      <w:jc w:val="center"/>
    </w:pPr>
    <w:r>
      <w:fldChar w:fldCharType="begin"/>
    </w:r>
    <w:r>
      <w:instrText xml:space="preserve"> PAGE   \* MERGEFORMAT </w:instrText>
    </w:r>
    <w:r>
      <w:fldChar w:fldCharType="separate"/>
    </w:r>
    <w:r w:rsidR="005B49F4">
      <w:rPr>
        <w:noProof/>
      </w:rPr>
      <w:t>5</w:t>
    </w:r>
    <w:r>
      <w:rPr>
        <w:noProof/>
      </w:rPr>
      <w:fldChar w:fldCharType="end"/>
    </w:r>
  </w:p>
  <w:p w:rsidR="004347B4" w:rsidRDefault="004347B4" w:rsidP="000E0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49" w:rsidRDefault="00D24049">
      <w:r>
        <w:separator/>
      </w:r>
    </w:p>
  </w:footnote>
  <w:footnote w:type="continuationSeparator" w:id="0">
    <w:p w:rsidR="00D24049" w:rsidRPr="00C87A19" w:rsidRDefault="00D24049" w:rsidP="00C87A19">
      <w:pPr>
        <w:spacing w:before="120"/>
        <w:rPr>
          <w:sz w:val="20"/>
        </w:rPr>
      </w:pPr>
      <w:r>
        <w:rPr>
          <w:sz w:val="20"/>
        </w:rPr>
        <w:t xml:space="preserve">(Continued from previous page)  </w:t>
      </w:r>
      <w:r>
        <w:rPr>
          <w:sz w:val="20"/>
        </w:rPr>
        <w:separator/>
      </w:r>
    </w:p>
  </w:footnote>
  <w:footnote w:type="continuationNotice" w:id="1">
    <w:p w:rsidR="00D24049" w:rsidRDefault="00D24049" w:rsidP="00C87A19">
      <w:pPr>
        <w:jc w:val="right"/>
        <w:rPr>
          <w:sz w:val="20"/>
        </w:rPr>
      </w:pPr>
      <w:r>
        <w:rPr>
          <w:sz w:val="20"/>
        </w:rPr>
        <w:t>(continued…)</w:t>
      </w:r>
    </w:p>
    <w:p w:rsidR="00D24049" w:rsidRDefault="00D24049"/>
  </w:footnote>
  <w:footnote w:id="2">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Connect America Fund, et al.</w:t>
      </w:r>
      <w:r w:rsidRPr="00AA03F5">
        <w:rPr>
          <w:sz w:val="20"/>
        </w:rPr>
        <w:t>, WC Docket No. 10-90 et al., Report and Order and Further Notice of Proposed Rulemaking, 31 FCC Rcd 10139 (2016) (</w:t>
      </w:r>
      <w:r w:rsidRPr="00AA03F5">
        <w:rPr>
          <w:i/>
          <w:sz w:val="20"/>
        </w:rPr>
        <w:t>Alaska Plan Order</w:t>
      </w:r>
      <w:r w:rsidRPr="00AA03F5">
        <w:rPr>
          <w:sz w:val="20"/>
        </w:rPr>
        <w:t xml:space="preserve">).  </w:t>
      </w:r>
    </w:p>
  </w:footnote>
  <w:footnote w:id="3">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The approved yearly support amounts are provided in Appendix A to this Public Notice.  </w:t>
      </w:r>
      <w:r w:rsidRPr="00AA03F5">
        <w:rPr>
          <w:i/>
          <w:sz w:val="20"/>
        </w:rPr>
        <w:t xml:space="preserve">See also </w:t>
      </w:r>
      <w:r w:rsidRPr="00AA03F5">
        <w:rPr>
          <w:sz w:val="20"/>
        </w:rPr>
        <w:t xml:space="preserve">47 CFR § 54.306(c).  The approved individualized performance obligations are provided in Appendix B to this Public Notice.  </w:t>
      </w:r>
      <w:r w:rsidRPr="00AA03F5">
        <w:rPr>
          <w:i/>
          <w:sz w:val="20"/>
        </w:rPr>
        <w:t xml:space="preserve">See also </w:t>
      </w:r>
      <w:r w:rsidRPr="00AA03F5">
        <w:rPr>
          <w:sz w:val="20"/>
        </w:rPr>
        <w:t xml:space="preserve">47 CFR § 54.306(b).    </w:t>
      </w:r>
    </w:p>
  </w:footnote>
  <w:footnote w:id="4">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Letter from Christine O’Connor, Executive Director, Alaska Telephone Association, to Marlene H. Dortch, Secretary, FCC, WC Docket No. 10-90, at Attach (filed May 9, 2016) (ATA May 9 Letter); Letter from Christine O’Connor, Executive Director, Alaska Telephone Association, to Marlene H. Dortch, Secretary, FCC, WC Docket No. 10-90, at Attach. (filed May 12, 2016) (ATA May 12, 2016 Letter); Letter from Stephen Merriam, Federal Advocate, Arctic Slope Telephone Association Cooperative, Inc., to Marlene H. Dortch, Secretary, Federal Communications Commission, WC Docket Nos. 10-90, 16-271 (filed Nov. 17, 2016) (ASTAC Nov. 17, 2016 Letter); Letter from Christine O’Connor, Executive Director, Alaska Telephone Association, to Marlene H. Dortch, Secretary, FCC, WC Docket Nos. 10-90, 16-271 (filed Nov. 22, 2016); Letter from Julie A. Veach, Counsel to General Communications, Inc., </w:t>
      </w:r>
      <w:r w:rsidRPr="00AA03F5">
        <w:rPr>
          <w:snapToGrid w:val="0"/>
          <w:sz w:val="20"/>
        </w:rPr>
        <w:t xml:space="preserve">to Marlene H. Dortch, Secretary, FCC, WC Docket No. 16-271 (filed Nov. 29, 2016); </w:t>
      </w:r>
      <w:r w:rsidRPr="00AA03F5">
        <w:rPr>
          <w:sz w:val="20"/>
        </w:rPr>
        <w:t xml:space="preserve">Letter from Dave Goggins, President/GM TelAlaska, Inc. to Marlene H. Dortch, Secretary, FCC, WC Docket Nos. 10-90, 16-271 (filed Dec. 1, 2016) (TelAlaska Dec. 1, 2016 Letter); Letter from Christine O’Connor, Executive Director, Alaska Telephone Association, to Marlene H. Dortch, Secretary, FCC, WC Docket No. 16-271 (filed Dec. 6, 2016); Letter from Daniel B. Lindgren, Assistant KPU Telecommunications Division Manager, to Marlene H. Dortch, Secretary, FCC, WC Docket Nos. 10-90, 16-271 (filed Dec. 8, 2016).     </w:t>
      </w:r>
    </w:p>
  </w:footnote>
  <w:footnote w:id="5">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Alaska Plan Order</w:t>
      </w:r>
      <w:r w:rsidRPr="00AA03F5">
        <w:rPr>
          <w:sz w:val="20"/>
        </w:rPr>
        <w:t>, 31 FCC Rcd at 10146, para. 18.</w:t>
      </w:r>
    </w:p>
  </w:footnote>
  <w:footnote w:id="6">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47 CFR § 54.313(f)(1)(i).  </w:t>
      </w:r>
    </w:p>
  </w:footnote>
  <w:footnote w:id="7">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Alaska Plan Order</w:t>
      </w:r>
      <w:r w:rsidRPr="00AA03F5">
        <w:rPr>
          <w:sz w:val="20"/>
        </w:rPr>
        <w:t>, 31 FCC Rcd at 10158, para. 62</w:t>
      </w:r>
    </w:p>
  </w:footnote>
  <w:footnote w:id="8">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47 CFR § 54.313(f)(3).  </w:t>
      </w:r>
      <w:r w:rsidRPr="00AA03F5">
        <w:rPr>
          <w:i/>
          <w:sz w:val="20"/>
        </w:rPr>
        <w:t xml:space="preserve">See </w:t>
      </w:r>
      <w:r w:rsidRPr="00AA03F5">
        <w:rPr>
          <w:sz w:val="20"/>
        </w:rPr>
        <w:t xml:space="preserve">ASTAC Nov. 17, 2016 Letter </w:t>
      </w:r>
      <w:r w:rsidRPr="00AA03F5">
        <w:rPr>
          <w:i/>
          <w:sz w:val="20"/>
        </w:rPr>
        <w:t xml:space="preserve">and </w:t>
      </w:r>
      <w:r w:rsidRPr="00AA03F5">
        <w:rPr>
          <w:sz w:val="20"/>
        </w:rPr>
        <w:t xml:space="preserve">TelAlaska Dec. 1, 2016 Letter.  </w:t>
      </w:r>
      <w:r w:rsidRPr="00AA03F5">
        <w:rPr>
          <w:i/>
          <w:sz w:val="20"/>
        </w:rPr>
        <w:t>See also</w:t>
      </w:r>
      <w:r w:rsidRPr="00AA03F5">
        <w:rPr>
          <w:sz w:val="20"/>
        </w:rPr>
        <w:t xml:space="preserve"> Quintillion, System, http://qexpressnet.</w:t>
      </w:r>
      <w:r w:rsidR="005B49F4">
        <w:rPr>
          <w:sz w:val="20"/>
        </w:rPr>
        <w:t>com/system/ (last visited Dec. 21</w:t>
      </w:r>
      <w:r w:rsidRPr="00AA03F5">
        <w:rPr>
          <w:sz w:val="20"/>
        </w:rPr>
        <w:t xml:space="preserve">, 2016).        </w:t>
      </w:r>
    </w:p>
  </w:footnote>
  <w:footnote w:id="9">
    <w:p w:rsidR="00285B65" w:rsidRPr="00AA03F5" w:rsidRDefault="00285B65" w:rsidP="00285B65">
      <w:pPr>
        <w:pStyle w:val="FootnoteText"/>
        <w:spacing w:after="120"/>
        <w:rPr>
          <w:i/>
          <w:sz w:val="20"/>
        </w:rPr>
      </w:pPr>
      <w:r w:rsidRPr="00AA03F5">
        <w:rPr>
          <w:rStyle w:val="FootnoteReference"/>
          <w:sz w:val="20"/>
        </w:rPr>
        <w:footnoteRef/>
      </w:r>
      <w:r w:rsidRPr="00AA03F5">
        <w:rPr>
          <w:sz w:val="20"/>
        </w:rPr>
        <w:t xml:space="preserve"> </w:t>
      </w:r>
      <w:r w:rsidRPr="00AA03F5">
        <w:rPr>
          <w:i/>
          <w:sz w:val="20"/>
        </w:rPr>
        <w:t xml:space="preserve">See </w:t>
      </w:r>
      <w:r w:rsidRPr="00AA03F5">
        <w:rPr>
          <w:i/>
          <w:color w:val="000000"/>
          <w:sz w:val="20"/>
        </w:rPr>
        <w:t>Wireline Competition Bureau Announces Results of Rate-Of-Return Carriers That Accepted Offer of Model Support</w:t>
      </w:r>
      <w:r w:rsidRPr="00AA03F5">
        <w:rPr>
          <w:color w:val="000000"/>
          <w:sz w:val="20"/>
        </w:rPr>
        <w:t xml:space="preserve">, </w:t>
      </w:r>
      <w:r w:rsidRPr="00AA03F5">
        <w:rPr>
          <w:sz w:val="20"/>
        </w:rPr>
        <w:t xml:space="preserve">WC Docket No. 10-90, Public Notice, DA 16-1246 (WCB Nov. 2, 2016).  </w:t>
      </w:r>
    </w:p>
  </w:footnote>
  <w:footnote w:id="10">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Alaska Plan Order</w:t>
      </w:r>
      <w:r w:rsidRPr="00AA03F5">
        <w:rPr>
          <w:sz w:val="20"/>
        </w:rPr>
        <w:t xml:space="preserve">, 31 FCC Rcd at 10142, n.18.   </w:t>
      </w:r>
    </w:p>
  </w:footnote>
  <w:footnote w:id="11">
    <w:p w:rsidR="00285B65" w:rsidRPr="00AA03F5" w:rsidRDefault="00285B65" w:rsidP="00285B65">
      <w:pPr>
        <w:pStyle w:val="FootnoteText"/>
        <w:spacing w:after="120"/>
        <w:rPr>
          <w:color w:val="1F497D"/>
          <w:sz w:val="20"/>
        </w:rPr>
      </w:pPr>
      <w:r w:rsidRPr="00AA03F5">
        <w:rPr>
          <w:rStyle w:val="FootnoteReference"/>
          <w:sz w:val="20"/>
        </w:rPr>
        <w:footnoteRef/>
      </w:r>
      <w:r w:rsidRPr="00AA03F5">
        <w:rPr>
          <w:sz w:val="20"/>
        </w:rPr>
        <w:t xml:space="preserve"> </w:t>
      </w:r>
      <w:r w:rsidRPr="00AA03F5">
        <w:rPr>
          <w:i/>
          <w:sz w:val="20"/>
        </w:rPr>
        <w:t xml:space="preserve">See </w:t>
      </w:r>
      <w:r w:rsidRPr="00AA03F5">
        <w:rPr>
          <w:sz w:val="20"/>
        </w:rPr>
        <w:t>ATA</w:t>
      </w:r>
      <w:r w:rsidRPr="00AA03F5">
        <w:rPr>
          <w:i/>
          <w:sz w:val="20"/>
        </w:rPr>
        <w:t xml:space="preserve"> </w:t>
      </w:r>
      <w:r w:rsidRPr="00AA03F5">
        <w:rPr>
          <w:sz w:val="20"/>
        </w:rPr>
        <w:t xml:space="preserve">May 9, 2016 Letter; ATA </w:t>
      </w:r>
      <w:r w:rsidR="003F2EB0">
        <w:rPr>
          <w:snapToGrid w:val="0"/>
          <w:sz w:val="20"/>
        </w:rPr>
        <w:t>May 12, 2016 Letter</w:t>
      </w:r>
      <w:r w:rsidRPr="00AA03F5">
        <w:rPr>
          <w:snapToGrid w:val="0"/>
          <w:sz w:val="20"/>
        </w:rPr>
        <w:t xml:space="preserve"> (indicating access to only satellite middle-mile facilities at speeds less than 4/1 Mbps).</w:t>
      </w:r>
    </w:p>
  </w:footnote>
  <w:footnote w:id="12">
    <w:p w:rsidR="003F2EB0" w:rsidRDefault="003F2EB0">
      <w:pPr>
        <w:pStyle w:val="FootnoteText"/>
      </w:pPr>
      <w:r>
        <w:rPr>
          <w:rStyle w:val="FootnoteReference"/>
        </w:rPr>
        <w:footnoteRef/>
      </w:r>
      <w:r>
        <w:t xml:space="preserve"> </w:t>
      </w:r>
      <w:r w:rsidRPr="003F2EB0">
        <w:rPr>
          <w:i/>
          <w:sz w:val="20"/>
        </w:rPr>
        <w:t>See Connect America Fund</w:t>
      </w:r>
      <w:r w:rsidRPr="003F2EB0">
        <w:rPr>
          <w:sz w:val="20"/>
        </w:rPr>
        <w:t>, WC Docket No. 10-90, Report and Order and Further Notice of Proposed Rulemaking, FCC 16-178, para. 16 (Dec. 20, 2016).</w:t>
      </w:r>
      <w:r w:rsidRPr="003F2EB0">
        <w:t xml:space="preserve">  </w:t>
      </w:r>
    </w:p>
  </w:footnote>
  <w:footnote w:id="13">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Alaska Plan Order</w:t>
      </w:r>
      <w:r w:rsidRPr="00AA03F5">
        <w:rPr>
          <w:sz w:val="20"/>
        </w:rPr>
        <w:t xml:space="preserve">, 31 FCC Rcd at 10154, para. 45. </w:t>
      </w:r>
    </w:p>
  </w:footnote>
  <w:footnote w:id="14">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See id</w:t>
      </w:r>
      <w:r w:rsidRPr="00AA03F5">
        <w:rPr>
          <w:sz w:val="20"/>
        </w:rPr>
        <w:t>. at 10154-55, para. 46</w:t>
      </w:r>
    </w:p>
  </w:footnote>
  <w:footnote w:id="15">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See Access Charge Tariff Filings Introducing Broadband-only Loop Service</w:t>
      </w:r>
      <w:r w:rsidRPr="00AA03F5">
        <w:rPr>
          <w:sz w:val="20"/>
        </w:rPr>
        <w:t>, Order, Docket No. 16-317, 31 FCC Rcd 11017 (WCB Oct. 6, 2016) (</w:t>
      </w:r>
      <w:r w:rsidRPr="00AA03F5">
        <w:rPr>
          <w:i/>
          <w:sz w:val="20"/>
        </w:rPr>
        <w:t>Broadband-only Loop Service TRP Order</w:t>
      </w:r>
      <w:r w:rsidRPr="00AA03F5">
        <w:rPr>
          <w:sz w:val="20"/>
        </w:rPr>
        <w:t xml:space="preserve">); </w:t>
      </w:r>
      <w:r w:rsidRPr="00AA03F5">
        <w:rPr>
          <w:i/>
          <w:sz w:val="20"/>
        </w:rPr>
        <w:t>see also Access Charge Tariff Filings Introducing Broadband-only Loop Service</w:t>
      </w:r>
      <w:r w:rsidRPr="00AA03F5">
        <w:rPr>
          <w:sz w:val="20"/>
        </w:rPr>
        <w:t xml:space="preserve">, Order on Reconsideration, Docket No. 16-317, 31 FCC Rcd 12007 (WCB Nov. 4, 2016).  The waiver the Bureau granted in </w:t>
      </w:r>
      <w:r w:rsidRPr="00AA03F5">
        <w:rPr>
          <w:i/>
          <w:sz w:val="20"/>
        </w:rPr>
        <w:t>Connect America Fund et al.</w:t>
      </w:r>
      <w:r w:rsidRPr="00AA03F5">
        <w:rPr>
          <w:sz w:val="20"/>
        </w:rPr>
        <w:t xml:space="preserve">, WC Docket No. 10-90 et al., Order, DA 16-1383 (WCB Dec. 14, 2016), limiting the amount of CBOL costs that must be shifted from the Special Access category to the Consumer Broadband-only Loop category also applies to carriers receiving support pursuant to the Alaska plan.  We also clarify that carriers receiving support pursuant to the Alaska plan must impute an Access Recovery Charge on Consumer Broadband-only Loops, consistent with the Bureau clarification in </w:t>
      </w:r>
      <w:r w:rsidRPr="00AA03F5">
        <w:rPr>
          <w:i/>
          <w:sz w:val="20"/>
        </w:rPr>
        <w:t>Connect America Fund et al.</w:t>
      </w:r>
      <w:r w:rsidRPr="00AA03F5">
        <w:rPr>
          <w:sz w:val="20"/>
        </w:rPr>
        <w:t>, WC Docket No. 10-90 et al., Order, DA 16-1384 (WCB Dec. 14, 2016).</w:t>
      </w:r>
    </w:p>
  </w:footnote>
  <w:footnote w:id="16">
    <w:p w:rsidR="00285B65" w:rsidRPr="00AA03F5" w:rsidRDefault="00285B65" w:rsidP="00285B65">
      <w:pPr>
        <w:pStyle w:val="FootnoteText"/>
        <w:spacing w:after="120"/>
        <w:rPr>
          <w:sz w:val="20"/>
        </w:rPr>
      </w:pPr>
      <w:r w:rsidRPr="00AA03F5">
        <w:rPr>
          <w:rStyle w:val="FootnoteReference"/>
          <w:sz w:val="20"/>
        </w:rPr>
        <w:footnoteRef/>
      </w:r>
      <w:r w:rsidRPr="00AA03F5">
        <w:rPr>
          <w:sz w:val="20"/>
        </w:rPr>
        <w:t xml:space="preserve"> </w:t>
      </w:r>
      <w:r w:rsidRPr="00AA03F5">
        <w:rPr>
          <w:i/>
          <w:sz w:val="20"/>
        </w:rPr>
        <w:t>Alaska Plan Order</w:t>
      </w:r>
      <w:r w:rsidRPr="00AA03F5">
        <w:rPr>
          <w:sz w:val="20"/>
        </w:rPr>
        <w:t>, 31 FCC Rcd at 10154, para. 46 (citations omitted).</w:t>
      </w:r>
    </w:p>
  </w:footnote>
  <w:footnote w:id="17">
    <w:p w:rsidR="003D1FD3" w:rsidRPr="00AA03F5" w:rsidRDefault="003D1FD3" w:rsidP="003D1FD3">
      <w:pPr>
        <w:pStyle w:val="FootnoteText"/>
        <w:rPr>
          <w:sz w:val="20"/>
        </w:rPr>
      </w:pPr>
      <w:r w:rsidRPr="00AA03F5">
        <w:rPr>
          <w:rStyle w:val="FootnoteReference"/>
          <w:sz w:val="20"/>
        </w:rPr>
        <w:footnoteRef/>
      </w:r>
      <w:r w:rsidRPr="00AA03F5">
        <w:rPr>
          <w:sz w:val="20"/>
        </w:rPr>
        <w:t xml:space="preserve"> </w:t>
      </w:r>
      <w:r w:rsidRPr="00AA03F5">
        <w:rPr>
          <w:i/>
          <w:sz w:val="20"/>
        </w:rPr>
        <w:t xml:space="preserve">See </w:t>
      </w:r>
      <w:r w:rsidRPr="00AA03F5">
        <w:rPr>
          <w:sz w:val="20"/>
        </w:rPr>
        <w:t xml:space="preserve">47 CFR § 54.306(c). </w:t>
      </w:r>
    </w:p>
  </w:footnote>
  <w:footnote w:id="18">
    <w:p w:rsidR="00285B65" w:rsidRPr="00AA03F5" w:rsidRDefault="00285B65" w:rsidP="00285B65">
      <w:pPr>
        <w:pStyle w:val="FootnoteText"/>
        <w:spacing w:before="120"/>
        <w:rPr>
          <w:sz w:val="20"/>
        </w:rPr>
      </w:pPr>
      <w:r w:rsidRPr="00AA03F5">
        <w:rPr>
          <w:rStyle w:val="FootnoteReference"/>
          <w:sz w:val="20"/>
        </w:rPr>
        <w:footnoteRef/>
      </w:r>
      <w:r w:rsidRPr="00AA03F5">
        <w:rPr>
          <w:sz w:val="20"/>
        </w:rPr>
        <w:t xml:space="preserve"> In addition to the newly deployed/upgraded locations, Interior Tel Co Inc. committed to maintain existing service throughout the 10-year term to 2,518 locations with access to only satellite backhaul with speeds of 1Mbps/256kbps.  </w:t>
      </w:r>
      <w:r w:rsidRPr="00AA03F5">
        <w:rPr>
          <w:i/>
          <w:sz w:val="20"/>
        </w:rPr>
        <w:t xml:space="preserve">See </w:t>
      </w:r>
      <w:r w:rsidRPr="00AA03F5">
        <w:rPr>
          <w:sz w:val="20"/>
        </w:rPr>
        <w:t>Letter from Christine O’Connor, Executive Director, Alaska Telephone Association, to Marlene H. Dortch, Secretary, FCC, WC Docket Nos. 10-90, 16-271 (filed Nov. 22, 2016).</w:t>
      </w:r>
    </w:p>
  </w:footnote>
  <w:footnote w:id="19">
    <w:p w:rsidR="00285B65" w:rsidRPr="00AA03F5" w:rsidRDefault="00285B65" w:rsidP="00285B65">
      <w:pPr>
        <w:pStyle w:val="FootnoteText"/>
        <w:spacing w:before="120"/>
        <w:rPr>
          <w:sz w:val="20"/>
        </w:rPr>
      </w:pPr>
      <w:r w:rsidRPr="00AA03F5">
        <w:rPr>
          <w:rStyle w:val="FootnoteReference"/>
          <w:sz w:val="20"/>
        </w:rPr>
        <w:footnoteRef/>
      </w:r>
      <w:r w:rsidRPr="00AA03F5">
        <w:rPr>
          <w:sz w:val="20"/>
        </w:rPr>
        <w:t xml:space="preserve"> OTZ Tel Cooperative will also provide 4/1 Mbps service via satellite backhaul throughout the 10-year term.  The number of locations receiving service via satellite backhaul will decrease proportionally to number of newly deployed fiber locations.  </w:t>
      </w:r>
      <w:r w:rsidRPr="00AA03F5">
        <w:rPr>
          <w:i/>
          <w:sz w:val="20"/>
        </w:rPr>
        <w:t xml:space="preserve">See </w:t>
      </w:r>
      <w:r w:rsidRPr="00AA03F5">
        <w:rPr>
          <w:sz w:val="20"/>
        </w:rPr>
        <w:t xml:space="preserve">Letter from Christine O’Connor, Executive Director, Alaska Telephone Association, to Marlene H. Dortch, Secretary, FCC, WC Docket No. 10-90, at Attach (filed May 9, 2016) (May 9, 2016 Ex Parte).  </w:t>
      </w:r>
    </w:p>
  </w:footnote>
  <w:footnote w:id="20">
    <w:p w:rsidR="00285B65" w:rsidRPr="00AA03F5" w:rsidRDefault="00285B65" w:rsidP="00285B65">
      <w:pPr>
        <w:pStyle w:val="FootnoteText"/>
        <w:spacing w:before="120" w:after="120"/>
        <w:rPr>
          <w:sz w:val="20"/>
        </w:rPr>
      </w:pPr>
      <w:r w:rsidRPr="00AA03F5">
        <w:rPr>
          <w:rStyle w:val="FootnoteReference"/>
          <w:sz w:val="20"/>
        </w:rPr>
        <w:footnoteRef/>
      </w:r>
      <w:r w:rsidRPr="00AA03F5">
        <w:rPr>
          <w:sz w:val="20"/>
        </w:rPr>
        <w:t xml:space="preserve"> These carriers have committed to maintaining existing service, and therefore are subject to a biennial review per the Commission’s </w:t>
      </w:r>
      <w:r w:rsidRPr="00AA03F5">
        <w:rPr>
          <w:i/>
          <w:sz w:val="20"/>
        </w:rPr>
        <w:t>Alaska Plan Order</w:t>
      </w:r>
      <w:r w:rsidRPr="00AA03F5">
        <w:rPr>
          <w:sz w:val="20"/>
        </w:rPr>
        <w:t xml:space="preserve">.  </w:t>
      </w:r>
      <w:r w:rsidRPr="00AA03F5">
        <w:rPr>
          <w:i/>
          <w:sz w:val="20"/>
        </w:rPr>
        <w:t>See Alaska Plan Order</w:t>
      </w:r>
      <w:r w:rsidRPr="00AA03F5">
        <w:rPr>
          <w:sz w:val="20"/>
        </w:rPr>
        <w:t xml:space="preserve">, 31 FCC Rcd at 10158, para. 62.  </w:t>
      </w:r>
    </w:p>
  </w:footnote>
  <w:footnote w:id="21">
    <w:p w:rsidR="00285B65" w:rsidRPr="00AA03F5" w:rsidRDefault="00285B65" w:rsidP="00285B65">
      <w:pPr>
        <w:pStyle w:val="FootnoteText"/>
        <w:rPr>
          <w:sz w:val="20"/>
        </w:rPr>
      </w:pPr>
      <w:r w:rsidRPr="00AA03F5">
        <w:rPr>
          <w:rStyle w:val="FootnoteReference"/>
          <w:sz w:val="20"/>
        </w:rPr>
        <w:footnoteRef/>
      </w:r>
      <w:r w:rsidRPr="00AA03F5">
        <w:rPr>
          <w:sz w:val="20"/>
        </w:rPr>
        <w:t xml:space="preserve"> Circle Utilities states it does not have the facilities in place to provide any Internet access services; it does not have access to terrestrial backhaul and the cost of satellite backhaul is too much for the served community.  </w:t>
      </w:r>
      <w:r w:rsidRPr="00AA03F5">
        <w:rPr>
          <w:i/>
          <w:sz w:val="20"/>
        </w:rPr>
        <w:t xml:space="preserve">See </w:t>
      </w:r>
      <w:r w:rsidRPr="00AA03F5">
        <w:rPr>
          <w:sz w:val="20"/>
        </w:rPr>
        <w:t>May 9 Ex Parte at Attach.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2A" w:rsidRDefault="005B6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2A" w:rsidRDefault="005B6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A086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875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A086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670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5680"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7728"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65" w:rsidRDefault="00EA086A" w:rsidP="00B338A9">
    <w:pPr>
      <w:pStyle w:val="Header"/>
    </w:pPr>
    <w:r>
      <w:rPr>
        <w:noProof/>
      </w:rPr>
      <w:pict>
        <v:line id="Line 4" o:spid="_x0000_s2055" style="position:absolute;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001.6pt,56.7pt" to="5469.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D3" w:rsidRDefault="003D1FD3" w:rsidP="00B338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B" w:rsidRPr="00CE284F" w:rsidRDefault="00EA086A" w:rsidP="00CE2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B65"/>
    <w:rsid w:val="00004142"/>
    <w:rsid w:val="000265AE"/>
    <w:rsid w:val="000D7987"/>
    <w:rsid w:val="00285B65"/>
    <w:rsid w:val="002B632E"/>
    <w:rsid w:val="003D1FD3"/>
    <w:rsid w:val="003F2EB0"/>
    <w:rsid w:val="004216D3"/>
    <w:rsid w:val="004347B4"/>
    <w:rsid w:val="005B49F4"/>
    <w:rsid w:val="005B682A"/>
    <w:rsid w:val="00602577"/>
    <w:rsid w:val="006769DE"/>
    <w:rsid w:val="0079756F"/>
    <w:rsid w:val="008E6EFF"/>
    <w:rsid w:val="00A82009"/>
    <w:rsid w:val="00AD498B"/>
    <w:rsid w:val="00BB7FDA"/>
    <w:rsid w:val="00C32FC9"/>
    <w:rsid w:val="00C87A19"/>
    <w:rsid w:val="00CE1FE3"/>
    <w:rsid w:val="00CE284F"/>
    <w:rsid w:val="00D17DC0"/>
    <w:rsid w:val="00D24049"/>
    <w:rsid w:val="00D60EFF"/>
    <w:rsid w:val="00DB3AA9"/>
    <w:rsid w:val="00E5511F"/>
    <w:rsid w:val="00EA086A"/>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Style 7,Style 4,Footnote Reference1,Style 34,Style 9"/>
    <w:uiPriority w:val="99"/>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table" w:styleId="TableGrid">
    <w:name w:val="Table Grid"/>
    <w:basedOn w:val="TableNormal"/>
    <w:uiPriority w:val="39"/>
    <w:rsid w:val="00285B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85B6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sse.jachman@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exander.minard@fcc.gov" TargetMode="Externa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1253</Words>
  <Characters>6970</Characters>
  <Application>Microsoft Office Word</Application>
  <DocSecurity>0</DocSecurity>
  <Lines>559</Lines>
  <Paragraphs>288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2016-12-21T19:36:00Z</dcterms:created>
  <dcterms:modified xsi:type="dcterms:W3CDTF">2016-12-21T19:36:00Z</dcterms:modified>
  <cp:category> </cp:category>
  <cp:contentStatus> </cp:contentStatus>
</cp:coreProperties>
</file>