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9C" w:rsidRDefault="008C799C" w:rsidP="00FF04ED">
      <w:bookmarkStart w:id="0" w:name="_GoBack"/>
      <w:bookmarkEnd w:id="0"/>
    </w:p>
    <w:p w:rsidR="00E9376C" w:rsidRPr="00981F23" w:rsidRDefault="00E9376C">
      <w:pPr>
        <w:jc w:val="center"/>
        <w:rPr>
          <w:b/>
        </w:rPr>
      </w:pPr>
      <w:r w:rsidRPr="00981F23">
        <w:rPr>
          <w:b/>
        </w:rPr>
        <w:t>Before the</w:t>
      </w:r>
    </w:p>
    <w:p w:rsidR="00E9376C" w:rsidRPr="00981F23" w:rsidRDefault="00E9376C">
      <w:pPr>
        <w:pStyle w:val="StyleBoldCentered"/>
        <w:rPr>
          <w:rFonts w:ascii="Times New Roman" w:hAnsi="Times New Roman"/>
        </w:rPr>
      </w:pPr>
      <w:r w:rsidRPr="00981F23">
        <w:rPr>
          <w:rFonts w:ascii="Times New Roman" w:hAnsi="Times New Roman"/>
        </w:rPr>
        <w:t>F</w:t>
      </w:r>
      <w:r w:rsidRPr="00981F23">
        <w:rPr>
          <w:rFonts w:ascii="Times New Roman" w:hAnsi="Times New Roman"/>
          <w:caps w:val="0"/>
        </w:rPr>
        <w:t>ederal Communications Commission</w:t>
      </w:r>
    </w:p>
    <w:p w:rsidR="00E9376C" w:rsidRPr="00981F23" w:rsidRDefault="00E9376C">
      <w:pPr>
        <w:jc w:val="center"/>
        <w:rPr>
          <w:b/>
        </w:rPr>
      </w:pPr>
      <w:r w:rsidRPr="00981F23">
        <w:rPr>
          <w:b/>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rsidTr="00500F04">
        <w:tc>
          <w:tcPr>
            <w:tcW w:w="4518" w:type="dxa"/>
          </w:tcPr>
          <w:p w:rsidR="00E9376C" w:rsidRPr="00981F23" w:rsidRDefault="00E9376C">
            <w:pPr>
              <w:tabs>
                <w:tab w:val="center" w:pos="4680"/>
              </w:tabs>
              <w:suppressAutoHyphens/>
            </w:pPr>
          </w:p>
          <w:p w:rsidR="00E9376C" w:rsidRPr="00981F23" w:rsidRDefault="00E9376C">
            <w:pPr>
              <w:tabs>
                <w:tab w:val="center" w:pos="4680"/>
              </w:tabs>
              <w:suppressAutoHyphens/>
            </w:pPr>
            <w:r w:rsidRPr="00981F23">
              <w:t>In the Matter of</w:t>
            </w:r>
          </w:p>
          <w:p w:rsidR="00E9376C" w:rsidRPr="00981F23" w:rsidRDefault="00E9376C">
            <w:pPr>
              <w:tabs>
                <w:tab w:val="center" w:pos="4680"/>
              </w:tabs>
              <w:suppressAutoHyphens/>
            </w:pPr>
          </w:p>
          <w:p w:rsidR="00E9376C" w:rsidRPr="00981F23" w:rsidRDefault="006F018F">
            <w:pPr>
              <w:tabs>
                <w:tab w:val="center" w:pos="4680"/>
              </w:tabs>
              <w:suppressAutoHyphens/>
            </w:pPr>
            <w:r>
              <w:t>Pentecostal Temple Development Corporation</w:t>
            </w:r>
          </w:p>
          <w:p w:rsidR="00E9376C" w:rsidRPr="00981F23" w:rsidRDefault="00E9376C">
            <w:pPr>
              <w:tabs>
                <w:tab w:val="center" w:pos="4680"/>
              </w:tabs>
              <w:suppressAutoHyphens/>
            </w:pPr>
          </w:p>
        </w:tc>
        <w:tc>
          <w:tcPr>
            <w:tcW w:w="630" w:type="dxa"/>
          </w:tcPr>
          <w:p w:rsidR="00E9376C" w:rsidRPr="00981F23" w:rsidRDefault="00E9376C">
            <w:pPr>
              <w:tabs>
                <w:tab w:val="center" w:pos="4680"/>
              </w:tabs>
              <w:suppressAutoHyphens/>
              <w:rPr>
                <w:b/>
              </w:rPr>
            </w:pPr>
          </w:p>
          <w:p w:rsidR="00E9376C" w:rsidRPr="00981F23" w:rsidRDefault="00E9376C">
            <w:pPr>
              <w:tabs>
                <w:tab w:val="center" w:pos="4680"/>
              </w:tabs>
              <w:suppressAutoHyphens/>
              <w:rPr>
                <w:b/>
              </w:rPr>
            </w:pPr>
            <w:r w:rsidRPr="00981F23">
              <w:rPr>
                <w:b/>
              </w:rPr>
              <w:t xml:space="preserve">  )</w:t>
            </w:r>
          </w:p>
          <w:p w:rsidR="00E9376C" w:rsidRPr="00981F23" w:rsidRDefault="00E9376C">
            <w:pPr>
              <w:tabs>
                <w:tab w:val="center" w:pos="4680"/>
              </w:tabs>
              <w:suppressAutoHyphens/>
              <w:rPr>
                <w:b/>
              </w:rPr>
            </w:pPr>
            <w:r w:rsidRPr="00981F23">
              <w:rPr>
                <w:b/>
              </w:rPr>
              <w:t xml:space="preserve">  )</w:t>
            </w:r>
          </w:p>
          <w:p w:rsidR="00E9376C" w:rsidRPr="00981F23" w:rsidRDefault="00E9376C">
            <w:pPr>
              <w:tabs>
                <w:tab w:val="center" w:pos="4680"/>
              </w:tabs>
              <w:suppressAutoHyphens/>
              <w:rPr>
                <w:b/>
              </w:rPr>
            </w:pPr>
            <w:r w:rsidRPr="00981F23">
              <w:rPr>
                <w:b/>
              </w:rPr>
              <w:t xml:space="preserve">  )</w:t>
            </w:r>
          </w:p>
          <w:p w:rsidR="00E9376C" w:rsidRPr="00981F23" w:rsidRDefault="00E9376C">
            <w:pPr>
              <w:tabs>
                <w:tab w:val="center" w:pos="4680"/>
              </w:tabs>
              <w:suppressAutoHyphens/>
              <w:rPr>
                <w:b/>
              </w:rPr>
            </w:pPr>
            <w:r w:rsidRPr="00981F23">
              <w:rPr>
                <w:b/>
              </w:rPr>
              <w:t xml:space="preserve">  )</w:t>
            </w:r>
          </w:p>
          <w:p w:rsidR="00E9376C" w:rsidRDefault="00E9376C">
            <w:pPr>
              <w:tabs>
                <w:tab w:val="center" w:pos="4680"/>
              </w:tabs>
              <w:suppressAutoHyphens/>
              <w:rPr>
                <w:b/>
              </w:rPr>
            </w:pPr>
            <w:r w:rsidRPr="00981F23">
              <w:rPr>
                <w:b/>
              </w:rPr>
              <w:t xml:space="preserve">  )</w:t>
            </w:r>
          </w:p>
          <w:p w:rsidR="00371BF4" w:rsidRPr="00981F23" w:rsidRDefault="00371BF4">
            <w:pPr>
              <w:tabs>
                <w:tab w:val="center" w:pos="4680"/>
              </w:tabs>
              <w:suppressAutoHyphens/>
              <w:rPr>
                <w:b/>
              </w:rPr>
            </w:pPr>
            <w:r>
              <w:rPr>
                <w:b/>
              </w:rPr>
              <w:t xml:space="preserve">  )</w:t>
            </w:r>
          </w:p>
          <w:p w:rsidR="00E9376C" w:rsidRPr="00981F23" w:rsidRDefault="00E9376C">
            <w:pPr>
              <w:tabs>
                <w:tab w:val="center" w:pos="4680"/>
              </w:tabs>
              <w:suppressAutoHyphens/>
              <w:rPr>
                <w:b/>
              </w:rPr>
            </w:pPr>
            <w:r w:rsidRPr="00981F23">
              <w:rPr>
                <w:b/>
              </w:rPr>
              <w:t xml:space="preserve"> </w:t>
            </w:r>
          </w:p>
        </w:tc>
        <w:tc>
          <w:tcPr>
            <w:tcW w:w="4248" w:type="dxa"/>
          </w:tcPr>
          <w:p w:rsidR="00E9376C" w:rsidRPr="00981F23" w:rsidRDefault="00E9376C">
            <w:pPr>
              <w:tabs>
                <w:tab w:val="center" w:pos="4680"/>
              </w:tabs>
              <w:suppressAutoHyphens/>
            </w:pPr>
          </w:p>
          <w:p w:rsidR="00242FE3" w:rsidRDefault="00E9376C">
            <w:r w:rsidRPr="00981F23">
              <w:t xml:space="preserve">                </w:t>
            </w:r>
          </w:p>
          <w:p w:rsidR="00371BF4" w:rsidRDefault="00371BF4" w:rsidP="00371BF4"/>
          <w:p w:rsidR="006F018F" w:rsidRDefault="00E9376C" w:rsidP="00371BF4">
            <w:r w:rsidRPr="00981F23">
              <w:t xml:space="preserve">File No.:  </w:t>
            </w:r>
            <w:r w:rsidR="006F018F">
              <w:t>EB-FIELDNER-15-00020416</w:t>
            </w:r>
          </w:p>
          <w:p w:rsidR="00242FE3" w:rsidRPr="00981F23" w:rsidRDefault="006F018F" w:rsidP="00371BF4">
            <w:pPr>
              <w:rPr>
                <w:snapToGrid/>
              </w:rPr>
            </w:pPr>
            <w:r>
              <w:t>File No.:  EB-FIELDNER-15-00020418</w:t>
            </w:r>
          </w:p>
          <w:p w:rsidR="00242FE3" w:rsidRDefault="00E9376C" w:rsidP="00371BF4">
            <w:pPr>
              <w:rPr>
                <w:snapToGrid/>
              </w:rPr>
            </w:pPr>
            <w:r w:rsidRPr="00981F23">
              <w:t>NAL/Acct. No.</w:t>
            </w:r>
            <w:r w:rsidR="009D265E" w:rsidRPr="00981F23">
              <w:t>:</w:t>
            </w:r>
            <w:r w:rsidR="00A569CE" w:rsidRPr="00981F23">
              <w:t xml:space="preserve">  </w:t>
            </w:r>
            <w:r w:rsidR="00C6028F" w:rsidRPr="00C6028F">
              <w:t xml:space="preserve">201732400001 </w:t>
            </w:r>
          </w:p>
          <w:p w:rsidR="00E9376C" w:rsidRPr="00981F23" w:rsidRDefault="00E9376C" w:rsidP="00371BF4">
            <w:pPr>
              <w:rPr>
                <w:snapToGrid/>
              </w:rPr>
            </w:pPr>
            <w:r w:rsidRPr="00981F23">
              <w:t xml:space="preserve">FRN:  </w:t>
            </w:r>
            <w:r w:rsidR="00DE420E">
              <w:t>0008656506</w:t>
            </w:r>
          </w:p>
          <w:p w:rsidR="00E9376C" w:rsidRPr="00981F23" w:rsidRDefault="00E9376C" w:rsidP="009E08F3">
            <w:r w:rsidRPr="00981F23">
              <w:t xml:space="preserve">             </w:t>
            </w:r>
          </w:p>
        </w:tc>
      </w:tr>
    </w:tbl>
    <w:p w:rsidR="00E9376C" w:rsidRPr="00981F23" w:rsidRDefault="00E9376C" w:rsidP="00863418">
      <w:pPr>
        <w:pStyle w:val="StyleBoldCentered"/>
        <w:widowControl/>
        <w:rPr>
          <w:rFonts w:ascii="Times New Roman" w:hAnsi="Times New Roman"/>
        </w:rPr>
      </w:pPr>
      <w:r w:rsidRPr="00981F23">
        <w:rPr>
          <w:rFonts w:ascii="Times New Roman" w:hAnsi="Times New Roman"/>
        </w:rPr>
        <w:t>NOTICE OF APPARENT LIABILITY FOR FORFEITURE</w:t>
      </w:r>
    </w:p>
    <w:p w:rsidR="00E9376C" w:rsidRPr="00981F23" w:rsidRDefault="00E9376C">
      <w:pPr>
        <w:pStyle w:val="BodyText"/>
        <w:tabs>
          <w:tab w:val="left" w:pos="4680"/>
        </w:tabs>
        <w:jc w:val="center"/>
        <w:rPr>
          <w:sz w:val="22"/>
          <w:u w:val="none"/>
        </w:rPr>
      </w:pPr>
    </w:p>
    <w:p w:rsidR="00652F84" w:rsidRPr="00037DB0" w:rsidRDefault="00652F84" w:rsidP="00652F84">
      <w:pPr>
        <w:tabs>
          <w:tab w:val="left" w:pos="720"/>
          <w:tab w:val="right" w:pos="9360"/>
        </w:tabs>
        <w:suppressAutoHyphens/>
        <w:spacing w:line="227" w:lineRule="auto"/>
      </w:pPr>
      <w:r w:rsidRPr="00037DB0">
        <w:rPr>
          <w:b/>
        </w:rPr>
        <w:t xml:space="preserve">Adopted:  </w:t>
      </w:r>
      <w:r w:rsidR="00C6028F">
        <w:rPr>
          <w:b/>
        </w:rPr>
        <w:t>December 29, 2016</w:t>
      </w:r>
      <w:r w:rsidRPr="00037DB0">
        <w:rPr>
          <w:b/>
        </w:rPr>
        <w:tab/>
        <w:t xml:space="preserve">Released:  </w:t>
      </w:r>
      <w:r>
        <w:rPr>
          <w:b/>
        </w:rPr>
        <w:t>D</w:t>
      </w:r>
      <w:r w:rsidR="00C6028F">
        <w:rPr>
          <w:b/>
        </w:rPr>
        <w:t>ecember 30, 2016</w:t>
      </w:r>
    </w:p>
    <w:p w:rsidR="00E9376C" w:rsidRPr="00981F23" w:rsidRDefault="00E9376C" w:rsidP="009645E5">
      <w:pPr>
        <w:pStyle w:val="BodyText"/>
        <w:tabs>
          <w:tab w:val="left" w:pos="4680"/>
        </w:tabs>
        <w:jc w:val="center"/>
        <w:rPr>
          <w:sz w:val="22"/>
          <w:u w:val="none"/>
        </w:rPr>
      </w:pPr>
    </w:p>
    <w:p w:rsidR="00CE5F1E" w:rsidRPr="006D73F2" w:rsidRDefault="00CE5F1E" w:rsidP="00CE5F1E">
      <w:pPr>
        <w:tabs>
          <w:tab w:val="left" w:pos="720"/>
          <w:tab w:val="left" w:pos="5760"/>
        </w:tabs>
        <w:suppressAutoHyphens/>
        <w:spacing w:line="227" w:lineRule="auto"/>
        <w:jc w:val="both"/>
      </w:pPr>
      <w:r w:rsidRPr="006D73F2">
        <w:t>By the Regional Director</w:t>
      </w:r>
      <w:r w:rsidR="006F018F">
        <w:t xml:space="preserve">, Region </w:t>
      </w:r>
      <w:r w:rsidR="002A3D3A">
        <w:t>One</w:t>
      </w:r>
      <w:r w:rsidR="006F018F">
        <w:t>, Enforcement Bureau</w:t>
      </w:r>
      <w:r w:rsidRPr="006D73F2">
        <w:t>:</w:t>
      </w:r>
    </w:p>
    <w:p w:rsidR="00E9376C" w:rsidRPr="00981F23" w:rsidRDefault="00E9376C" w:rsidP="00AE35F6">
      <w:pPr>
        <w:pStyle w:val="BodyText"/>
        <w:tabs>
          <w:tab w:val="left" w:pos="4680"/>
        </w:tabs>
        <w:rPr>
          <w:b w:val="0"/>
          <w:sz w:val="22"/>
          <w:u w:val="none"/>
        </w:rPr>
      </w:pPr>
    </w:p>
    <w:p w:rsidR="00E9376C" w:rsidRPr="00981F23" w:rsidRDefault="00E9376C" w:rsidP="00F60397">
      <w:pPr>
        <w:pStyle w:val="Heading1"/>
      </w:pPr>
      <w:r w:rsidRPr="00981F23">
        <w:t>INTRODUCTION</w:t>
      </w:r>
    </w:p>
    <w:p w:rsidR="00E9376C" w:rsidRPr="008C799C" w:rsidRDefault="00E9376C" w:rsidP="004910DA">
      <w:pPr>
        <w:pStyle w:val="ParaNum"/>
      </w:pPr>
      <w:r w:rsidRPr="00981F23">
        <w:t xml:space="preserve">We propose a penalty </w:t>
      </w:r>
      <w:r w:rsidR="00C33489">
        <w:t xml:space="preserve">against Pentecostal Temple Development Corporation (Pentecostal), licensee of AM Station WGBN, and owner of </w:t>
      </w:r>
      <w:r w:rsidR="005C0574">
        <w:t>towers registered under Antenna S</w:t>
      </w:r>
      <w:r w:rsidR="00C33489">
        <w:t>tructure</w:t>
      </w:r>
      <w:r w:rsidR="005C0574">
        <w:t xml:space="preserve"> Registration</w:t>
      </w:r>
      <w:r w:rsidR="002A3D3A">
        <w:t>s</w:t>
      </w:r>
      <w:r w:rsidR="005C0574">
        <w:t xml:space="preserve"> (ASR)</w:t>
      </w:r>
      <w:r w:rsidR="00C33489">
        <w:t xml:space="preserve"> 1026648 and 1026650 (the “Antenna Structures”), in </w:t>
      </w:r>
      <w:r w:rsidR="00764215">
        <w:t>Lincoln Borough, Pennsylvania</w:t>
      </w:r>
      <w:r w:rsidR="00C33489">
        <w:t>,</w:t>
      </w:r>
      <w:r w:rsidR="0031097A">
        <w:rPr>
          <w:rStyle w:val="FootnoteReference"/>
        </w:rPr>
        <w:footnoteReference w:id="2"/>
      </w:r>
      <w:r w:rsidR="00C33489">
        <w:t xml:space="preserve"> for apparently willfully and repeatedly violat</w:t>
      </w:r>
      <w:r w:rsidR="007C3956">
        <w:t>ing</w:t>
      </w:r>
      <w:r w:rsidR="00C33489">
        <w:t xml:space="preserve"> </w:t>
      </w:r>
      <w:r w:rsidR="00DB53A5">
        <w:t>S</w:t>
      </w:r>
      <w:r w:rsidR="00C33489">
        <w:t>ection 303(q) of the Communications Act of 1934, as amended (“Act”)</w:t>
      </w:r>
      <w:r w:rsidR="00C33489">
        <w:rPr>
          <w:rStyle w:val="FootnoteReference"/>
        </w:rPr>
        <w:footnoteReference w:id="3"/>
      </w:r>
      <w:r w:rsidR="00C33489">
        <w:t xml:space="preserve"> and </w:t>
      </w:r>
      <w:r w:rsidR="00DB53A5">
        <w:t>S</w:t>
      </w:r>
      <w:r w:rsidR="00C33489">
        <w:t xml:space="preserve">ections </w:t>
      </w:r>
      <w:r w:rsidR="00B179E2">
        <w:t xml:space="preserve">17.23, </w:t>
      </w:r>
      <w:r w:rsidR="007265E8">
        <w:t xml:space="preserve">17.48(a) and </w:t>
      </w:r>
      <w:r w:rsidR="00C33489">
        <w:t xml:space="preserve">17.50(a) of </w:t>
      </w:r>
      <w:r w:rsidR="00C33489" w:rsidRPr="004910DA">
        <w:rPr>
          <w:color w:val="000000"/>
        </w:rPr>
        <w:t>the Commission’s rules (“Rules”),</w:t>
      </w:r>
      <w:r w:rsidR="00C33489">
        <w:rPr>
          <w:rStyle w:val="FootnoteReference"/>
          <w:color w:val="000000"/>
        </w:rPr>
        <w:footnoteReference w:id="4"/>
      </w:r>
      <w:r w:rsidR="00C33489" w:rsidRPr="004910DA">
        <w:rPr>
          <w:color w:val="000000"/>
        </w:rPr>
        <w:t xml:space="preserve"> by</w:t>
      </w:r>
      <w:r w:rsidR="00C33489">
        <w:t xml:space="preserve"> failing to </w:t>
      </w:r>
      <w:r w:rsidR="00056F4D">
        <w:t xml:space="preserve">light and </w:t>
      </w:r>
      <w:r w:rsidR="00C33489">
        <w:t>repaint the Antenna Structure</w:t>
      </w:r>
      <w:r w:rsidR="00B2617A">
        <w:t>s</w:t>
      </w:r>
      <w:r w:rsidR="00C33489">
        <w:t xml:space="preserve"> as often as necessary to maintain good visibility</w:t>
      </w:r>
      <w:r w:rsidR="00056F4D">
        <w:t>, and for failing to notify the FAA of a lighting outage</w:t>
      </w:r>
      <w:r w:rsidR="00C33489">
        <w:t xml:space="preserve">.  </w:t>
      </w:r>
      <w:r w:rsidR="009A097C">
        <w:t>Such</w:t>
      </w:r>
      <w:r w:rsidR="0053146E" w:rsidRPr="0053146E">
        <w:t xml:space="preserve"> structures present a significant public safety risk, especially to passing aircraft. </w:t>
      </w:r>
      <w:r w:rsidR="009A097C">
        <w:t xml:space="preserve"> Pentecostal has previously been warned that it must </w:t>
      </w:r>
      <w:r w:rsidR="00056F4D">
        <w:t xml:space="preserve">repair the required lights and </w:t>
      </w:r>
      <w:r w:rsidR="009A097C">
        <w:t xml:space="preserve">repaint the Antenna Structures to bring them into compliance with the Commission’s rules.  Despite </w:t>
      </w:r>
      <w:r w:rsidR="00B2617A">
        <w:t xml:space="preserve">Pentecostal’s </w:t>
      </w:r>
      <w:r w:rsidR="009A097C">
        <w:t xml:space="preserve">assurances that it would complete the </w:t>
      </w:r>
      <w:r w:rsidR="00056F4D">
        <w:t xml:space="preserve">lighting and marking </w:t>
      </w:r>
      <w:r w:rsidR="009A097C">
        <w:t xml:space="preserve">repairs </w:t>
      </w:r>
      <w:r w:rsidR="00544E8E">
        <w:t xml:space="preserve">to the Antenna Structures </w:t>
      </w:r>
      <w:r w:rsidR="009A097C">
        <w:t>by the end of May</w:t>
      </w:r>
      <w:r w:rsidR="00450812">
        <w:t xml:space="preserve"> 2016</w:t>
      </w:r>
      <w:r w:rsidR="009A097C">
        <w:t xml:space="preserve">, </w:t>
      </w:r>
      <w:r w:rsidR="00267E56">
        <w:t xml:space="preserve">Commission agents found </w:t>
      </w:r>
      <w:r w:rsidR="00450812">
        <w:t xml:space="preserve">during an inspection that the Antenna Structures had </w:t>
      </w:r>
      <w:r w:rsidR="009A097C">
        <w:t>not been brought into compliance</w:t>
      </w:r>
      <w:r w:rsidR="00544E8E">
        <w:t xml:space="preserve"> </w:t>
      </w:r>
      <w:r w:rsidR="00267E56">
        <w:t>at the end of August</w:t>
      </w:r>
      <w:r w:rsidR="00450812">
        <w:t xml:space="preserve"> 2016</w:t>
      </w:r>
      <w:r w:rsidR="009A097C">
        <w:t xml:space="preserve">.  </w:t>
      </w:r>
      <w:r w:rsidR="00B2617A">
        <w:t>Because Pentecostal failed to bring the Antenna Structures into compliance after multiple warnings, w</w:t>
      </w:r>
      <w:r w:rsidR="00C33489">
        <w:t>e conclude that Pentecostal is apparently liable for a forfeiture in the amount of twenty</w:t>
      </w:r>
      <w:r w:rsidR="007C3956">
        <w:t>-</w:t>
      </w:r>
      <w:r w:rsidR="009C281B">
        <w:t xml:space="preserve">five </w:t>
      </w:r>
      <w:r w:rsidR="00C33489" w:rsidRPr="004910DA">
        <w:rPr>
          <w:color w:val="000000"/>
        </w:rPr>
        <w:t>thousand dollars</w:t>
      </w:r>
      <w:r w:rsidR="00C33489" w:rsidRPr="004910DA">
        <w:rPr>
          <w:b/>
          <w:color w:val="000000"/>
        </w:rPr>
        <w:t xml:space="preserve"> </w:t>
      </w:r>
      <w:r w:rsidR="00C33489" w:rsidRPr="004910DA">
        <w:rPr>
          <w:color w:val="000000"/>
        </w:rPr>
        <w:t>($</w:t>
      </w:r>
      <w:r w:rsidR="00C33489">
        <w:t>2</w:t>
      </w:r>
      <w:r w:rsidR="009C281B">
        <w:t>5</w:t>
      </w:r>
      <w:r w:rsidR="00C33489" w:rsidRPr="004910DA">
        <w:rPr>
          <w:color w:val="000000"/>
        </w:rPr>
        <w:t xml:space="preserve">,000). </w:t>
      </w:r>
      <w:r w:rsidRPr="00981F23">
        <w:t xml:space="preserve"> </w:t>
      </w:r>
      <w:r w:rsidR="006F018F">
        <w:t xml:space="preserve"> </w:t>
      </w:r>
      <w:r w:rsidRPr="00981F23">
        <w:t xml:space="preserve">  </w:t>
      </w:r>
    </w:p>
    <w:p w:rsidR="0050166C" w:rsidRPr="00981F23" w:rsidRDefault="00E9376C" w:rsidP="0050166C">
      <w:pPr>
        <w:pStyle w:val="Heading1"/>
      </w:pPr>
      <w:r w:rsidRPr="00981F23">
        <w:t>BACKGROUND</w:t>
      </w:r>
    </w:p>
    <w:p w:rsidR="00AA7DD1" w:rsidRDefault="000F1EEF" w:rsidP="002B3430">
      <w:pPr>
        <w:pStyle w:val="ParaNum"/>
      </w:pPr>
      <w:r>
        <w:t xml:space="preserve">On October 14, 2015, in response to an anonymous complaint, agents </w:t>
      </w:r>
      <w:r w:rsidR="00C94FB0">
        <w:t xml:space="preserve">from the Enforcement Bureau’s Philadelphia Office </w:t>
      </w:r>
      <w:r>
        <w:t xml:space="preserve">inspected the </w:t>
      </w:r>
      <w:r w:rsidR="00C94FB0">
        <w:t>Antenna Structures.</w:t>
      </w:r>
      <w:r w:rsidR="00C94FB0" w:rsidRPr="002B3430">
        <w:rPr>
          <w:vertAlign w:val="superscript"/>
        </w:rPr>
        <w:t xml:space="preserve"> </w:t>
      </w:r>
      <w:r w:rsidR="00C94FB0">
        <w:t xml:space="preserve"> </w:t>
      </w:r>
      <w:r w:rsidR="002B3430">
        <w:t xml:space="preserve"> </w:t>
      </w:r>
      <w:r w:rsidR="00C94FB0">
        <w:t xml:space="preserve">According to the </w:t>
      </w:r>
      <w:r w:rsidR="009E0323">
        <w:t>R</w:t>
      </w:r>
      <w:r w:rsidR="00E014D6">
        <w:t xml:space="preserve">ules and its </w:t>
      </w:r>
      <w:r w:rsidR="00C94FB0">
        <w:t xml:space="preserve">ASR database, the Antenna Structures were </w:t>
      </w:r>
      <w:r w:rsidR="002C7741">
        <w:t>required to be painted and lit.</w:t>
      </w:r>
      <w:r w:rsidR="00C94FB0" w:rsidRPr="002B3430">
        <w:rPr>
          <w:vertAlign w:val="superscript"/>
        </w:rPr>
        <w:footnoteReference w:id="5"/>
      </w:r>
      <w:r w:rsidR="00C94FB0" w:rsidRPr="002B3430">
        <w:t xml:space="preserve">  The agents observed that the paint </w:t>
      </w:r>
      <w:r w:rsidR="00C94FB0" w:rsidRPr="002B3430">
        <w:lastRenderedPageBreak/>
        <w:t>on the Antenna Structures was faded and chipped, significantly reducing the Antenna Structures’</w:t>
      </w:r>
      <w:r w:rsidR="005C0574" w:rsidRPr="002B3430">
        <w:t xml:space="preserve"> visibility. </w:t>
      </w:r>
      <w:r w:rsidR="00C94FB0" w:rsidRPr="002B3430">
        <w:t xml:space="preserve"> </w:t>
      </w:r>
      <w:r w:rsidR="00F97405">
        <w:t xml:space="preserve">On January </w:t>
      </w:r>
      <w:r w:rsidR="00C1502E">
        <w:t>5</w:t>
      </w:r>
      <w:r w:rsidR="00F97405">
        <w:t>, 2016, an agent</w:t>
      </w:r>
      <w:r w:rsidR="0031097A">
        <w:t xml:space="preserve"> returned to the site to</w:t>
      </w:r>
      <w:r w:rsidR="00F97405">
        <w:t xml:space="preserve"> inspect the Antenna Structures.  The agent found that the top level beacon on the tower registered under ASR 1026648 was out, and </w:t>
      </w:r>
      <w:r w:rsidR="00900F7D">
        <w:t xml:space="preserve">that </w:t>
      </w:r>
      <w:r w:rsidR="00F97405">
        <w:t xml:space="preserve">one of the two side </w:t>
      </w:r>
      <w:r w:rsidR="00177F02">
        <w:t>steady burning</w:t>
      </w:r>
      <w:r w:rsidR="001276F8">
        <w:t xml:space="preserve"> </w:t>
      </w:r>
      <w:r w:rsidR="008861DD">
        <w:t xml:space="preserve">obstruction </w:t>
      </w:r>
      <w:r w:rsidR="00F97405">
        <w:t>light</w:t>
      </w:r>
      <w:r w:rsidR="008861DD">
        <w:t>ing globes</w:t>
      </w:r>
      <w:r w:rsidR="00F97405">
        <w:t xml:space="preserve"> was out on the tower registered under ASR 1026650.  </w:t>
      </w:r>
    </w:p>
    <w:p w:rsidR="00C94FB0" w:rsidRPr="00A7418B" w:rsidRDefault="006847E8" w:rsidP="002B3430">
      <w:pPr>
        <w:pStyle w:val="ParaNum"/>
      </w:pPr>
      <w:r w:rsidRPr="002B3430">
        <w:t>On February 9, 2016</w:t>
      </w:r>
      <w:r w:rsidR="00C94FB0" w:rsidRPr="002B3430">
        <w:t xml:space="preserve">, the Philadelphia Office issued a Notice of Violation </w:t>
      </w:r>
      <w:r w:rsidR="00A52BB5">
        <w:t>(</w:t>
      </w:r>
      <w:r w:rsidR="00A52BB5" w:rsidRPr="00A72942">
        <w:rPr>
          <w:i/>
        </w:rPr>
        <w:t>NOV</w:t>
      </w:r>
      <w:r w:rsidR="00A52BB5">
        <w:t xml:space="preserve">) </w:t>
      </w:r>
      <w:r w:rsidRPr="00A52BB5">
        <w:t>to</w:t>
      </w:r>
      <w:r w:rsidRPr="002B3430">
        <w:t xml:space="preserve"> Pentecostal</w:t>
      </w:r>
      <w:r w:rsidR="00AA7DD1">
        <w:t>.</w:t>
      </w:r>
      <w:r w:rsidR="00AA7DD1">
        <w:rPr>
          <w:rStyle w:val="FootnoteReference"/>
        </w:rPr>
        <w:footnoteReference w:id="6"/>
      </w:r>
      <w:r w:rsidR="00AA7DD1">
        <w:t xml:space="preserve">  First, the NOV noted that Pentecostal had failed </w:t>
      </w:r>
      <w:r w:rsidR="00C94FB0" w:rsidRPr="002B3430">
        <w:t>to clean and repaint the Antenna Structure</w:t>
      </w:r>
      <w:r w:rsidR="00284D06" w:rsidRPr="002B3430">
        <w:t>s</w:t>
      </w:r>
      <w:r w:rsidR="00C94FB0" w:rsidRPr="002B3430">
        <w:t xml:space="preserve"> as required to maintain good visibility, in violation of </w:t>
      </w:r>
      <w:r w:rsidR="00DB53A5">
        <w:t>S</w:t>
      </w:r>
      <w:r w:rsidR="00C94FB0" w:rsidRPr="002B3430">
        <w:t>ection 17.50(a) of the Rules</w:t>
      </w:r>
      <w:r w:rsidR="00AA7DD1">
        <w:t>.</w:t>
      </w:r>
      <w:r w:rsidR="00AA7DD1">
        <w:rPr>
          <w:rStyle w:val="FootnoteReference"/>
        </w:rPr>
        <w:footnoteReference w:id="7"/>
      </w:r>
      <w:r w:rsidR="00BC6299">
        <w:t xml:space="preserve">  Second, Pentecostal had failed</w:t>
      </w:r>
      <w:r w:rsidR="00CB36F0">
        <w:t xml:space="preserve"> </w:t>
      </w:r>
      <w:r w:rsidR="00F97405">
        <w:t xml:space="preserve">to maintain </w:t>
      </w:r>
      <w:r w:rsidR="00C61313">
        <w:t xml:space="preserve">the required </w:t>
      </w:r>
      <w:r w:rsidR="00F97405">
        <w:t xml:space="preserve">lighting </w:t>
      </w:r>
      <w:r w:rsidR="00BC6299">
        <w:t>of</w:t>
      </w:r>
      <w:r w:rsidR="00C61313">
        <w:t xml:space="preserve"> the Antenna Structures</w:t>
      </w:r>
      <w:r w:rsidR="00BC6299">
        <w:t>.</w:t>
      </w:r>
      <w:r w:rsidR="00DB4CAF">
        <w:t xml:space="preserve">  Under the terms of ASR 1026648 and ASR 1026650, </w:t>
      </w:r>
      <w:r w:rsidR="007263FA">
        <w:t xml:space="preserve">the tower structures were required to </w:t>
      </w:r>
      <w:r w:rsidR="00DB4CAF">
        <w:t xml:space="preserve">have a red obstruction lighting system that includes a top-level beacon and at least two steady burning lamps at the 1/3 and 2/3 levels.  </w:t>
      </w:r>
      <w:r w:rsidR="00122180">
        <w:t>As noted above, d</w:t>
      </w:r>
      <w:r w:rsidR="007263FA">
        <w:t xml:space="preserve">uring the January </w:t>
      </w:r>
      <w:r w:rsidR="00122180">
        <w:t>5</w:t>
      </w:r>
      <w:r w:rsidR="007263FA">
        <w:t>, 2016, inspection, the agent observed that the top-level beacon on</w:t>
      </w:r>
      <w:r w:rsidR="00900F7D">
        <w:t xml:space="preserve"> the</w:t>
      </w:r>
      <w:r w:rsidR="007263FA">
        <w:t xml:space="preserve"> antenna structure </w:t>
      </w:r>
      <w:r w:rsidR="00900F7D">
        <w:t xml:space="preserve">registered under ASR </w:t>
      </w:r>
      <w:r w:rsidR="007263FA">
        <w:t xml:space="preserve">1026648 was extinguished, and that one of the two steady burning lamps at the 2/3 level on </w:t>
      </w:r>
      <w:r w:rsidR="00900F7D">
        <w:t xml:space="preserve">the </w:t>
      </w:r>
      <w:r w:rsidR="007263FA">
        <w:t xml:space="preserve">antenna structure </w:t>
      </w:r>
      <w:r w:rsidR="00900F7D">
        <w:t xml:space="preserve">registered under ASR </w:t>
      </w:r>
      <w:r w:rsidR="007263FA">
        <w:t>1026650 was extinguished.</w:t>
      </w:r>
      <w:r w:rsidR="007263FA">
        <w:rPr>
          <w:rStyle w:val="FootnoteReference"/>
        </w:rPr>
        <w:footnoteReference w:id="8"/>
      </w:r>
      <w:r w:rsidR="007263FA">
        <w:t xml:space="preserve"> </w:t>
      </w:r>
      <w:r w:rsidR="00DB4CAF">
        <w:t xml:space="preserve"> </w:t>
      </w:r>
      <w:r w:rsidR="00BC6299">
        <w:t>This constituted a</w:t>
      </w:r>
      <w:r w:rsidR="00A7418B">
        <w:t xml:space="preserve"> violation of </w:t>
      </w:r>
      <w:r w:rsidR="00DB53A5">
        <w:t>S</w:t>
      </w:r>
      <w:r w:rsidR="00A7418B" w:rsidRPr="00941BF7">
        <w:t>ection 17.</w:t>
      </w:r>
      <w:r w:rsidR="00BC6299">
        <w:t>23</w:t>
      </w:r>
      <w:r w:rsidR="00A7418B" w:rsidRPr="00941BF7">
        <w:t xml:space="preserve"> of the Rules</w:t>
      </w:r>
      <w:r w:rsidR="00BC6299">
        <w:t>.</w:t>
      </w:r>
      <w:r w:rsidR="00BC6299">
        <w:rPr>
          <w:rStyle w:val="FootnoteReference"/>
        </w:rPr>
        <w:footnoteReference w:id="9"/>
      </w:r>
      <w:r w:rsidR="00216F2E">
        <w:t xml:space="preserve">  Finally, Pentecostal had failed</w:t>
      </w:r>
      <w:r w:rsidR="00C61313" w:rsidRPr="00941BF7">
        <w:t xml:space="preserve"> </w:t>
      </w:r>
      <w:r w:rsidR="00F97405" w:rsidRPr="00941BF7">
        <w:t>to timely</w:t>
      </w:r>
      <w:r w:rsidR="00355024">
        <w:t xml:space="preserve"> file</w:t>
      </w:r>
      <w:r w:rsidR="00F97405" w:rsidRPr="00941BF7">
        <w:t xml:space="preserve"> the required Notice </w:t>
      </w:r>
      <w:r w:rsidR="00495CCB">
        <w:t>to</w:t>
      </w:r>
      <w:r w:rsidR="00F97405" w:rsidRPr="00941BF7">
        <w:t xml:space="preserve"> Airmen (NOTAM)</w:t>
      </w:r>
      <w:r w:rsidR="00487A70" w:rsidRPr="00941BF7">
        <w:t xml:space="preserve"> about the lighting outage</w:t>
      </w:r>
      <w:r w:rsidR="00C61313" w:rsidRPr="00941BF7">
        <w:t xml:space="preserve"> at the tower registered under ASR 1026648</w:t>
      </w:r>
      <w:r w:rsidR="00122180">
        <w:t xml:space="preserve">, which was a violation of </w:t>
      </w:r>
      <w:r w:rsidR="00DB53A5">
        <w:t>S</w:t>
      </w:r>
      <w:r w:rsidR="00A7418B" w:rsidRPr="00941BF7">
        <w:t>ection 17.48(a)</w:t>
      </w:r>
      <w:r w:rsidR="00C94FB0" w:rsidRPr="00941BF7">
        <w:t>.</w:t>
      </w:r>
      <w:r w:rsidR="005C3395" w:rsidRPr="00A7418B">
        <w:rPr>
          <w:rStyle w:val="FootnoteReference"/>
        </w:rPr>
        <w:footnoteReference w:id="10"/>
      </w:r>
    </w:p>
    <w:p w:rsidR="00B86F7E" w:rsidRDefault="00C94FB0" w:rsidP="00C61313">
      <w:pPr>
        <w:pStyle w:val="ParaNum"/>
      </w:pPr>
      <w:r w:rsidRPr="002B3430">
        <w:t xml:space="preserve">On </w:t>
      </w:r>
      <w:r w:rsidR="006847E8" w:rsidRPr="002B3430">
        <w:t>March 4</w:t>
      </w:r>
      <w:r w:rsidR="00903963">
        <w:t xml:space="preserve"> and March 7</w:t>
      </w:r>
      <w:r w:rsidR="006847E8" w:rsidRPr="002B3430">
        <w:t>, 2016</w:t>
      </w:r>
      <w:r w:rsidRPr="002B3430">
        <w:t xml:space="preserve">, </w:t>
      </w:r>
      <w:r>
        <w:t>the</w:t>
      </w:r>
      <w:r w:rsidRPr="002B3430">
        <w:t xml:space="preserve"> Philadelphia Off</w:t>
      </w:r>
      <w:r w:rsidR="006847E8" w:rsidRPr="002B3430">
        <w:t>ice received Pentecostal</w:t>
      </w:r>
      <w:r w:rsidRPr="002B3430">
        <w:t>’s response</w:t>
      </w:r>
      <w:r w:rsidR="00903963">
        <w:t>s</w:t>
      </w:r>
      <w:r w:rsidRPr="002B3430">
        <w:t xml:space="preserve"> to the </w:t>
      </w:r>
      <w:r w:rsidRPr="00B4780E">
        <w:rPr>
          <w:i/>
        </w:rPr>
        <w:t>NOV</w:t>
      </w:r>
      <w:r w:rsidRPr="002B3430">
        <w:t>.</w:t>
      </w:r>
      <w:r w:rsidRPr="00D37A1F">
        <w:rPr>
          <w:vertAlign w:val="superscript"/>
        </w:rPr>
        <w:footnoteReference w:id="11"/>
      </w:r>
      <w:r w:rsidR="00A35C1E" w:rsidRPr="00D37A1F">
        <w:rPr>
          <w:vertAlign w:val="superscript"/>
        </w:rPr>
        <w:t xml:space="preserve"> </w:t>
      </w:r>
      <w:r w:rsidR="00A35C1E" w:rsidRPr="002B3430">
        <w:t xml:space="preserve"> </w:t>
      </w:r>
      <w:r w:rsidR="00903963">
        <w:t xml:space="preserve"> </w:t>
      </w:r>
      <w:r w:rsidR="00A35C1E" w:rsidRPr="002B3430">
        <w:t>In the</w:t>
      </w:r>
      <w:r w:rsidR="009D3002">
        <w:t xml:space="preserve"> </w:t>
      </w:r>
      <w:r w:rsidR="009D3002">
        <w:rPr>
          <w:i/>
        </w:rPr>
        <w:t>Response to NOV</w:t>
      </w:r>
      <w:r w:rsidR="00A35C1E" w:rsidRPr="002B3430">
        <w:t>, Pentecostal</w:t>
      </w:r>
      <w:r w:rsidRPr="002B3430">
        <w:t xml:space="preserve"> stated that </w:t>
      </w:r>
      <w:r w:rsidR="00A35C1E" w:rsidRPr="002B3430">
        <w:t>it</w:t>
      </w:r>
      <w:r w:rsidRPr="002B3430">
        <w:t xml:space="preserve"> had</w:t>
      </w:r>
      <w:r w:rsidR="00A35C1E" w:rsidRPr="002B3430">
        <w:t xml:space="preserve"> taken steps to get the tower repainted.  It said that it had obtained quotes for the cost of repainting</w:t>
      </w:r>
      <w:r w:rsidR="000E6418">
        <w:t>,</w:t>
      </w:r>
      <w:r w:rsidR="00A35C1E" w:rsidRPr="002B3430">
        <w:t xml:space="preserve"> was </w:t>
      </w:r>
      <w:r w:rsidR="00B00BEC" w:rsidRPr="002B3430">
        <w:t>raising funds in order to pay for the re</w:t>
      </w:r>
      <w:r w:rsidR="00A35C1E" w:rsidRPr="002B3430">
        <w:t>painting</w:t>
      </w:r>
      <w:r w:rsidR="000E6418">
        <w:t xml:space="preserve">, and was planning </w:t>
      </w:r>
      <w:r w:rsidR="000E6418" w:rsidRPr="002B3430">
        <w:t xml:space="preserve">to get the towers repainted by the </w:t>
      </w:r>
      <w:r w:rsidR="000E6418">
        <w:t xml:space="preserve">end </w:t>
      </w:r>
      <w:r w:rsidR="000E6418" w:rsidRPr="002B3430">
        <w:t>of May, 2016.</w:t>
      </w:r>
      <w:r w:rsidR="000E6418" w:rsidRPr="00D37A1F">
        <w:rPr>
          <w:vertAlign w:val="superscript"/>
        </w:rPr>
        <w:footnoteReference w:id="12"/>
      </w:r>
      <w:r w:rsidR="00A35C1E" w:rsidRPr="002B3430">
        <w:t xml:space="preserve">  </w:t>
      </w:r>
      <w:r w:rsidR="000E6418">
        <w:t xml:space="preserve">Similarly, </w:t>
      </w:r>
      <w:r w:rsidR="00F50143">
        <w:t xml:space="preserve">Pentecostal claimed that it was planning to have the lighting repaired within two weeks of filing the </w:t>
      </w:r>
      <w:r w:rsidR="00F50143">
        <w:rPr>
          <w:i/>
        </w:rPr>
        <w:t>Response to NOV</w:t>
      </w:r>
      <w:r w:rsidR="00F50143">
        <w:t>.</w:t>
      </w:r>
      <w:r w:rsidR="00D117F6">
        <w:rPr>
          <w:rStyle w:val="FootnoteReference"/>
        </w:rPr>
        <w:footnoteReference w:id="13"/>
      </w:r>
      <w:r w:rsidR="00F50143">
        <w:t xml:space="preserve">  It also said it had </w:t>
      </w:r>
      <w:r w:rsidR="00D117F6">
        <w:t xml:space="preserve">tried to </w:t>
      </w:r>
      <w:r w:rsidR="00F50143">
        <w:t xml:space="preserve">file a NOTAM </w:t>
      </w:r>
      <w:r w:rsidR="00D117F6">
        <w:t xml:space="preserve">on January 7, 2016, but a NOTAM had already been filed by </w:t>
      </w:r>
      <w:r w:rsidR="000E6418">
        <w:t xml:space="preserve">a Commission </w:t>
      </w:r>
      <w:r w:rsidR="00D117F6">
        <w:t>agent.</w:t>
      </w:r>
      <w:r w:rsidR="00D117F6">
        <w:rPr>
          <w:rStyle w:val="FootnoteReference"/>
        </w:rPr>
        <w:footnoteReference w:id="14"/>
      </w:r>
      <w:r w:rsidR="00D117F6">
        <w:t xml:space="preserve"> </w:t>
      </w:r>
      <w:r w:rsidR="00F50143">
        <w:t xml:space="preserve"> </w:t>
      </w:r>
      <w:r w:rsidRPr="002B3430">
        <w:t xml:space="preserve"> </w:t>
      </w:r>
      <w:r w:rsidR="000E6418">
        <w:t xml:space="preserve"> </w:t>
      </w:r>
      <w:r w:rsidR="008F7899">
        <w:t xml:space="preserve">In its </w:t>
      </w:r>
      <w:r w:rsidR="008F7899" w:rsidRPr="008A0684">
        <w:rPr>
          <w:i/>
        </w:rPr>
        <w:t>Supplemental Response to NOV</w:t>
      </w:r>
      <w:r w:rsidR="008F7899">
        <w:t xml:space="preserve">, </w:t>
      </w:r>
      <w:r w:rsidR="00C61313">
        <w:t xml:space="preserve">Pentecostal </w:t>
      </w:r>
      <w:r w:rsidR="00C61313" w:rsidRPr="00C61313">
        <w:t>acknowledge</w:t>
      </w:r>
      <w:r w:rsidR="00C61313">
        <w:t>d</w:t>
      </w:r>
      <w:r w:rsidR="00C61313" w:rsidRPr="00C61313">
        <w:t xml:space="preserve"> that the top</w:t>
      </w:r>
      <w:r w:rsidR="00BC06F3">
        <w:t>-level</w:t>
      </w:r>
      <w:r w:rsidR="00CD67AB">
        <w:t xml:space="preserve"> </w:t>
      </w:r>
      <w:r w:rsidR="00C61313" w:rsidRPr="00C61313">
        <w:t xml:space="preserve">beacon on </w:t>
      </w:r>
      <w:r w:rsidR="00C61313">
        <w:t>ASR 1026648 wa</w:t>
      </w:r>
      <w:r w:rsidR="00C61313" w:rsidRPr="00C61313">
        <w:t>s extinguished</w:t>
      </w:r>
      <w:r w:rsidR="00C61313">
        <w:t>,</w:t>
      </w:r>
      <w:r w:rsidR="00C61313" w:rsidRPr="00C61313">
        <w:t xml:space="preserve"> </w:t>
      </w:r>
      <w:r w:rsidR="00E337F8">
        <w:t xml:space="preserve">although it claimed that </w:t>
      </w:r>
      <w:r w:rsidR="00C61313" w:rsidRPr="00C61313">
        <w:t xml:space="preserve">both side </w:t>
      </w:r>
      <w:r w:rsidR="00177F02">
        <w:t>steady burning</w:t>
      </w:r>
      <w:r w:rsidR="00BC06F3">
        <w:t xml:space="preserve"> </w:t>
      </w:r>
      <w:r w:rsidR="008861DD">
        <w:t xml:space="preserve">obstruction </w:t>
      </w:r>
      <w:r w:rsidR="00C61313" w:rsidRPr="00C61313">
        <w:t>light</w:t>
      </w:r>
      <w:r w:rsidR="008861DD">
        <w:t>ing globes</w:t>
      </w:r>
      <w:r w:rsidR="00A52BB5">
        <w:t xml:space="preserve"> were</w:t>
      </w:r>
      <w:r w:rsidR="00C61313" w:rsidRPr="00C61313">
        <w:t xml:space="preserve"> functioning normally.</w:t>
      </w:r>
      <w:r w:rsidR="0043264A">
        <w:rPr>
          <w:rStyle w:val="FootnoteReference"/>
        </w:rPr>
        <w:footnoteReference w:id="15"/>
      </w:r>
      <w:r w:rsidR="00C61313" w:rsidRPr="00C61313">
        <w:t xml:space="preserve"> </w:t>
      </w:r>
      <w:r w:rsidR="008861DD">
        <w:t xml:space="preserve"> </w:t>
      </w:r>
      <w:r w:rsidR="00C61313" w:rsidRPr="00C61313">
        <w:t>It also acknowledge</w:t>
      </w:r>
      <w:r w:rsidR="00A52BB5">
        <w:t>d</w:t>
      </w:r>
      <w:r w:rsidR="00C61313" w:rsidRPr="00C61313">
        <w:t xml:space="preserve"> that </w:t>
      </w:r>
      <w:r w:rsidR="00C7114C">
        <w:t xml:space="preserve">the </w:t>
      </w:r>
      <w:r w:rsidR="00E337F8" w:rsidRPr="00C61313">
        <w:t xml:space="preserve">lower level side </w:t>
      </w:r>
      <w:r w:rsidR="00177F02">
        <w:t>steady burning</w:t>
      </w:r>
      <w:r w:rsidR="00BC06F3">
        <w:t xml:space="preserve"> </w:t>
      </w:r>
      <w:r w:rsidR="008861DD">
        <w:t xml:space="preserve">obstruction </w:t>
      </w:r>
      <w:r w:rsidR="00E337F8" w:rsidRPr="00C61313">
        <w:t>light</w:t>
      </w:r>
      <w:r w:rsidR="008861DD">
        <w:t>ing globes</w:t>
      </w:r>
      <w:r w:rsidR="00E337F8" w:rsidRPr="00C61313">
        <w:t xml:space="preserve"> </w:t>
      </w:r>
      <w:r w:rsidR="00C7114C">
        <w:t xml:space="preserve">on ASR 1026650 </w:t>
      </w:r>
      <w:r w:rsidR="00E337F8" w:rsidRPr="00C61313">
        <w:t>ha</w:t>
      </w:r>
      <w:r w:rsidR="00E337F8">
        <w:t>d</w:t>
      </w:r>
      <w:r w:rsidR="00E337F8" w:rsidRPr="00C61313">
        <w:t xml:space="preserve"> only one working fixture</w:t>
      </w:r>
      <w:r w:rsidR="00E337F8">
        <w:t xml:space="preserve">, but maintained that the </w:t>
      </w:r>
      <w:r w:rsidR="00BC54E0">
        <w:t>top</w:t>
      </w:r>
      <w:r w:rsidR="00BC06F3">
        <w:t>-level</w:t>
      </w:r>
      <w:r w:rsidR="00BC54E0">
        <w:t xml:space="preserve"> beacon and upper side </w:t>
      </w:r>
      <w:r w:rsidR="00177F02">
        <w:t xml:space="preserve">steady burning </w:t>
      </w:r>
      <w:r w:rsidR="008861DD">
        <w:t xml:space="preserve">obstruction </w:t>
      </w:r>
      <w:r w:rsidR="00BC54E0">
        <w:t>light</w:t>
      </w:r>
      <w:r w:rsidR="008861DD">
        <w:t>ing globe</w:t>
      </w:r>
      <w:r w:rsidR="00E337F8">
        <w:t xml:space="preserve"> </w:t>
      </w:r>
      <w:r w:rsidR="00C7114C">
        <w:t>were working properly.</w:t>
      </w:r>
      <w:r w:rsidR="0043264A">
        <w:rPr>
          <w:rStyle w:val="FootnoteReference"/>
        </w:rPr>
        <w:footnoteReference w:id="16"/>
      </w:r>
      <w:r w:rsidR="00C7114C">
        <w:t xml:space="preserve">  </w:t>
      </w:r>
      <w:r w:rsidR="006E139B">
        <w:t>Finally, Pentecostal admitted that it made no attempt to file a NOTAM for ASR 1026648 until three days after the previous NOTAM had expired.</w:t>
      </w:r>
      <w:r w:rsidR="006E139B">
        <w:rPr>
          <w:rStyle w:val="FootnoteReference"/>
        </w:rPr>
        <w:footnoteReference w:id="17"/>
      </w:r>
      <w:r w:rsidR="006E139B">
        <w:t xml:space="preserve">   </w:t>
      </w:r>
      <w:r w:rsidR="00537C75">
        <w:t xml:space="preserve">    </w:t>
      </w:r>
      <w:r w:rsidR="00E337F8">
        <w:t xml:space="preserve"> </w:t>
      </w:r>
      <w:r w:rsidR="00537C75">
        <w:t xml:space="preserve">  </w:t>
      </w:r>
    </w:p>
    <w:p w:rsidR="005E5F3A" w:rsidRPr="002B3430" w:rsidRDefault="00C94FB0" w:rsidP="001B6B21">
      <w:pPr>
        <w:pStyle w:val="ParaNum"/>
      </w:pPr>
      <w:r w:rsidRPr="002B3430">
        <w:t xml:space="preserve">On </w:t>
      </w:r>
      <w:r w:rsidR="00636815" w:rsidRPr="002B3430">
        <w:t xml:space="preserve">August 31, 2016, </w:t>
      </w:r>
      <w:r w:rsidRPr="002B3430">
        <w:t>agents from the Philadelphia Office re-inspected the Antenna Structure</w:t>
      </w:r>
      <w:r w:rsidR="00636815" w:rsidRPr="002B3430">
        <w:t>s</w:t>
      </w:r>
      <w:r w:rsidRPr="002B3430">
        <w:t xml:space="preserve"> to verify that the </w:t>
      </w:r>
      <w:r>
        <w:t>violations</w:t>
      </w:r>
      <w:r w:rsidRPr="002B3430">
        <w:t xml:space="preserve"> </w:t>
      </w:r>
      <w:r>
        <w:t>from</w:t>
      </w:r>
      <w:r w:rsidRPr="002B3430">
        <w:t xml:space="preserve"> the </w:t>
      </w:r>
      <w:r w:rsidRPr="00C97654">
        <w:rPr>
          <w:i/>
        </w:rPr>
        <w:t>NOV</w:t>
      </w:r>
      <w:r w:rsidRPr="002B3430">
        <w:t xml:space="preserve"> had been corrected.  The agents </w:t>
      </w:r>
      <w:r w:rsidR="00633251">
        <w:t>observed that the Antenna Structures had not been repainted.  They also observed that the top</w:t>
      </w:r>
      <w:r w:rsidR="00BC06F3">
        <w:t>-level</w:t>
      </w:r>
      <w:r w:rsidR="00633251">
        <w:t xml:space="preserve"> beacon on the antenna registered under ASR 1026648 was extinguished and was </w:t>
      </w:r>
      <w:r w:rsidR="000C0BED">
        <w:t xml:space="preserve">still </w:t>
      </w:r>
      <w:r w:rsidR="0073245F">
        <w:t xml:space="preserve">that one of the two red steady burning obstruction lighting globes at the 2/3 level of the antenna registered under ASR 1026650 </w:t>
      </w:r>
      <w:r w:rsidR="00633251">
        <w:t xml:space="preserve">extinguished.  </w:t>
      </w:r>
    </w:p>
    <w:p w:rsidR="00E9376C" w:rsidRPr="00981F23" w:rsidRDefault="00E9376C" w:rsidP="004E5204">
      <w:pPr>
        <w:pStyle w:val="Heading1"/>
      </w:pPr>
      <w:r w:rsidRPr="00981F23">
        <w:t>DISCUSSION</w:t>
      </w:r>
    </w:p>
    <w:p w:rsidR="009C7E5B" w:rsidRPr="00C77B20" w:rsidRDefault="0004744A" w:rsidP="00F210F4">
      <w:pPr>
        <w:widowControl/>
        <w:numPr>
          <w:ilvl w:val="0"/>
          <w:numId w:val="20"/>
        </w:numPr>
        <w:tabs>
          <w:tab w:val="left" w:pos="0"/>
          <w:tab w:val="num" w:pos="1440"/>
        </w:tabs>
        <w:suppressAutoHyphens/>
        <w:autoSpaceDE w:val="0"/>
        <w:autoSpaceDN w:val="0"/>
        <w:adjustRightInd w:val="0"/>
        <w:spacing w:line="240" w:lineRule="atLeast"/>
      </w:pPr>
      <w:r w:rsidRPr="00981F23">
        <w:rPr>
          <w:spacing w:val="-3"/>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EF0C6E">
        <w:rPr>
          <w:rStyle w:val="FootnoteReference"/>
          <w:color w:val="000000"/>
          <w:spacing w:val="-3"/>
        </w:rPr>
        <w:footnoteReference w:id="18"/>
      </w:r>
      <w:r w:rsidRPr="00981F23">
        <w:rPr>
          <w:spacing w:val="-3"/>
        </w:rPr>
        <w:t xml:space="preserve">  Section 312(f)(1) of the Act defines “willful” as the “conscious and deliberate commission or omission of [any] act, irrespective of any intent to violate” the law.</w:t>
      </w:r>
      <w:bookmarkStart w:id="1" w:name="_Ref396137605"/>
      <w:r w:rsidRPr="00EF0C6E">
        <w:rPr>
          <w:rStyle w:val="FootnoteReference"/>
          <w:color w:val="000000"/>
          <w:spacing w:val="-3"/>
        </w:rPr>
        <w:footnoteReference w:id="19"/>
      </w:r>
      <w:bookmarkEnd w:id="1"/>
      <w:r w:rsidRPr="00981F23">
        <w:rPr>
          <w:spacing w:val="-3"/>
        </w:rPr>
        <w:t xml:space="preserve">  </w:t>
      </w:r>
      <w:r w:rsidRPr="00981F23">
        <w:t>The Commission may also assess a forfeiture for violations that are merely repeated, and not willful.</w:t>
      </w:r>
      <w:r w:rsidRPr="00EF0C6E">
        <w:rPr>
          <w:rStyle w:val="FootnoteReference"/>
          <w:color w:val="000000"/>
        </w:rPr>
        <w:footnoteReference w:id="20"/>
      </w:r>
      <w:r w:rsidRPr="00981F23">
        <w:t xml:space="preserve">  </w:t>
      </w:r>
      <w:r w:rsidRPr="00981F23">
        <w:rPr>
          <w:spacing w:val="-3"/>
        </w:rPr>
        <w:t>The term “repeated” means the commission or omission of such act more than once or for more than one day.</w:t>
      </w:r>
      <w:r w:rsidRPr="00EF0C6E">
        <w:rPr>
          <w:rStyle w:val="FootnoteReference"/>
          <w:color w:val="000000"/>
          <w:spacing w:val="-3"/>
        </w:rPr>
        <w:footnoteReference w:id="21"/>
      </w:r>
      <w:r w:rsidRPr="00981F23">
        <w:rPr>
          <w:spacing w:val="-3"/>
        </w:rPr>
        <w:t xml:space="preserve">  </w:t>
      </w:r>
      <w:r w:rsidRPr="00981F23">
        <w:t xml:space="preserve">Based on the record before us, </w:t>
      </w:r>
      <w:r>
        <w:t>Pentecostal’s</w:t>
      </w:r>
      <w:r w:rsidRPr="00981F23">
        <w:t xml:space="preserve"> apparent violations of </w:t>
      </w:r>
      <w:r w:rsidR="00DB53A5">
        <w:t>S</w:t>
      </w:r>
      <w:r w:rsidR="00EE5A12">
        <w:t xml:space="preserve">ection 303(q) of the Act and </w:t>
      </w:r>
      <w:r w:rsidR="00DB53A5">
        <w:t>S</w:t>
      </w:r>
      <w:r w:rsidR="00EE5A12">
        <w:t xml:space="preserve">ections </w:t>
      </w:r>
      <w:r w:rsidR="00EE5A12" w:rsidRPr="00EE5A12">
        <w:t>17.23 and 17.50(a</w:t>
      </w:r>
      <w:r w:rsidR="00F210F4" w:rsidRPr="00EE5A12">
        <w:t xml:space="preserve">) </w:t>
      </w:r>
      <w:r w:rsidR="00F210F4" w:rsidRPr="00981F23">
        <w:t>are</w:t>
      </w:r>
      <w:r w:rsidRPr="00981F23">
        <w:t xml:space="preserve"> both willful and repeated.</w:t>
      </w:r>
    </w:p>
    <w:p w:rsidR="00336029" w:rsidRPr="00C77B20" w:rsidRDefault="00336029" w:rsidP="00C77B20">
      <w:pPr>
        <w:widowControl/>
        <w:tabs>
          <w:tab w:val="left" w:pos="0"/>
          <w:tab w:val="num" w:pos="1440"/>
        </w:tabs>
        <w:suppressAutoHyphens/>
        <w:autoSpaceDE w:val="0"/>
        <w:autoSpaceDN w:val="0"/>
        <w:adjustRightInd w:val="0"/>
        <w:spacing w:line="240" w:lineRule="atLeast"/>
        <w:ind w:left="810"/>
      </w:pPr>
    </w:p>
    <w:p w:rsidR="00D95612" w:rsidRDefault="00FE7415" w:rsidP="00F210F4">
      <w:pPr>
        <w:widowControl/>
        <w:numPr>
          <w:ilvl w:val="0"/>
          <w:numId w:val="20"/>
        </w:numPr>
        <w:tabs>
          <w:tab w:val="left" w:pos="0"/>
          <w:tab w:val="num" w:pos="1440"/>
        </w:tabs>
        <w:suppressAutoHyphens/>
        <w:autoSpaceDE w:val="0"/>
        <w:autoSpaceDN w:val="0"/>
        <w:adjustRightInd w:val="0"/>
        <w:spacing w:line="240" w:lineRule="atLeast"/>
      </w:pPr>
      <w:r>
        <w:rPr>
          <w:spacing w:val="-3"/>
        </w:rPr>
        <w:t xml:space="preserve">We find Pentecostal apparently willfully and repeatedly violated </w:t>
      </w:r>
      <w:r w:rsidR="00DB53A5">
        <w:rPr>
          <w:spacing w:val="-3"/>
        </w:rPr>
        <w:t>S</w:t>
      </w:r>
      <w:r>
        <w:rPr>
          <w:spacing w:val="-3"/>
        </w:rPr>
        <w:t xml:space="preserve">ection 303(q) of the Act and </w:t>
      </w:r>
      <w:r w:rsidR="00DB53A5">
        <w:rPr>
          <w:spacing w:val="-3"/>
        </w:rPr>
        <w:t>S</w:t>
      </w:r>
      <w:r>
        <w:rPr>
          <w:spacing w:val="-3"/>
        </w:rPr>
        <w:t xml:space="preserve">ection 17.50(a) of the </w:t>
      </w:r>
      <w:r w:rsidR="009E0323">
        <w:rPr>
          <w:spacing w:val="-3"/>
        </w:rPr>
        <w:t>R</w:t>
      </w:r>
      <w:r>
        <w:rPr>
          <w:spacing w:val="-3"/>
        </w:rPr>
        <w:t>ules by failing to clean and repaint the Antenna Structures as required to maintain good visibility</w:t>
      </w:r>
      <w:r w:rsidR="00933D09">
        <w:rPr>
          <w:spacing w:val="-3"/>
        </w:rPr>
        <w:t xml:space="preserve">, </w:t>
      </w:r>
      <w:r w:rsidR="00DB53A5">
        <w:rPr>
          <w:spacing w:val="-3"/>
        </w:rPr>
        <w:t>S</w:t>
      </w:r>
      <w:r w:rsidR="00D55A81">
        <w:rPr>
          <w:spacing w:val="-3"/>
        </w:rPr>
        <w:t>ection 17.2</w:t>
      </w:r>
      <w:r w:rsidR="005A1040">
        <w:rPr>
          <w:spacing w:val="-3"/>
        </w:rPr>
        <w:t>3</w:t>
      </w:r>
      <w:r w:rsidR="00D55A81">
        <w:rPr>
          <w:spacing w:val="-3"/>
        </w:rPr>
        <w:t xml:space="preserve"> </w:t>
      </w:r>
      <w:r w:rsidR="007A2317" w:rsidRPr="00933D09">
        <w:rPr>
          <w:spacing w:val="-3"/>
        </w:rPr>
        <w:t xml:space="preserve">of the </w:t>
      </w:r>
      <w:r w:rsidR="009E0323">
        <w:rPr>
          <w:spacing w:val="-3"/>
        </w:rPr>
        <w:t>R</w:t>
      </w:r>
      <w:r w:rsidR="007A2317" w:rsidRPr="00933D09">
        <w:rPr>
          <w:spacing w:val="-3"/>
        </w:rPr>
        <w:t xml:space="preserve">ules </w:t>
      </w:r>
      <w:r w:rsidR="00D756CE">
        <w:rPr>
          <w:spacing w:val="-3"/>
        </w:rPr>
        <w:t xml:space="preserve">by failing </w:t>
      </w:r>
      <w:r w:rsidR="00D55A81">
        <w:rPr>
          <w:spacing w:val="-3"/>
        </w:rPr>
        <w:t xml:space="preserve">to </w:t>
      </w:r>
      <w:r w:rsidR="00A7418B">
        <w:rPr>
          <w:spacing w:val="-3"/>
        </w:rPr>
        <w:t>correct the lighting failure</w:t>
      </w:r>
      <w:r w:rsidR="005A1040">
        <w:rPr>
          <w:spacing w:val="-3"/>
        </w:rPr>
        <w:t>s</w:t>
      </w:r>
      <w:r w:rsidR="00A7418B">
        <w:rPr>
          <w:spacing w:val="-3"/>
        </w:rPr>
        <w:t xml:space="preserve"> on the tower</w:t>
      </w:r>
      <w:r w:rsidR="005A1040">
        <w:rPr>
          <w:spacing w:val="-3"/>
        </w:rPr>
        <w:t>s</w:t>
      </w:r>
      <w:r w:rsidR="00A7418B">
        <w:rPr>
          <w:spacing w:val="-3"/>
        </w:rPr>
        <w:t xml:space="preserve"> registered under ASR 1026648</w:t>
      </w:r>
      <w:r w:rsidR="005A1040">
        <w:rPr>
          <w:spacing w:val="-3"/>
        </w:rPr>
        <w:t xml:space="preserve"> and ASR 1026650</w:t>
      </w:r>
      <w:r w:rsidR="00933D09">
        <w:rPr>
          <w:spacing w:val="-3"/>
        </w:rPr>
        <w:t xml:space="preserve">, and </w:t>
      </w:r>
      <w:r w:rsidR="00DB53A5">
        <w:rPr>
          <w:spacing w:val="-3"/>
        </w:rPr>
        <w:t>S</w:t>
      </w:r>
      <w:r w:rsidR="00933D09" w:rsidRPr="00933D09">
        <w:rPr>
          <w:spacing w:val="-3"/>
        </w:rPr>
        <w:t xml:space="preserve">ection 17.48(a) of the </w:t>
      </w:r>
      <w:r w:rsidR="009E0323">
        <w:rPr>
          <w:spacing w:val="-3"/>
        </w:rPr>
        <w:t>R</w:t>
      </w:r>
      <w:r w:rsidR="00933D09" w:rsidRPr="00933D09">
        <w:rPr>
          <w:spacing w:val="-3"/>
        </w:rPr>
        <w:t xml:space="preserve">ules by failing to timely </w:t>
      </w:r>
      <w:r w:rsidR="00355024">
        <w:rPr>
          <w:spacing w:val="-3"/>
        </w:rPr>
        <w:t>file</w:t>
      </w:r>
      <w:r w:rsidR="00CD67AB">
        <w:rPr>
          <w:spacing w:val="-3"/>
        </w:rPr>
        <w:t xml:space="preserve"> </w:t>
      </w:r>
      <w:r w:rsidR="00933D09" w:rsidRPr="00933D09">
        <w:rPr>
          <w:spacing w:val="-3"/>
        </w:rPr>
        <w:t>the NOTAM for the tower registered under ASR 1026648</w:t>
      </w:r>
      <w:r w:rsidR="00A7418B">
        <w:rPr>
          <w:spacing w:val="-3"/>
        </w:rPr>
        <w:t xml:space="preserve">.  </w:t>
      </w:r>
      <w:r>
        <w:rPr>
          <w:spacing w:val="-3"/>
        </w:rPr>
        <w:t xml:space="preserve">  </w:t>
      </w:r>
      <w:r w:rsidR="007A2317">
        <w:rPr>
          <w:spacing w:val="-3"/>
        </w:rPr>
        <w:t xml:space="preserve"> </w:t>
      </w:r>
    </w:p>
    <w:p w:rsidR="00D95612" w:rsidRDefault="00D95612" w:rsidP="00D95612">
      <w:pPr>
        <w:widowControl/>
        <w:tabs>
          <w:tab w:val="left" w:pos="0"/>
        </w:tabs>
        <w:suppressAutoHyphens/>
        <w:spacing w:line="240" w:lineRule="atLeast"/>
        <w:ind w:left="720"/>
      </w:pPr>
    </w:p>
    <w:p w:rsidR="00D95612" w:rsidRDefault="00D95612" w:rsidP="00D95612">
      <w:pPr>
        <w:pStyle w:val="Heading2"/>
        <w:widowControl/>
        <w:autoSpaceDE w:val="0"/>
        <w:autoSpaceDN w:val="0"/>
        <w:adjustRightInd w:val="0"/>
        <w:spacing w:after="220"/>
        <w:jc w:val="both"/>
      </w:pPr>
      <w:r>
        <w:t>Failure to Clean or Repaint the Antenna Structure</w:t>
      </w:r>
      <w:r w:rsidR="00284D06">
        <w:t>s</w:t>
      </w:r>
    </w:p>
    <w:p w:rsidR="00D37A1F" w:rsidRPr="004910DA" w:rsidRDefault="00D95612" w:rsidP="004910DA">
      <w:pPr>
        <w:pStyle w:val="ParaNum"/>
        <w:widowControl/>
        <w:numPr>
          <w:ilvl w:val="0"/>
          <w:numId w:val="35"/>
        </w:numPr>
        <w:tabs>
          <w:tab w:val="left" w:pos="0"/>
        </w:tabs>
        <w:suppressAutoHyphens/>
        <w:autoSpaceDE w:val="0"/>
        <w:autoSpaceDN w:val="0"/>
        <w:adjustRightInd w:val="0"/>
        <w:spacing w:line="240" w:lineRule="atLeast"/>
        <w:rPr>
          <w:i/>
        </w:rPr>
      </w:pPr>
      <w:r w:rsidRPr="00F317DC">
        <w:t>Section 303(q) of the Act states that antenna structure owners shall maintain the painting and lighting of antenna structures as prescribed by the Commission.</w:t>
      </w:r>
      <w:r w:rsidRPr="00E014D6">
        <w:rPr>
          <w:vertAlign w:val="superscript"/>
        </w:rPr>
        <w:footnoteReference w:id="22"/>
      </w:r>
      <w:r w:rsidRPr="004910DA">
        <w:rPr>
          <w:vertAlign w:val="superscript"/>
        </w:rPr>
        <w:t xml:space="preserve"> </w:t>
      </w:r>
      <w:r w:rsidRPr="00F317DC">
        <w:t xml:space="preserve"> </w:t>
      </w:r>
      <w:r w:rsidR="00BF461A">
        <w:t xml:space="preserve"> </w:t>
      </w:r>
      <w:r w:rsidRPr="00F317DC">
        <w:t>Section 17.50(a) of the Rules requires that antenna structures requiring painting shall be cleaned or repainted as often as necessary to maintain good visibility.</w:t>
      </w:r>
      <w:r w:rsidRPr="00E014D6">
        <w:rPr>
          <w:vertAlign w:val="superscript"/>
        </w:rPr>
        <w:footnoteReference w:id="23"/>
      </w:r>
      <w:r w:rsidRPr="00F317DC">
        <w:t xml:space="preserve">  On October 14, 2015, </w:t>
      </w:r>
      <w:r w:rsidR="00CB36F0">
        <w:t xml:space="preserve">and on January </w:t>
      </w:r>
      <w:r w:rsidR="001E672A">
        <w:t>5</w:t>
      </w:r>
      <w:r w:rsidR="00CB36F0">
        <w:t xml:space="preserve">, 2016, </w:t>
      </w:r>
      <w:r w:rsidR="001F572B">
        <w:t>Commission</w:t>
      </w:r>
      <w:r w:rsidRPr="00F317DC">
        <w:t xml:space="preserve"> agents observed that the paint on the Antenna Structures was severely faded and chipped and immediately notified Pentecostal of the </w:t>
      </w:r>
      <w:r w:rsidR="00284D06" w:rsidRPr="00F317DC">
        <w:t>Antenna S</w:t>
      </w:r>
      <w:r w:rsidRPr="00F317DC">
        <w:t>tructures</w:t>
      </w:r>
      <w:r w:rsidR="00284D06" w:rsidRPr="00F317DC">
        <w:t>’</w:t>
      </w:r>
      <w:r w:rsidRPr="00F317DC">
        <w:t xml:space="preserve"> condition.  In response to the </w:t>
      </w:r>
      <w:r w:rsidRPr="004910DA">
        <w:rPr>
          <w:i/>
        </w:rPr>
        <w:t>NOV</w:t>
      </w:r>
      <w:r w:rsidR="00933D09">
        <w:t xml:space="preserve">, </w:t>
      </w:r>
      <w:r w:rsidRPr="00F317DC">
        <w:t>Pentecostal admitted that the Antenna Structures needed to be repainted</w:t>
      </w:r>
      <w:r w:rsidR="006061B9">
        <w:t>, and planned to have them repainted by May 2016</w:t>
      </w:r>
      <w:r w:rsidR="00FE7415">
        <w:t>.</w:t>
      </w:r>
      <w:r w:rsidR="006061B9">
        <w:rPr>
          <w:rStyle w:val="FootnoteReference"/>
        </w:rPr>
        <w:footnoteReference w:id="24"/>
      </w:r>
      <w:r w:rsidR="00FE7415">
        <w:t xml:space="preserve">  Yet </w:t>
      </w:r>
      <w:r w:rsidRPr="00F317DC">
        <w:t xml:space="preserve">Pentecostal still had not repainted the Antenna Structures </w:t>
      </w:r>
      <w:r w:rsidR="00FE7415">
        <w:t xml:space="preserve">when the agents </w:t>
      </w:r>
      <w:r w:rsidRPr="00F317DC">
        <w:t xml:space="preserve">re-inspected </w:t>
      </w:r>
      <w:r w:rsidR="00F317DC">
        <w:t>the</w:t>
      </w:r>
      <w:r w:rsidR="00933D09">
        <w:t>m</w:t>
      </w:r>
      <w:r w:rsidR="00F317DC">
        <w:t xml:space="preserve"> </w:t>
      </w:r>
      <w:r w:rsidRPr="00F317DC">
        <w:t xml:space="preserve">on August 31, 2016.  Because Pentecostal failed to </w:t>
      </w:r>
      <w:r w:rsidR="00284D06" w:rsidRPr="00F317DC">
        <w:t>clean or repaint the Antenna Structures as often as necessary to maintain good visibility</w:t>
      </w:r>
      <w:r w:rsidR="003D5CD9">
        <w:t>,</w:t>
      </w:r>
      <w:r w:rsidRPr="00F317DC">
        <w:t xml:space="preserve"> as required by the </w:t>
      </w:r>
      <w:r w:rsidR="001F572B">
        <w:t>R</w:t>
      </w:r>
      <w:r w:rsidRPr="00F317DC">
        <w:t xml:space="preserve">ules, we find that the violation was willful.  Because the violation occurred over several months, we find that the violation was repeated.  Accordingly, we find that Pentecostal apparently willfully and repeatedly violated </w:t>
      </w:r>
      <w:r w:rsidR="00DB53A5">
        <w:t>S</w:t>
      </w:r>
      <w:r w:rsidR="00FE7415">
        <w:t xml:space="preserve">ection 303(q) of the Act and </w:t>
      </w:r>
      <w:r w:rsidR="00DB53A5">
        <w:t>S</w:t>
      </w:r>
      <w:r w:rsidRPr="00F317DC">
        <w:t>ection 17.50</w:t>
      </w:r>
      <w:r w:rsidR="00284D06" w:rsidRPr="00F317DC">
        <w:t>(a)</w:t>
      </w:r>
      <w:r w:rsidRPr="00F317DC">
        <w:t xml:space="preserve"> of the Rules by failing to clean or repaint Antenna Structure</w:t>
      </w:r>
      <w:r w:rsidR="00F317DC">
        <w:t>s</w:t>
      </w:r>
      <w:r w:rsidRPr="00F317DC">
        <w:t xml:space="preserve"> </w:t>
      </w:r>
      <w:r w:rsidR="00284D06" w:rsidRPr="00F317DC">
        <w:t xml:space="preserve">as often as necessary to </w:t>
      </w:r>
      <w:r w:rsidRPr="00F317DC">
        <w:t>maintain good visibility.</w:t>
      </w:r>
    </w:p>
    <w:p w:rsidR="003B52B5" w:rsidRDefault="003B52B5" w:rsidP="002E1356">
      <w:pPr>
        <w:pStyle w:val="Heading2"/>
      </w:pPr>
      <w:r>
        <w:t xml:space="preserve">Failure to Maintain Antenna Structure Lighting </w:t>
      </w:r>
    </w:p>
    <w:p w:rsidR="00933D09" w:rsidRDefault="00D55A81" w:rsidP="00486B62">
      <w:pPr>
        <w:pStyle w:val="ParaNum"/>
        <w:widowControl/>
      </w:pPr>
      <w:r>
        <w:t>T</w:t>
      </w:r>
      <w:r w:rsidR="004967E2" w:rsidRPr="004967E2">
        <w:t xml:space="preserve">he </w:t>
      </w:r>
      <w:r w:rsidR="00F76DB5">
        <w:t>A</w:t>
      </w:r>
      <w:r w:rsidR="004967E2" w:rsidRPr="004967E2">
        <w:t xml:space="preserve">ntenna </w:t>
      </w:r>
      <w:r w:rsidR="00F76DB5">
        <w:t>S</w:t>
      </w:r>
      <w:r w:rsidR="004967E2" w:rsidRPr="004967E2">
        <w:t xml:space="preserve">tructures </w:t>
      </w:r>
      <w:r w:rsidR="009F2534">
        <w:t xml:space="preserve">are required to </w:t>
      </w:r>
      <w:r w:rsidR="004967E2" w:rsidRPr="004967E2">
        <w:t xml:space="preserve">be painted and </w:t>
      </w:r>
      <w:r w:rsidR="009F2534">
        <w:t xml:space="preserve">to </w:t>
      </w:r>
      <w:r w:rsidR="004967E2" w:rsidRPr="004967E2">
        <w:t>have a red obstruction lighting system that includes a top-level beacon and at least two steady burning lamps at the 1/3 and 2/3 levels.</w:t>
      </w:r>
      <w:r w:rsidR="002C238C">
        <w:rPr>
          <w:rStyle w:val="FootnoteReference"/>
        </w:rPr>
        <w:footnoteReference w:id="25"/>
      </w:r>
      <w:r w:rsidR="004967E2" w:rsidRPr="004967E2">
        <w:t xml:space="preserve">  </w:t>
      </w:r>
      <w:r>
        <w:t xml:space="preserve">Under </w:t>
      </w:r>
      <w:r w:rsidR="00DB53A5">
        <w:t>S</w:t>
      </w:r>
      <w:r>
        <w:t>ection 17.2</w:t>
      </w:r>
      <w:r w:rsidR="004647F1">
        <w:t>3</w:t>
      </w:r>
      <w:r>
        <w:t>, “</w:t>
      </w:r>
      <w:r w:rsidRPr="00D55A81">
        <w:t>each antenna structure must be painted and lighted in accordance with any painting and lighting requirements prescribed on the antenna structure's registration</w:t>
      </w:r>
      <w:r>
        <w:t>.”</w:t>
      </w:r>
      <w:r>
        <w:rPr>
          <w:rStyle w:val="FootnoteReference"/>
        </w:rPr>
        <w:footnoteReference w:id="26"/>
      </w:r>
      <w:r>
        <w:t xml:space="preserve">  </w:t>
      </w:r>
      <w:r w:rsidR="004967E2" w:rsidRPr="004967E2">
        <w:t xml:space="preserve">During the inspection on January </w:t>
      </w:r>
      <w:r w:rsidR="0039011B">
        <w:t>5</w:t>
      </w:r>
      <w:r w:rsidR="004967E2" w:rsidRPr="004967E2">
        <w:t xml:space="preserve">, 2016, the agent observed that the top-level beacon on </w:t>
      </w:r>
      <w:r w:rsidR="004967E2">
        <w:t xml:space="preserve">the tower registered under ASR </w:t>
      </w:r>
      <w:r w:rsidR="004967E2" w:rsidRPr="004967E2">
        <w:t xml:space="preserve">1026648 was extinguished.  The agent also observed that one of the two steady burning lamps at the 2/3 level on </w:t>
      </w:r>
      <w:r w:rsidR="00800897">
        <w:t xml:space="preserve">ASR </w:t>
      </w:r>
      <w:r w:rsidR="004967E2" w:rsidRPr="004967E2">
        <w:t xml:space="preserve">1026650 was extinguished.  </w:t>
      </w:r>
      <w:r w:rsidR="0095164A">
        <w:t xml:space="preserve">In its </w:t>
      </w:r>
      <w:r w:rsidR="0095164A">
        <w:rPr>
          <w:i/>
        </w:rPr>
        <w:t>Response to NOV</w:t>
      </w:r>
      <w:r w:rsidR="0095164A">
        <w:t xml:space="preserve">, Pentecostal admitted the lighting outages, and </w:t>
      </w:r>
      <w:r w:rsidR="00452085">
        <w:t>maintained that it planned to fix those outages by mid-March 2016.</w:t>
      </w:r>
      <w:r w:rsidR="00452085">
        <w:rPr>
          <w:rStyle w:val="FootnoteReference"/>
        </w:rPr>
        <w:footnoteReference w:id="27"/>
      </w:r>
      <w:r w:rsidR="0095164A">
        <w:t xml:space="preserve"> </w:t>
      </w:r>
      <w:r w:rsidR="0095164A">
        <w:rPr>
          <w:i/>
        </w:rPr>
        <w:t xml:space="preserve"> </w:t>
      </w:r>
      <w:r w:rsidR="00FC534C" w:rsidRPr="00FC534C">
        <w:t>Yet,</w:t>
      </w:r>
      <w:r w:rsidR="00FC534C">
        <w:rPr>
          <w:i/>
        </w:rPr>
        <w:t xml:space="preserve"> </w:t>
      </w:r>
      <w:r w:rsidR="00FC534C">
        <w:t>a</w:t>
      </w:r>
      <w:r w:rsidR="005A1040">
        <w:t xml:space="preserve">s noted above, </w:t>
      </w:r>
      <w:r w:rsidR="00933D09">
        <w:t xml:space="preserve">when agents reinspected the Antenna Structures </w:t>
      </w:r>
      <w:r w:rsidR="005A1040">
        <w:t>on August 31, 2016, the top</w:t>
      </w:r>
      <w:r w:rsidR="00BC06F3">
        <w:t>-level</w:t>
      </w:r>
      <w:r w:rsidR="005A1040">
        <w:t xml:space="preserve"> beacon at the tower registered under ASR 1026648 remained out, </w:t>
      </w:r>
      <w:r w:rsidR="00AA3965">
        <w:t xml:space="preserve">and </w:t>
      </w:r>
      <w:r w:rsidR="007F4E02">
        <w:t xml:space="preserve">one of </w:t>
      </w:r>
      <w:r w:rsidR="00AA3965">
        <w:t xml:space="preserve">the </w:t>
      </w:r>
      <w:r w:rsidR="00904219">
        <w:t xml:space="preserve">two steady burning </w:t>
      </w:r>
      <w:r w:rsidR="00177F02">
        <w:t>obstruction lighting globes</w:t>
      </w:r>
      <w:r w:rsidR="00AA3965">
        <w:t xml:space="preserve"> at the tower registered under ASR 1026650 was out, </w:t>
      </w:r>
      <w:r w:rsidR="005A1040">
        <w:t xml:space="preserve">in violation of </w:t>
      </w:r>
      <w:r w:rsidR="00DB53A5">
        <w:t>S</w:t>
      </w:r>
      <w:r w:rsidR="005A1040">
        <w:t xml:space="preserve">ection 17.23.  </w:t>
      </w:r>
      <w:r w:rsidR="005A1040" w:rsidRPr="005A1040">
        <w:t xml:space="preserve">Because Pentecostal failed to </w:t>
      </w:r>
      <w:r w:rsidR="005A1040">
        <w:t xml:space="preserve">maintain the lighting </w:t>
      </w:r>
      <w:r w:rsidR="005A1040" w:rsidRPr="005A1040">
        <w:t xml:space="preserve">as required by the rules, we find that the violation was willful.  Because the violation occurred over several months, we find that the violation was repeated.  Accordingly, we find that Pentecostal apparently willfully and repeatedly violated </w:t>
      </w:r>
      <w:r w:rsidR="00DB53A5">
        <w:t>S</w:t>
      </w:r>
      <w:r w:rsidR="005A1040" w:rsidRPr="005A1040">
        <w:t>ection 17.</w:t>
      </w:r>
      <w:r w:rsidR="005A1040">
        <w:t>23</w:t>
      </w:r>
      <w:r w:rsidR="005A1040" w:rsidRPr="005A1040">
        <w:t xml:space="preserve"> of the Rules by failing to </w:t>
      </w:r>
      <w:r w:rsidR="00ED5C1D">
        <w:t>display the lighting required in the ASR</w:t>
      </w:r>
      <w:r w:rsidR="00AA3965">
        <w:t>s</w:t>
      </w:r>
      <w:r w:rsidR="00ED5C1D">
        <w:t xml:space="preserve">.  </w:t>
      </w:r>
    </w:p>
    <w:p w:rsidR="00933D09" w:rsidRDefault="00933D09" w:rsidP="00C32171">
      <w:pPr>
        <w:pStyle w:val="Heading2"/>
      </w:pPr>
      <w:r>
        <w:t xml:space="preserve">Failure to </w:t>
      </w:r>
      <w:r w:rsidR="0023067D">
        <w:t>File</w:t>
      </w:r>
      <w:r>
        <w:t xml:space="preserve"> NOTAM</w:t>
      </w:r>
    </w:p>
    <w:p w:rsidR="00933D09" w:rsidRDefault="00933D09" w:rsidP="00933D09">
      <w:pPr>
        <w:pStyle w:val="ParaNum"/>
      </w:pPr>
      <w:r>
        <w:t xml:space="preserve">During its </w:t>
      </w:r>
      <w:r w:rsidR="004E1CE1">
        <w:t xml:space="preserve">January </w:t>
      </w:r>
      <w:r w:rsidR="00507209">
        <w:t>5</w:t>
      </w:r>
      <w:r w:rsidR="004E1CE1">
        <w:t>, 2016 inspection, t</w:t>
      </w:r>
      <w:r w:rsidRPr="00933D09">
        <w:t xml:space="preserve">he agent </w:t>
      </w:r>
      <w:r>
        <w:t xml:space="preserve">checked if a NOTAM </w:t>
      </w:r>
      <w:r w:rsidR="004E1CE1">
        <w:t>for the top</w:t>
      </w:r>
      <w:r w:rsidR="00BC06F3">
        <w:t>-level</w:t>
      </w:r>
      <w:r w:rsidR="004E1CE1">
        <w:t xml:space="preserve"> beacon outage for the </w:t>
      </w:r>
      <w:r>
        <w:t xml:space="preserve">tower registered under ASR 1026648 </w:t>
      </w:r>
      <w:r w:rsidR="004E1CE1">
        <w:t xml:space="preserve">had been </w:t>
      </w:r>
      <w:r w:rsidR="0023067D">
        <w:t>filed</w:t>
      </w:r>
      <w:r>
        <w:t xml:space="preserve">.  The agent </w:t>
      </w:r>
      <w:r w:rsidR="005C5272">
        <w:t xml:space="preserve">searched for a valid NOTAM and when he did not find one, </w:t>
      </w:r>
      <w:r w:rsidRPr="00933D09">
        <w:t xml:space="preserve">reported the </w:t>
      </w:r>
      <w:r w:rsidR="004E1CE1">
        <w:t xml:space="preserve">lighting </w:t>
      </w:r>
      <w:r w:rsidRPr="00933D09">
        <w:t>outage</w:t>
      </w:r>
      <w:r w:rsidR="004E1CE1">
        <w:t xml:space="preserve"> to the FAA</w:t>
      </w:r>
      <w:r w:rsidR="00512087">
        <w:t>.  T</w:t>
      </w:r>
      <w:r w:rsidRPr="00933D09">
        <w:t xml:space="preserve">he FAA issued NOTAM #01/05 which </w:t>
      </w:r>
      <w:r w:rsidR="004E1CE1">
        <w:t>was</w:t>
      </w:r>
      <w:r w:rsidRPr="00933D09">
        <w:t xml:space="preserve"> valid until February 6, 2016.  </w:t>
      </w:r>
      <w:r w:rsidR="00D96B18">
        <w:t xml:space="preserve">In the </w:t>
      </w:r>
      <w:r w:rsidR="00D96B18" w:rsidRPr="00FF0033">
        <w:rPr>
          <w:i/>
        </w:rPr>
        <w:t>Supplemental Response to NOV</w:t>
      </w:r>
      <w:r w:rsidR="00D96B18">
        <w:t>, Pentecostal informed the Commission that a NOTAM was issued on December 3, 2015</w:t>
      </w:r>
      <w:r w:rsidR="0082677B">
        <w:t>,</w:t>
      </w:r>
      <w:r w:rsidR="00D96B18">
        <w:t xml:space="preserve"> and </w:t>
      </w:r>
      <w:r w:rsidR="005C5272">
        <w:t>that it had expired on January 4, 2016.</w:t>
      </w:r>
    </w:p>
    <w:p w:rsidR="00A64CC2" w:rsidRPr="004967E2" w:rsidRDefault="00933D09" w:rsidP="006367B1">
      <w:pPr>
        <w:pStyle w:val="ParaNum"/>
        <w:keepNext/>
        <w:widowControl/>
        <w:ind w:left="86"/>
      </w:pPr>
      <w:r w:rsidRPr="004967E2">
        <w:t xml:space="preserve">Under </w:t>
      </w:r>
      <w:r w:rsidR="00DB53A5">
        <w:t>S</w:t>
      </w:r>
      <w:r w:rsidRPr="004967E2">
        <w:t xml:space="preserve">ection 17.48(a), the FAA must be notified of any </w:t>
      </w:r>
      <w:r w:rsidR="0034577B">
        <w:t xml:space="preserve">top-level </w:t>
      </w:r>
      <w:r w:rsidRPr="004967E2">
        <w:t xml:space="preserve">steady burning beacon </w:t>
      </w:r>
      <w:r w:rsidR="0034577B">
        <w:t xml:space="preserve">or any flashing obstruction light </w:t>
      </w:r>
      <w:r w:rsidRPr="004967E2">
        <w:t>outage not corrected within 30 minutes.</w:t>
      </w:r>
      <w:r>
        <w:rPr>
          <w:rStyle w:val="FootnoteReference"/>
        </w:rPr>
        <w:footnoteReference w:id="28"/>
      </w:r>
      <w:r w:rsidRPr="004967E2">
        <w:t xml:space="preserve">  </w:t>
      </w:r>
      <w:r>
        <w:t xml:space="preserve">The </w:t>
      </w:r>
      <w:r w:rsidRPr="004967E2">
        <w:t xml:space="preserve">agent filed for </w:t>
      </w:r>
      <w:r w:rsidR="0023067D">
        <w:t>a</w:t>
      </w:r>
      <w:r w:rsidRPr="004967E2">
        <w:t xml:space="preserve"> NOTAM for the antenna registered under ASR 1026648</w:t>
      </w:r>
      <w:r w:rsidR="00D524E8">
        <w:t xml:space="preserve">, </w:t>
      </w:r>
      <w:r w:rsidR="00F27A16">
        <w:t xml:space="preserve">approximately </w:t>
      </w:r>
      <w:r w:rsidR="00D524E8">
        <w:t>a</w:t>
      </w:r>
      <w:r w:rsidR="00F27A16">
        <w:t xml:space="preserve"> full</w:t>
      </w:r>
      <w:r w:rsidR="00D524E8">
        <w:t xml:space="preserve"> day after the previous NOTAM for this antenna structure had expired</w:t>
      </w:r>
      <w:r w:rsidR="0023067D">
        <w:t>.</w:t>
      </w:r>
      <w:r>
        <w:t xml:space="preserve">  </w:t>
      </w:r>
      <w:r w:rsidR="00D524E8">
        <w:t xml:space="preserve">Pentecostal admits that it </w:t>
      </w:r>
      <w:r w:rsidR="00CF1E09">
        <w:t xml:space="preserve">did not attempt </w:t>
      </w:r>
      <w:r w:rsidR="00D524E8">
        <w:t xml:space="preserve">to file a NOTAM for this antenna structure </w:t>
      </w:r>
      <w:r w:rsidR="00CF1E09">
        <w:t xml:space="preserve">until January 7, 2016, </w:t>
      </w:r>
      <w:r w:rsidR="00205BDC">
        <w:t>three</w:t>
      </w:r>
      <w:r w:rsidR="00CF1E09">
        <w:t xml:space="preserve"> day</w:t>
      </w:r>
      <w:r w:rsidR="00205BDC">
        <w:t>s</w:t>
      </w:r>
      <w:r w:rsidR="00CF1E09">
        <w:t xml:space="preserve"> after the previous NOTAM for this antenna structure had expired.</w:t>
      </w:r>
      <w:r w:rsidR="00B53A07">
        <w:rPr>
          <w:rStyle w:val="FootnoteReference"/>
        </w:rPr>
        <w:footnoteReference w:id="29"/>
      </w:r>
      <w:r w:rsidR="00CF1E09">
        <w:t xml:space="preserve"> </w:t>
      </w:r>
      <w:r w:rsidR="00D524E8">
        <w:t xml:space="preserve"> </w:t>
      </w:r>
      <w:r w:rsidR="00913570">
        <w:t xml:space="preserve">Because Pentecostal failed to </w:t>
      </w:r>
      <w:r w:rsidR="0023067D">
        <w:t>file</w:t>
      </w:r>
      <w:r w:rsidR="00913570">
        <w:t xml:space="preserve"> the NOTAM as required by the rules, we find that the violation was willful.  </w:t>
      </w:r>
    </w:p>
    <w:p w:rsidR="00E9376C" w:rsidRPr="00981F23" w:rsidRDefault="00E9376C" w:rsidP="002E1356">
      <w:pPr>
        <w:pStyle w:val="Heading2"/>
      </w:pPr>
      <w:r w:rsidRPr="00981F23">
        <w:t xml:space="preserve">Proposed Forfeiture </w:t>
      </w:r>
    </w:p>
    <w:p w:rsidR="00EA5433" w:rsidRPr="00D37A1F" w:rsidRDefault="00E9376C" w:rsidP="0049536B">
      <w:pPr>
        <w:pStyle w:val="ParaNum"/>
      </w:pPr>
      <w:r w:rsidRPr="00D37A1F">
        <w:t xml:space="preserve">Section 503(b) of the Act </w:t>
      </w:r>
      <w:r w:rsidR="00A031CA" w:rsidRPr="00D37A1F">
        <w:t>authorizes the Commission to impose a forfeiture against any entity that “</w:t>
      </w:r>
      <w:r w:rsidRPr="00D37A1F">
        <w:t>willfully or repeatedly fail</w:t>
      </w:r>
      <w:r w:rsidR="00A031CA" w:rsidRPr="00D37A1F">
        <w:t>[</w:t>
      </w:r>
      <w:r w:rsidRPr="00D37A1F">
        <w:t>s</w:t>
      </w:r>
      <w:r w:rsidR="00A031CA" w:rsidRPr="00D37A1F">
        <w:t>]</w:t>
      </w:r>
      <w:r w:rsidRPr="00D37A1F">
        <w:t xml:space="preserve"> to comply </w:t>
      </w:r>
      <w:r w:rsidR="00A031CA" w:rsidRPr="00D37A1F">
        <w:t>with any of the provisions of [the Act] or of any rule, regulation, or order issued by the Commission.”</w:t>
      </w:r>
      <w:r w:rsidRPr="00D37A1F">
        <w:rPr>
          <w:vertAlign w:val="superscript"/>
        </w:rPr>
        <w:footnoteReference w:id="30"/>
      </w:r>
      <w:r w:rsidRPr="00D37A1F">
        <w:rPr>
          <w:vertAlign w:val="superscript"/>
        </w:rPr>
        <w:t xml:space="preserve"> </w:t>
      </w:r>
      <w:r w:rsidRPr="00D37A1F">
        <w:t xml:space="preserve"> </w:t>
      </w:r>
      <w:r w:rsidR="00C5625D" w:rsidRPr="00D37A1F">
        <w:t xml:space="preserve">Here, </w:t>
      </w:r>
      <w:r w:rsidR="00DB53A5">
        <w:t>S</w:t>
      </w:r>
      <w:r w:rsidR="002F3CB7" w:rsidRPr="00D37A1F">
        <w:t>ection 503(b)(2</w:t>
      </w:r>
      <w:r w:rsidR="00B816CA">
        <w:t>)(A)</w:t>
      </w:r>
      <w:r w:rsidR="002F3CB7" w:rsidRPr="00D37A1F">
        <w:t xml:space="preserve"> of the Act authorizes </w:t>
      </w:r>
      <w:r w:rsidR="00C5625D" w:rsidRPr="00D37A1F">
        <w:t>us</w:t>
      </w:r>
      <w:r w:rsidR="002F3CB7" w:rsidRPr="00D37A1F">
        <w:t xml:space="preserve"> to assess a forfeiture against </w:t>
      </w:r>
      <w:r w:rsidR="00284D06" w:rsidRPr="00D37A1F">
        <w:t xml:space="preserve">Pentecostal </w:t>
      </w:r>
      <w:r w:rsidR="002F3CB7" w:rsidRPr="00D37A1F">
        <w:t>of up to $</w:t>
      </w:r>
      <w:r w:rsidR="00D3737E" w:rsidRPr="00D3737E">
        <w:t>47,340</w:t>
      </w:r>
      <w:r w:rsidR="00A01367" w:rsidRPr="00A01367">
        <w:t xml:space="preserve"> </w:t>
      </w:r>
      <w:r w:rsidR="002F3CB7" w:rsidRPr="00D37A1F">
        <w:t>for each day of a continuing violation, up to a statutory maximum of $</w:t>
      </w:r>
      <w:r w:rsidR="00D3737E" w:rsidRPr="00D3737E">
        <w:t>473,402</w:t>
      </w:r>
      <w:r w:rsidR="00A01367" w:rsidRPr="00A01367">
        <w:t xml:space="preserve"> </w:t>
      </w:r>
      <w:r w:rsidR="002F3CB7" w:rsidRPr="00D37A1F">
        <w:t>for a single act or failure to act.</w:t>
      </w:r>
      <w:r w:rsidR="002F3CB7" w:rsidRPr="00D37A1F">
        <w:rPr>
          <w:vertAlign w:val="superscript"/>
        </w:rPr>
        <w:footnoteReference w:id="31"/>
      </w:r>
      <w:r w:rsidR="002F3CB7" w:rsidRPr="00D37A1F">
        <w:rPr>
          <w:vertAlign w:val="superscript"/>
        </w:rPr>
        <w:t xml:space="preserve"> </w:t>
      </w:r>
      <w:r w:rsidR="002F3CB7" w:rsidRPr="00D37A1F">
        <w:t xml:space="preserve"> In exercising our forfeiture authority, we must consider</w:t>
      </w:r>
      <w:r w:rsidR="00EA5433" w:rsidRPr="00D37A1F">
        <w:t xml:space="preserve"> the “</w:t>
      </w:r>
      <w:r w:rsidR="002F3CB7" w:rsidRPr="00D37A1F">
        <w:t>nature, circumstances, extent, and gravity of the violation and, with respect to the violator, the degree of culpability, any history of prior offenses, ability to pay, and such other matters as justice may require.”</w:t>
      </w:r>
      <w:r w:rsidR="002F3CB7" w:rsidRPr="00D37A1F">
        <w:rPr>
          <w:vertAlign w:val="superscript"/>
        </w:rPr>
        <w:footnoteReference w:id="32"/>
      </w:r>
      <w:r w:rsidR="002F3CB7" w:rsidRPr="00D37A1F">
        <w:t xml:space="preserve">  </w:t>
      </w:r>
      <w:r w:rsidR="00EA5433" w:rsidRPr="00D37A1F">
        <w:t>In addition, the Commission has established forfeiture guidelines</w:t>
      </w:r>
      <w:r w:rsidR="00FD1D43" w:rsidRPr="00D37A1F">
        <w:t>; t</w:t>
      </w:r>
      <w:r w:rsidR="00C366C3" w:rsidRPr="00D37A1F">
        <w:t>hey</w:t>
      </w:r>
      <w:r w:rsidR="00EA5433" w:rsidRPr="00D37A1F">
        <w:t xml:space="preserve"> establish base penalties for certain violations and identify criteria that we consider when</w:t>
      </w:r>
      <w:r w:rsidR="00C366C3" w:rsidRPr="00D37A1F">
        <w:t xml:space="preserve"> </w:t>
      </w:r>
      <w:r w:rsidR="00EA5433" w:rsidRPr="00D37A1F">
        <w:t>determin</w:t>
      </w:r>
      <w:r w:rsidR="00C366C3" w:rsidRPr="00D37A1F">
        <w:t>ing</w:t>
      </w:r>
      <w:r w:rsidR="00EA5433" w:rsidRPr="00D37A1F">
        <w:t xml:space="preserve"> the appropriate penalty in any given case.</w:t>
      </w:r>
      <w:r w:rsidR="00EA5433" w:rsidRPr="00D37A1F">
        <w:rPr>
          <w:vertAlign w:val="superscript"/>
        </w:rPr>
        <w:footnoteReference w:id="33"/>
      </w:r>
      <w:r w:rsidR="00EA5433" w:rsidRPr="00D37A1F">
        <w:t xml:space="preserve">  Under these guidelines, we may adjust a forfeiture upward for violations that are egregious, intentional, or repeated, or that cause substantial harm or generate substantial economic gain for the violator.</w:t>
      </w:r>
      <w:r w:rsidR="00EA5433" w:rsidRPr="00ED3D61">
        <w:rPr>
          <w:vertAlign w:val="superscript"/>
        </w:rPr>
        <w:footnoteReference w:id="34"/>
      </w:r>
      <w:r w:rsidR="00EA5433" w:rsidRPr="00D37A1F">
        <w:t xml:space="preserve">  </w:t>
      </w:r>
    </w:p>
    <w:p w:rsidR="00E30369" w:rsidRPr="00F317DC" w:rsidRDefault="006C04C6" w:rsidP="0049536B">
      <w:pPr>
        <w:pStyle w:val="ParaNum"/>
      </w:pPr>
      <w:r w:rsidRPr="004D5000">
        <w:t xml:space="preserve">Pursuant to the Commission’s </w:t>
      </w:r>
      <w:r w:rsidRPr="00F317DC">
        <w:t>Forfeiture Policy Statement</w:t>
      </w:r>
      <w:r w:rsidRPr="004D5000">
        <w:t xml:space="preserve">, and </w:t>
      </w:r>
      <w:r w:rsidR="00DB53A5">
        <w:t>S</w:t>
      </w:r>
      <w:r w:rsidRPr="004D5000">
        <w:t>ection 1.80 of the Rules, the base forfeiture amount for failing to comply with prescribed lighting and marking is $10,000.</w:t>
      </w:r>
      <w:r w:rsidRPr="00ED3D61">
        <w:rPr>
          <w:vertAlign w:val="superscript"/>
        </w:rPr>
        <w:footnoteReference w:id="35"/>
      </w:r>
      <w:r w:rsidRPr="004D5000">
        <w:t xml:space="preserve">  In assessing the monetary forfeiture amount, we must also take into account the statutory factors set forth in </w:t>
      </w:r>
      <w:r w:rsidR="00DB53A5">
        <w:t>S</w:t>
      </w:r>
      <w:r w:rsidRPr="004D5000">
        <w:t>ection 503(b)(2)(E) of the Act, which include the nature, circumstances, extent, and gravity of the violations, and with respect to the violator, the degree of culpability, any history of prior offenses, ability to pay, and other such matters as justice may require.</w:t>
      </w:r>
      <w:r w:rsidRPr="00ED3D61">
        <w:rPr>
          <w:vertAlign w:val="superscript"/>
        </w:rPr>
        <w:footnoteReference w:id="36"/>
      </w:r>
      <w:r w:rsidRPr="004D5000">
        <w:t xml:space="preserve">  Applying the </w:t>
      </w:r>
      <w:r w:rsidRPr="00F317DC">
        <w:t>Forfeiture Policy Statement</w:t>
      </w:r>
      <w:r w:rsidRPr="004D5000">
        <w:t xml:space="preserve">, </w:t>
      </w:r>
      <w:r w:rsidR="00DB53A5">
        <w:t>S</w:t>
      </w:r>
      <w:r w:rsidRPr="004D5000">
        <w:t xml:space="preserve">ection 1.80 of the Rules, and the statutory factors to the instant case, we conclude that </w:t>
      </w:r>
      <w:r w:rsidR="00AF0C8D">
        <w:t xml:space="preserve">the forfeiture should be assessed for each </w:t>
      </w:r>
      <w:r w:rsidR="00DA1C28">
        <w:t xml:space="preserve">of the Antenna Structures </w:t>
      </w:r>
      <w:r w:rsidR="00AF0C8D">
        <w:t xml:space="preserve">that does not </w:t>
      </w:r>
      <w:r w:rsidR="00DA1C28">
        <w:t xml:space="preserve">comply with </w:t>
      </w:r>
      <w:r w:rsidR="00AF0C8D">
        <w:t xml:space="preserve">the Commission’s rules for </w:t>
      </w:r>
      <w:r w:rsidR="00954B42">
        <w:t xml:space="preserve">marking and lighting to </w:t>
      </w:r>
      <w:r w:rsidR="00AF0C8D">
        <w:t xml:space="preserve">maintain visibility.  </w:t>
      </w:r>
      <w:r w:rsidR="00DA1C28">
        <w:t>W</w:t>
      </w:r>
      <w:r w:rsidR="00AF0C8D">
        <w:t>e</w:t>
      </w:r>
      <w:r w:rsidR="00DA1C28">
        <w:t xml:space="preserve"> also </w:t>
      </w:r>
      <w:r w:rsidR="00AF0C8D">
        <w:t xml:space="preserve">find that </w:t>
      </w:r>
      <w:r w:rsidRPr="004D5000">
        <w:t xml:space="preserve">an </w:t>
      </w:r>
      <w:r w:rsidR="00DA1C28">
        <w:t>upward adjustment is warranted</w:t>
      </w:r>
      <w:r w:rsidRPr="004D5000">
        <w:t xml:space="preserve">. </w:t>
      </w:r>
      <w:r w:rsidR="00DA1C28">
        <w:t xml:space="preserve"> </w:t>
      </w:r>
      <w:r w:rsidRPr="004D5000">
        <w:t>Despite repeated warnings regarding the Antenna Structures’ faded paint</w:t>
      </w:r>
      <w:r w:rsidR="00954B42">
        <w:t xml:space="preserve"> and lighting outage</w:t>
      </w:r>
      <w:r w:rsidRPr="004D5000">
        <w:t>, the apparent violations continued, demonstrating a deliberate disregard for the Rules.</w:t>
      </w:r>
      <w:r w:rsidR="00056A98">
        <w:t xml:space="preserve"> </w:t>
      </w:r>
      <w:r w:rsidRPr="004D5000">
        <w:t xml:space="preserve">  We therefore conclude that Pentecostal is apparently liable for a forfeiture in the amount of $2</w:t>
      </w:r>
      <w:r w:rsidR="00AF0C8D">
        <w:t>5</w:t>
      </w:r>
      <w:r w:rsidRPr="004D5000">
        <w:t>,000.</w:t>
      </w:r>
    </w:p>
    <w:p w:rsidR="00C648FC" w:rsidRPr="00C648FC" w:rsidRDefault="00C648FC" w:rsidP="00C648FC">
      <w:pPr>
        <w:pStyle w:val="ParaNum"/>
        <w:numPr>
          <w:ilvl w:val="0"/>
          <w:numId w:val="0"/>
        </w:numPr>
        <w:spacing w:after="0"/>
      </w:pPr>
    </w:p>
    <w:p w:rsidR="002302F1" w:rsidRPr="00981F23" w:rsidRDefault="002302F1" w:rsidP="004E5204">
      <w:pPr>
        <w:pStyle w:val="Heading1"/>
      </w:pPr>
      <w:r w:rsidRPr="00981F23">
        <w:t>Conclusion</w:t>
      </w:r>
    </w:p>
    <w:p w:rsidR="002302F1" w:rsidRPr="00C648FC" w:rsidRDefault="002302F1" w:rsidP="0049536B">
      <w:pPr>
        <w:pStyle w:val="ParaNum"/>
      </w:pPr>
      <w:r w:rsidRPr="00981F23">
        <w:t>We h</w:t>
      </w:r>
      <w:r w:rsidR="00C648FC">
        <w:t>ave determined that Pentecostal</w:t>
      </w:r>
      <w:r w:rsidRPr="00981F23">
        <w:t xml:space="preserve"> </w:t>
      </w:r>
      <w:r w:rsidR="00A0350D" w:rsidRPr="00981F23">
        <w:t xml:space="preserve">apparently willfully and repeatedly violated </w:t>
      </w:r>
      <w:r w:rsidR="00DB53A5">
        <w:t>S</w:t>
      </w:r>
      <w:r w:rsidR="00C648FC">
        <w:t xml:space="preserve">ection 303(q) of the Act and </w:t>
      </w:r>
      <w:r w:rsidR="00DB53A5">
        <w:t>S</w:t>
      </w:r>
      <w:r w:rsidR="00C648FC">
        <w:t>ection</w:t>
      </w:r>
      <w:r w:rsidR="00BF461A">
        <w:t xml:space="preserve">s </w:t>
      </w:r>
      <w:r w:rsidR="005A1040">
        <w:t xml:space="preserve">17.23, </w:t>
      </w:r>
      <w:r w:rsidR="00BF461A">
        <w:t>17.48 and</w:t>
      </w:r>
      <w:r w:rsidR="00C648FC">
        <w:t xml:space="preserve"> 17.50(a) of the Commission’s rules.  As</w:t>
      </w:r>
      <w:r w:rsidR="00A0350D" w:rsidRPr="00981F23">
        <w:t xml:space="preserve"> such, </w:t>
      </w:r>
      <w:r w:rsidR="00C648FC">
        <w:t>Pentecostal is</w:t>
      </w:r>
      <w:r w:rsidR="00A0350D" w:rsidRPr="00981F23">
        <w:t xml:space="preserve"> apparently liable for a forfeiture of $</w:t>
      </w:r>
      <w:r w:rsidR="00781606">
        <w:t>25,000</w:t>
      </w:r>
      <w:r w:rsidR="00A0350D" w:rsidRPr="00981F23">
        <w:t>.</w:t>
      </w:r>
    </w:p>
    <w:p w:rsidR="00E9376C" w:rsidRPr="00981F23" w:rsidRDefault="00E9376C" w:rsidP="004E5204">
      <w:pPr>
        <w:pStyle w:val="Heading1"/>
      </w:pPr>
      <w:r w:rsidRPr="00981F23">
        <w:t>ORDERING CLAUSES</w:t>
      </w:r>
    </w:p>
    <w:p w:rsidR="00E9376C" w:rsidRPr="00981F23" w:rsidRDefault="00E9376C" w:rsidP="006E4C66">
      <w:pPr>
        <w:pStyle w:val="ParaNum"/>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37"/>
      </w:r>
      <w:r w:rsidRPr="00981F23">
        <w:t xml:space="preserve"> and Sections 1.80 of the</w:t>
      </w:r>
      <w:r w:rsidR="003A3B45">
        <w:t xml:space="preserve"> R</w:t>
      </w:r>
      <w:r w:rsidRPr="00981F23">
        <w:t>ules,</w:t>
      </w:r>
      <w:r w:rsidRPr="00981F23">
        <w:rPr>
          <w:vertAlign w:val="superscript"/>
        </w:rPr>
        <w:footnoteReference w:id="38"/>
      </w:r>
      <w:r w:rsidRPr="00981F23">
        <w:t xml:space="preserve"> </w:t>
      </w:r>
      <w:r w:rsidR="005F44D9">
        <w:t>Pentecostal Temple Development Corporation</w:t>
      </w:r>
      <w:r w:rsidRPr="00981F23">
        <w:t xml:space="preserve"> is hereby </w:t>
      </w:r>
      <w:r w:rsidRPr="00981F23">
        <w:rPr>
          <w:b/>
        </w:rPr>
        <w:t>NOTIFIED</w:t>
      </w:r>
      <w:r w:rsidRPr="00981F23">
        <w:t xml:space="preserve"> of this </w:t>
      </w:r>
      <w:r w:rsidRPr="00981F23">
        <w:rPr>
          <w:b/>
        </w:rPr>
        <w:t>APPARENT LIABILITY FOR A FORFEITURE</w:t>
      </w:r>
      <w:r w:rsidRPr="00981F23">
        <w:t xml:space="preserve"> in the amount of </w:t>
      </w:r>
      <w:r w:rsidR="00781606">
        <w:t xml:space="preserve">TWENTY FIVE THOUSAND DOLLARS </w:t>
      </w:r>
      <w:r w:rsidRPr="00981F23">
        <w:t>(</w:t>
      </w:r>
      <w:r w:rsidR="00781606">
        <w:t>$25,000</w:t>
      </w:r>
      <w:r w:rsidR="00A0350D" w:rsidRPr="00981F23">
        <w:t>)</w:t>
      </w:r>
      <w:r w:rsidRPr="00981F23">
        <w:t xml:space="preserve"> for willful and</w:t>
      </w:r>
      <w:r w:rsidR="005F44D9">
        <w:t xml:space="preserve"> repeated violations of</w:t>
      </w:r>
      <w:r w:rsidR="00056A98">
        <w:t xml:space="preserve"> </w:t>
      </w:r>
      <w:r w:rsidR="00DB53A5">
        <w:t>s</w:t>
      </w:r>
      <w:r w:rsidR="005F44D9">
        <w:t xml:space="preserve">ection 303(q) </w:t>
      </w:r>
      <w:r w:rsidRPr="00981F23">
        <w:t xml:space="preserve">of the </w:t>
      </w:r>
      <w:r w:rsidR="003A3B45">
        <w:t>Act</w:t>
      </w:r>
      <w:r w:rsidRPr="00981F23">
        <w:t>;</w:t>
      </w:r>
      <w:r w:rsidRPr="00981F23">
        <w:rPr>
          <w:vertAlign w:val="superscript"/>
        </w:rPr>
        <w:footnoteReference w:id="39"/>
      </w:r>
      <w:r w:rsidRPr="00981F23">
        <w:t xml:space="preserve"> </w:t>
      </w:r>
      <w:r w:rsidR="00C648FC">
        <w:t xml:space="preserve">and </w:t>
      </w:r>
      <w:r w:rsidR="00DB53A5">
        <w:t>S</w:t>
      </w:r>
      <w:r w:rsidRPr="00981F23">
        <w:t>ection</w:t>
      </w:r>
      <w:r w:rsidR="00BF461A">
        <w:t xml:space="preserve">s </w:t>
      </w:r>
      <w:r w:rsidR="005A1040">
        <w:t xml:space="preserve">17.23, </w:t>
      </w:r>
      <w:r w:rsidR="00BF461A">
        <w:t>17.48 and</w:t>
      </w:r>
      <w:r w:rsidR="00CF750C" w:rsidRPr="00981F23">
        <w:t xml:space="preserve"> </w:t>
      </w:r>
      <w:r w:rsidR="005F44D9">
        <w:t xml:space="preserve">17.50(a) </w:t>
      </w:r>
      <w:r w:rsidRPr="00981F23">
        <w:t>of the Rules</w:t>
      </w:r>
      <w:r w:rsidR="00C648FC">
        <w:t>.</w:t>
      </w:r>
      <w:r w:rsidRPr="00981F23">
        <w:rPr>
          <w:vertAlign w:val="superscript"/>
        </w:rPr>
        <w:footnoteReference w:id="40"/>
      </w:r>
      <w:r w:rsidRPr="00981F23">
        <w:t xml:space="preserve"> </w:t>
      </w:r>
    </w:p>
    <w:p w:rsidR="00E9376C" w:rsidRPr="00981F23" w:rsidRDefault="00E9376C" w:rsidP="006E4C66">
      <w:pPr>
        <w:pStyle w:val="ParaNum"/>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41"/>
      </w:r>
      <w:r w:rsidRPr="00981F23">
        <w:rPr>
          <w:vertAlign w:val="superscript"/>
        </w:rPr>
        <w:t xml:space="preserve"> </w:t>
      </w:r>
      <w:r w:rsidRPr="00981F23">
        <w:t>within thirty (30) calendar days of the release date of this Notice of App</w:t>
      </w:r>
      <w:r w:rsidR="005F44D9">
        <w:t xml:space="preserve">arent Liability for Forfeiture, Pentecostal Temple Development Corporation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69395D">
        <w:t>19</w:t>
      </w:r>
      <w:r w:rsidRPr="00981F23">
        <w:t xml:space="preserve"> below.</w:t>
      </w:r>
    </w:p>
    <w:p w:rsidR="00E9376C" w:rsidRPr="00981F23" w:rsidRDefault="00E9376C" w:rsidP="006E4C66">
      <w:pPr>
        <w:pStyle w:val="ParaNum"/>
      </w:pPr>
      <w:r w:rsidRPr="00981F23">
        <w:t xml:space="preserve">Payment of the forfeiture must be made by check or similar instrument, wire transfer, or credit card, and must include the NAL/Account Number and FRN referenced above.  </w:t>
      </w:r>
      <w:r w:rsidR="00B73770">
        <w:t>Pentecostal Temple Development Corporation</w:t>
      </w:r>
      <w:r w:rsidR="00CF750C" w:rsidRPr="00981F23">
        <w:t xml:space="preserve"> </w:t>
      </w:r>
      <w:r w:rsidRPr="00981F23">
        <w:t xml:space="preserve">shall send electronic notification of payment to </w:t>
      </w:r>
      <w:r w:rsidR="00C307E4">
        <w:t xml:space="preserve">Janet F. Moran at </w:t>
      </w:r>
      <w:hyperlink r:id="rId8" w:history="1">
        <w:r w:rsidR="00C307E4" w:rsidRPr="007D7F8A">
          <w:rPr>
            <w:rStyle w:val="Hyperlink"/>
          </w:rPr>
          <w:t>Janet.Moran@fcc.gov</w:t>
        </w:r>
      </w:hyperlink>
      <w:r w:rsidR="00C307E4">
        <w:t>, with a copy to NER-Response@fcc.gov</w:t>
      </w:r>
      <w:r w:rsidR="00CF750C" w:rsidRPr="00981F23">
        <w:t xml:space="preserve"> </w:t>
      </w:r>
      <w:r w:rsidRPr="00981F23">
        <w:t>on the date said payment is made.  Regardless of the form of payment, a completed FCC Form 159 (Remittance Advice) must be submitted.</w:t>
      </w:r>
      <w:r w:rsidRPr="00981F23">
        <w:rPr>
          <w:vertAlign w:val="superscript"/>
        </w:rPr>
        <w:footnoteReference w:id="42"/>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rsidR="00E9376C" w:rsidRPr="00981F23" w:rsidRDefault="00E9376C" w:rsidP="006367B1">
      <w:pPr>
        <w:widowControl/>
        <w:numPr>
          <w:ilvl w:val="0"/>
          <w:numId w:val="5"/>
        </w:numPr>
        <w:spacing w:after="120"/>
        <w:rPr>
          <w:b/>
        </w:rPr>
      </w:pPr>
      <w:r w:rsidRPr="00981F23">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E9376C" w:rsidRPr="00981F23" w:rsidRDefault="00E9376C" w:rsidP="00F80F2C">
      <w:pPr>
        <w:widowControl/>
        <w:numPr>
          <w:ilvl w:val="0"/>
          <w:numId w:val="5"/>
        </w:numPr>
        <w:spacing w:after="120"/>
        <w:rPr>
          <w:b/>
        </w:rPr>
      </w:pPr>
      <w:r w:rsidRPr="00981F23">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9376C" w:rsidRPr="00981F23" w:rsidRDefault="00E9376C" w:rsidP="00F65609">
      <w:pPr>
        <w:widowControl/>
        <w:numPr>
          <w:ilvl w:val="0"/>
          <w:numId w:val="5"/>
        </w:numPr>
        <w:spacing w:after="120"/>
        <w:rPr>
          <w:b/>
        </w:rPr>
      </w:pPr>
      <w:r w:rsidRPr="00981F23">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E9376C" w:rsidRPr="00981F23" w:rsidRDefault="00E9376C" w:rsidP="006E4C66">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rPr>
        <w:footnoteReference w:id="43"/>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rsidR="00E9376C" w:rsidRPr="00981F23" w:rsidRDefault="00E9376C" w:rsidP="006E4C66">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44"/>
      </w:r>
      <w:r w:rsidRPr="00981F23">
        <w:t xml:space="preserve">  The written statement must be mailed to the Office of the Secretary, Federal Communications Commission, 445 12th Street, SW, Washington, DC 20554, ATTN:  Enforcement Bureau – </w:t>
      </w:r>
      <w:r w:rsidR="00C307E4">
        <w:t>Field Division, Office of the Field Director</w:t>
      </w:r>
      <w:r w:rsidRPr="00981F23">
        <w:t xml:space="preserve">, and must include the NAL/Account Number referenced in the caption.  The statement must also be e-mailed to </w:t>
      </w:r>
      <w:r w:rsidR="00005D23">
        <w:t>Janet F. Moran</w:t>
      </w:r>
      <w:r w:rsidR="007F4F8B" w:rsidRPr="00981F23">
        <w:t xml:space="preserve"> at </w:t>
      </w:r>
      <w:hyperlink r:id="rId9" w:history="1">
        <w:r w:rsidR="00C307E4" w:rsidRPr="007D7F8A">
          <w:rPr>
            <w:rStyle w:val="Hyperlink"/>
          </w:rPr>
          <w:t>Janet.Moran@fcc.gov</w:t>
        </w:r>
      </w:hyperlink>
      <w:r w:rsidR="00C307E4">
        <w:t>, with a copy to NER-Response@fcc.gov</w:t>
      </w:r>
      <w:r w:rsidRPr="00981F23">
        <w:t xml:space="preserve">.  </w:t>
      </w:r>
      <w:r w:rsidR="00C307E4">
        <w:t xml:space="preserve"> </w:t>
      </w:r>
    </w:p>
    <w:p w:rsidR="00E9376C" w:rsidRPr="00981F23" w:rsidRDefault="00E9376C" w:rsidP="006E4C66">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rsidR="00E9376C" w:rsidRPr="00981F23" w:rsidRDefault="00E9376C" w:rsidP="006E4C66">
      <w:pPr>
        <w:pStyle w:val="ParaNum"/>
      </w:pPr>
      <w:r w:rsidRPr="00981F23">
        <w:rPr>
          <w:b/>
        </w:rPr>
        <w:t xml:space="preserve">IT IS FURTHER ORDERED </w:t>
      </w:r>
      <w:r w:rsidRPr="00981F23">
        <w:t>that a copy of this Notice of Apparent Liability for Forfeiture shall be sent by first class mail and certified mail, return receipt requested, to</w:t>
      </w:r>
      <w:r w:rsidR="00C648FC">
        <w:t xml:space="preserve"> </w:t>
      </w:r>
      <w:r w:rsidR="00EC455D">
        <w:t xml:space="preserve">Bishop Loran Mann, President, </w:t>
      </w:r>
      <w:r w:rsidR="00C648FC">
        <w:t xml:space="preserve">Pentecostal Temple Development Corporation, </w:t>
      </w:r>
      <w:r w:rsidR="00370575">
        <w:t>,</w:t>
      </w:r>
      <w:r w:rsidR="007F4F8B" w:rsidRPr="00981F23">
        <w:t xml:space="preserve"> </w:t>
      </w:r>
      <w:r w:rsidRPr="00981F23">
        <w:t xml:space="preserve">and to </w:t>
      </w:r>
      <w:r w:rsidR="00B34E0A">
        <w:t xml:space="preserve">Dan J. Alpert, </w:t>
      </w:r>
      <w:r w:rsidRPr="00981F23">
        <w:t xml:space="preserve">Esq., </w:t>
      </w:r>
      <w:r w:rsidR="00B34E0A">
        <w:t>The Law Office of Dan J. Alpert, 2120 North 21</w:t>
      </w:r>
      <w:r w:rsidR="00B34E0A" w:rsidRPr="00B34E0A">
        <w:rPr>
          <w:vertAlign w:val="superscript"/>
        </w:rPr>
        <w:t>st</w:t>
      </w:r>
      <w:r w:rsidR="00B34E0A">
        <w:t xml:space="preserve"> Road, Arlington, Virginia 22201</w:t>
      </w:r>
      <w:r w:rsidRPr="00981F23">
        <w:t>.</w:t>
      </w:r>
    </w:p>
    <w:p w:rsidR="007C3A62" w:rsidRPr="00981F23" w:rsidRDefault="007C3A62" w:rsidP="007C3A62"/>
    <w:p w:rsidR="00F60397" w:rsidRPr="00981F23" w:rsidRDefault="00F60397" w:rsidP="00F60397">
      <w:pPr>
        <w:spacing w:before="240"/>
      </w:pPr>
      <w:r w:rsidRPr="00981F23">
        <w:tab/>
      </w:r>
      <w:r w:rsidRPr="00981F23">
        <w:tab/>
      </w:r>
      <w:r w:rsidRPr="00981F23">
        <w:tab/>
      </w:r>
      <w:r w:rsidRPr="00981F23">
        <w:tab/>
      </w:r>
      <w:r w:rsidRPr="00981F23">
        <w:tab/>
      </w:r>
      <w:r w:rsidRPr="00981F23">
        <w:tab/>
        <w:t>FEDERAL COMMUNICATIONS COMMISSION</w:t>
      </w:r>
    </w:p>
    <w:p w:rsidR="00F60397" w:rsidRPr="00981F23" w:rsidRDefault="00F60397" w:rsidP="00BD75A3"/>
    <w:p w:rsidR="00F60397" w:rsidRPr="00981F23" w:rsidRDefault="00F60397" w:rsidP="00BD75A3"/>
    <w:p w:rsidR="00CE5F1E" w:rsidRPr="006D73F2" w:rsidRDefault="00F60397" w:rsidP="00AE6170">
      <w:r w:rsidRPr="00981F23">
        <w:tab/>
      </w:r>
      <w:r w:rsidRPr="00981F23">
        <w:tab/>
      </w:r>
      <w:r w:rsidRPr="00981F23">
        <w:tab/>
      </w:r>
    </w:p>
    <w:p w:rsidR="00CE5F1E" w:rsidRPr="006D73F2" w:rsidRDefault="00B73770" w:rsidP="00CE5F1E">
      <w:pPr>
        <w:ind w:left="4410"/>
      </w:pPr>
      <w:r>
        <w:t>David Dombrowski</w:t>
      </w:r>
    </w:p>
    <w:p w:rsidR="00CE5F1E" w:rsidRDefault="00B73770" w:rsidP="00CE5F1E">
      <w:pPr>
        <w:ind w:left="4410"/>
      </w:pPr>
      <w:r>
        <w:t>Regional Director</w:t>
      </w:r>
    </w:p>
    <w:p w:rsidR="00B73770" w:rsidRDefault="00B73770" w:rsidP="00CE5F1E">
      <w:pPr>
        <w:ind w:left="4410"/>
      </w:pPr>
      <w:r>
        <w:t>Region One</w:t>
      </w:r>
    </w:p>
    <w:p w:rsidR="00FA0B93" w:rsidRPr="00981F23" w:rsidRDefault="00B73770" w:rsidP="00AE6170">
      <w:pPr>
        <w:ind w:left="4410"/>
      </w:pPr>
      <w:r>
        <w:t>Enforcement Bureau</w:t>
      </w:r>
    </w:p>
    <w:sectPr w:rsidR="00FA0B93" w:rsidRPr="00981F23" w:rsidSect="007C3A6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21" w:rsidRDefault="00100D21">
      <w:r>
        <w:separator/>
      </w:r>
    </w:p>
  </w:endnote>
  <w:endnote w:type="continuationSeparator" w:id="0">
    <w:p w:rsidR="00100D21" w:rsidRDefault="0010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Pr="00575313" w:rsidRDefault="000A633B" w:rsidP="009E64A3">
    <w:pPr>
      <w:pStyle w:val="Footer"/>
      <w:framePr w:wrap="around" w:vAnchor="text" w:hAnchor="margin" w:xAlign="center" w:y="1"/>
      <w:rPr>
        <w:rStyle w:val="PageNumber"/>
      </w:rPr>
    </w:pPr>
    <w:r w:rsidRPr="00575313">
      <w:rPr>
        <w:rStyle w:val="PageNumber"/>
      </w:rPr>
      <w:fldChar w:fldCharType="begin"/>
    </w:r>
    <w:r w:rsidRPr="00575313">
      <w:rPr>
        <w:rStyle w:val="PageNumber"/>
      </w:rPr>
      <w:instrText xml:space="preserve">PAGE  </w:instrText>
    </w:r>
    <w:r w:rsidRPr="00575313">
      <w:rPr>
        <w:rStyle w:val="PageNumber"/>
      </w:rPr>
      <w:fldChar w:fldCharType="separate"/>
    </w:r>
    <w:r w:rsidR="00AE6170">
      <w:rPr>
        <w:rStyle w:val="PageNumber"/>
        <w:noProof/>
      </w:rPr>
      <w:t>7</w:t>
    </w:r>
    <w:r w:rsidRPr="00575313">
      <w:rPr>
        <w:rStyle w:val="PageNumber"/>
      </w:rPr>
      <w:fldChar w:fldCharType="end"/>
    </w:r>
  </w:p>
  <w:p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21" w:rsidRDefault="00100D21">
      <w:r>
        <w:separator/>
      </w:r>
    </w:p>
  </w:footnote>
  <w:footnote w:type="continuationSeparator" w:id="0">
    <w:p w:rsidR="00100D21" w:rsidRDefault="00100D21" w:rsidP="00F60397">
      <w:r w:rsidRPr="00F60397">
        <w:rPr>
          <w:sz w:val="20"/>
        </w:rPr>
        <w:t>(Continued from previous page…)</w:t>
      </w:r>
      <w:r>
        <w:rPr>
          <w:sz w:val="20"/>
        </w:rPr>
        <w:t xml:space="preserve"> </w:t>
      </w:r>
      <w:r>
        <w:separator/>
      </w:r>
    </w:p>
  </w:footnote>
  <w:footnote w:type="continuationNotice" w:id="1">
    <w:p w:rsidR="00100D21" w:rsidRPr="00F60397" w:rsidRDefault="00100D21" w:rsidP="00AE54D6">
      <w:pPr>
        <w:jc w:val="right"/>
        <w:rPr>
          <w:sz w:val="20"/>
        </w:rPr>
      </w:pPr>
      <w:r w:rsidRPr="00F60397">
        <w:rPr>
          <w:sz w:val="20"/>
        </w:rPr>
        <w:t>(continued…)</w:t>
      </w:r>
    </w:p>
  </w:footnote>
  <w:footnote w:id="2">
    <w:p w:rsidR="0031097A" w:rsidRDefault="0031097A">
      <w:pPr>
        <w:pStyle w:val="FootnoteText"/>
      </w:pPr>
      <w:r>
        <w:rPr>
          <w:rStyle w:val="FootnoteReference"/>
        </w:rPr>
        <w:footnoteRef/>
      </w:r>
      <w:r w:rsidR="00AA7DD1">
        <w:t xml:space="preserve">  </w:t>
      </w:r>
      <w:r>
        <w:t xml:space="preserve">WGBN owns a total of five antenna towers, </w:t>
      </w:r>
      <w:r w:rsidR="00AA7DD1">
        <w:t xml:space="preserve">four of which are located at this site.  However, </w:t>
      </w:r>
      <w:r w:rsidR="00C822C9">
        <w:t xml:space="preserve">only two of those towers, the ones registered under ASR 1026648 and 1026650, are at issue in this proceeding.  </w:t>
      </w:r>
    </w:p>
  </w:footnote>
  <w:footnote w:id="3">
    <w:p w:rsidR="00C33489" w:rsidRDefault="00C33489" w:rsidP="00C33489">
      <w:pPr>
        <w:pStyle w:val="FootnoteText"/>
      </w:pPr>
      <w:r>
        <w:rPr>
          <w:rStyle w:val="FootnoteReference"/>
        </w:rPr>
        <w:footnoteRef/>
      </w:r>
      <w:r>
        <w:t xml:space="preserve"> 47 U.S.C. § 303(q).</w:t>
      </w:r>
    </w:p>
  </w:footnote>
  <w:footnote w:id="4">
    <w:p w:rsidR="00C33489" w:rsidRDefault="00C33489" w:rsidP="00C33489">
      <w:pPr>
        <w:pStyle w:val="FootnoteText"/>
      </w:pPr>
      <w:r>
        <w:rPr>
          <w:rStyle w:val="FootnoteReference"/>
        </w:rPr>
        <w:footnoteRef/>
      </w:r>
      <w:r>
        <w:t xml:space="preserve"> 47 U.S.C. §§ </w:t>
      </w:r>
      <w:r w:rsidR="00B179E2">
        <w:t>17.23 (“[E]</w:t>
      </w:r>
      <w:r w:rsidR="00B179E2" w:rsidRPr="00B179E2">
        <w:t>ach antenna structure must be painted and lighted in accordance with any painting and lighting requirements prescribed on the antenna structure's registration, or in accordance with any other specifications provided by the Commission.</w:t>
      </w:r>
      <w:r w:rsidR="00B179E2">
        <w:t>”); 17.48(a) (Tower owner “[s]</w:t>
      </w:r>
      <w:r w:rsidR="00B179E2" w:rsidRPr="00B179E2">
        <w:t>hall report immediately to the FAA</w:t>
      </w:r>
      <w:r w:rsidR="00B179E2">
        <w:t>…</w:t>
      </w:r>
      <w:r w:rsidR="00B179E2" w:rsidRPr="00B179E2">
        <w:t xml:space="preserve"> any observed or otherwise known extinguishment or improper functioning of any top steady burning light or any flashing obstruction light, regardless of its position on the antenna structure, not corrected within 30 minutes</w:t>
      </w:r>
      <w:r w:rsidR="00B179E2">
        <w:t xml:space="preserve">”); </w:t>
      </w:r>
      <w:r>
        <w:t>17.50(a)</w:t>
      </w:r>
      <w:r w:rsidR="00B179E2">
        <w:t xml:space="preserve"> (“</w:t>
      </w:r>
      <w:r w:rsidR="00B179E2" w:rsidRPr="00B179E2">
        <w:t>Antenna structures requiring painting under this part shall be cleaned or repainted as often as necessary to maintain good visibility</w:t>
      </w:r>
      <w:r w:rsidR="00B179E2">
        <w:t>”)</w:t>
      </w:r>
      <w:r>
        <w:t xml:space="preserve">. </w:t>
      </w:r>
    </w:p>
  </w:footnote>
  <w:footnote w:id="5">
    <w:p w:rsidR="00C94FB0" w:rsidRDefault="00C94FB0" w:rsidP="00C94FB0">
      <w:pPr>
        <w:pStyle w:val="FootnoteText"/>
      </w:pPr>
      <w:r>
        <w:rPr>
          <w:rStyle w:val="FootnoteReference"/>
        </w:rPr>
        <w:footnoteRef/>
      </w:r>
      <w:r>
        <w:t xml:space="preserve"> Pursuant to </w:t>
      </w:r>
      <w:r w:rsidR="00DB53A5">
        <w:t>S</w:t>
      </w:r>
      <w:r>
        <w:t>ection 17.21 of the Rules, antenna structures shall be painted and lit when they exceed 60.96 meters in height above ground.  47 C.</w:t>
      </w:r>
      <w:r w:rsidR="005C34C3">
        <w:t xml:space="preserve">F.R. § 17.21.  </w:t>
      </w:r>
      <w:r w:rsidR="001E626F">
        <w:t xml:space="preserve">The </w:t>
      </w:r>
      <w:r w:rsidR="005C34C3">
        <w:t>Antenna S</w:t>
      </w:r>
      <w:r w:rsidR="002C7741">
        <w:t>tructure</w:t>
      </w:r>
      <w:r w:rsidR="006A3B4F">
        <w:t xml:space="preserve">s </w:t>
      </w:r>
      <w:r w:rsidR="001E626F">
        <w:t>are 63.</w:t>
      </w:r>
      <w:r w:rsidR="001E626F" w:rsidRPr="009E6C9E">
        <w:t>1</w:t>
      </w:r>
      <w:r w:rsidRPr="009E6C9E">
        <w:t xml:space="preserve"> meters in height above ground</w:t>
      </w:r>
      <w:r w:rsidR="005065B1" w:rsidRPr="009E6C9E">
        <w:t xml:space="preserve"> and </w:t>
      </w:r>
      <w:r w:rsidR="001E626F" w:rsidRPr="009E6C9E">
        <w:t>61.3</w:t>
      </w:r>
      <w:r w:rsidR="006A3B4F" w:rsidRPr="009E6C9E">
        <w:t xml:space="preserve"> in meters in height</w:t>
      </w:r>
      <w:r w:rsidR="005065B1" w:rsidRPr="009E6C9E">
        <w:t xml:space="preserve"> above ground</w:t>
      </w:r>
      <w:r w:rsidR="006A3B4F" w:rsidRPr="009E6C9E">
        <w:t>.</w:t>
      </w:r>
      <w:r w:rsidR="006A3B4F">
        <w:t xml:space="preserve">  </w:t>
      </w:r>
      <w:r w:rsidR="001E626F" w:rsidRPr="00450812">
        <w:rPr>
          <w:i/>
        </w:rPr>
        <w:t>See</w:t>
      </w:r>
      <w:r w:rsidR="001E626F">
        <w:t xml:space="preserve"> </w:t>
      </w:r>
      <w:r w:rsidR="003A6423">
        <w:t>ASR</w:t>
      </w:r>
      <w:r w:rsidR="001E626F">
        <w:t xml:space="preserve"> 1026648 and </w:t>
      </w:r>
      <w:r w:rsidR="00690B45">
        <w:t xml:space="preserve">ASR </w:t>
      </w:r>
      <w:r w:rsidR="001E626F">
        <w:t>1026650</w:t>
      </w:r>
      <w:r w:rsidR="00024EDE">
        <w:t xml:space="preserve"> </w:t>
      </w:r>
      <w:r w:rsidR="009E6C9E" w:rsidRPr="009E6C9E">
        <w:t>(on file in EB-FIELDNER-15-000</w:t>
      </w:r>
      <w:r w:rsidR="00740D0A">
        <w:t>20416</w:t>
      </w:r>
      <w:r w:rsidR="009E6C9E" w:rsidRPr="009E6C9E">
        <w:t>)</w:t>
      </w:r>
      <w:r w:rsidR="009E6C9E">
        <w:t>.</w:t>
      </w:r>
    </w:p>
  </w:footnote>
  <w:footnote w:id="6">
    <w:p w:rsidR="00AA7DD1" w:rsidRDefault="00AA7DD1">
      <w:pPr>
        <w:pStyle w:val="FootnoteText"/>
      </w:pPr>
      <w:r>
        <w:rPr>
          <w:rStyle w:val="FootnoteReference"/>
        </w:rPr>
        <w:footnoteRef/>
      </w:r>
      <w:r>
        <w:t xml:space="preserve"> </w:t>
      </w:r>
      <w:r w:rsidRPr="00EB1ACE">
        <w:rPr>
          <w:i/>
        </w:rPr>
        <w:t>Pentecostal Temple Development Corporation</w:t>
      </w:r>
      <w:r>
        <w:t xml:space="preserve">, Notice of Violation, February 9, 2016.   </w:t>
      </w:r>
    </w:p>
  </w:footnote>
  <w:footnote w:id="7">
    <w:p w:rsidR="00AA7DD1" w:rsidRPr="000E6066" w:rsidRDefault="00AA7DD1">
      <w:pPr>
        <w:pStyle w:val="FootnoteText"/>
      </w:pPr>
      <w:r>
        <w:rPr>
          <w:rStyle w:val="FootnoteReference"/>
        </w:rPr>
        <w:footnoteRef/>
      </w:r>
      <w:r>
        <w:t xml:space="preserve"> </w:t>
      </w:r>
      <w:r w:rsidR="000E6066">
        <w:rPr>
          <w:i/>
        </w:rPr>
        <w:t xml:space="preserve">NOV </w:t>
      </w:r>
      <w:r w:rsidR="000E6066">
        <w:t xml:space="preserve">at 2; 47 CFR § 17.50.  </w:t>
      </w:r>
    </w:p>
  </w:footnote>
  <w:footnote w:id="8">
    <w:p w:rsidR="007263FA" w:rsidRDefault="007263FA">
      <w:pPr>
        <w:pStyle w:val="FootnoteText"/>
      </w:pPr>
      <w:r>
        <w:rPr>
          <w:rStyle w:val="FootnoteReference"/>
        </w:rPr>
        <w:footnoteRef/>
      </w:r>
      <w:r>
        <w:t xml:space="preserve"> </w:t>
      </w:r>
      <w:r>
        <w:rPr>
          <w:i/>
        </w:rPr>
        <w:t xml:space="preserve">NOV </w:t>
      </w:r>
      <w:r>
        <w:t xml:space="preserve">at 2.  </w:t>
      </w:r>
    </w:p>
  </w:footnote>
  <w:footnote w:id="9">
    <w:p w:rsidR="00BC6299" w:rsidRPr="00BC6299" w:rsidRDefault="00BC6299">
      <w:pPr>
        <w:pStyle w:val="FootnoteText"/>
      </w:pPr>
      <w:r>
        <w:rPr>
          <w:rStyle w:val="FootnoteReference"/>
        </w:rPr>
        <w:footnoteRef/>
      </w:r>
      <w:r>
        <w:t xml:space="preserve"> </w:t>
      </w:r>
      <w:r w:rsidR="007263FA">
        <w:t xml:space="preserve">47 CFR § 17.23.  </w:t>
      </w:r>
      <w:r>
        <w:t xml:space="preserve">The </w:t>
      </w:r>
      <w:r>
        <w:rPr>
          <w:i/>
        </w:rPr>
        <w:t xml:space="preserve">NOV </w:t>
      </w:r>
      <w:r>
        <w:t xml:space="preserve">inadvertently characterized this as a violation of </w:t>
      </w:r>
      <w:r w:rsidR="00DB53A5">
        <w:t>S</w:t>
      </w:r>
      <w:r>
        <w:t xml:space="preserve">ection 17.51 rather than </w:t>
      </w:r>
      <w:r w:rsidR="00DB53A5">
        <w:t>S</w:t>
      </w:r>
      <w:r>
        <w:t>ection</w:t>
      </w:r>
      <w:r w:rsidR="0012307E">
        <w:t xml:space="preserve"> </w:t>
      </w:r>
      <w:r>
        <w:t xml:space="preserve">17.23 of the Rules. </w:t>
      </w:r>
    </w:p>
  </w:footnote>
  <w:footnote w:id="10">
    <w:p w:rsidR="005C3395" w:rsidRDefault="005C3395" w:rsidP="00D5000C">
      <w:pPr>
        <w:pStyle w:val="FootnoteText"/>
      </w:pPr>
      <w:r>
        <w:rPr>
          <w:rStyle w:val="FootnoteReference"/>
        </w:rPr>
        <w:footnoteRef/>
      </w:r>
      <w:r>
        <w:t xml:space="preserve"> </w:t>
      </w:r>
      <w:r w:rsidR="001D5A63">
        <w:t xml:space="preserve">A </w:t>
      </w:r>
      <w:r w:rsidR="006644F9">
        <w:t>representative of WGBN notified the FAA on December 3, 201</w:t>
      </w:r>
      <w:r w:rsidR="0089084F">
        <w:t>5</w:t>
      </w:r>
      <w:r w:rsidR="006644F9">
        <w:t xml:space="preserve"> about the outage on antenna structure no. 1026648.  In response, the FAA issued NOTAM #12/027 which was valid for only 30 days and automatically expired on January 4, 2016.  On January 5, 2016, the agent inspected antenna structure no. 1026648 and found that the top-level beacon was still extinguished.  The agent reported the outage and the FAA issued NOTAM #01/05 which </w:t>
      </w:r>
      <w:r w:rsidR="001D5A63">
        <w:t>expired on</w:t>
      </w:r>
      <w:r w:rsidR="006644F9">
        <w:t xml:space="preserve"> February 6, 2016.  </w:t>
      </w:r>
      <w:r w:rsidR="001D5A63">
        <w:rPr>
          <w:i/>
        </w:rPr>
        <w:t xml:space="preserve">See </w:t>
      </w:r>
      <w:r w:rsidR="006644F9" w:rsidRPr="006644F9">
        <w:rPr>
          <w:i/>
        </w:rPr>
        <w:t>NOV</w:t>
      </w:r>
      <w:r w:rsidR="006644F9">
        <w:t xml:space="preserve"> at 2-3, n.4. </w:t>
      </w:r>
      <w:r w:rsidR="00A74C30">
        <w:t xml:space="preserve">47 CFR § 17.48(a). </w:t>
      </w:r>
      <w:r w:rsidR="006644F9">
        <w:t xml:space="preserve"> </w:t>
      </w:r>
    </w:p>
  </w:footnote>
  <w:footnote w:id="11">
    <w:p w:rsidR="00C94FB0" w:rsidRPr="009D3002" w:rsidRDefault="00C94FB0" w:rsidP="00C94FB0">
      <w:pPr>
        <w:pStyle w:val="FootnoteText"/>
      </w:pPr>
      <w:r>
        <w:rPr>
          <w:rStyle w:val="FootnoteReference"/>
        </w:rPr>
        <w:footnoteRef/>
      </w:r>
      <w:r>
        <w:t xml:space="preserve"> </w:t>
      </w:r>
      <w:r>
        <w:rPr>
          <w:i/>
        </w:rPr>
        <w:t>See</w:t>
      </w:r>
      <w:r>
        <w:t xml:space="preserve"> Letter from </w:t>
      </w:r>
      <w:r w:rsidR="00401228">
        <w:t>Bishop Loran Mann</w:t>
      </w:r>
      <w:r w:rsidR="008D2891">
        <w:t xml:space="preserve">, </w:t>
      </w:r>
      <w:r w:rsidR="002B205C">
        <w:t xml:space="preserve">President, </w:t>
      </w:r>
      <w:r w:rsidR="008D2891">
        <w:t>Pentecostal Temple Development Corporation,</w:t>
      </w:r>
      <w:r>
        <w:t xml:space="preserve"> to </w:t>
      </w:r>
      <w:r w:rsidR="00401228">
        <w:t>David Dombrowski</w:t>
      </w:r>
      <w:r>
        <w:t xml:space="preserve">, </w:t>
      </w:r>
      <w:r w:rsidR="00355024">
        <w:t>District</w:t>
      </w:r>
      <w:r w:rsidR="006847E8">
        <w:t xml:space="preserve"> </w:t>
      </w:r>
      <w:r>
        <w:t>Director, Philadelphia Office</w:t>
      </w:r>
      <w:r w:rsidR="001B301E">
        <w:t xml:space="preserve">, </w:t>
      </w:r>
      <w:r w:rsidR="001B301E" w:rsidRPr="00941BF7">
        <w:t xml:space="preserve">Response to </w:t>
      </w:r>
      <w:r w:rsidR="001B301E" w:rsidRPr="00B4780E">
        <w:rPr>
          <w:i/>
        </w:rPr>
        <w:t>NOV</w:t>
      </w:r>
      <w:r>
        <w:t xml:space="preserve"> (</w:t>
      </w:r>
      <w:r w:rsidR="006847E8">
        <w:t>March 4, 2016</w:t>
      </w:r>
      <w:r>
        <w:t>) (on file in EB-FIELDNER-1</w:t>
      </w:r>
      <w:r w:rsidR="000F3075">
        <w:t>5-00019082</w:t>
      </w:r>
      <w:r>
        <w:t>)</w:t>
      </w:r>
      <w:r w:rsidR="009E6C9E">
        <w:t>(</w:t>
      </w:r>
      <w:r w:rsidR="009E6C9E" w:rsidRPr="00941BF7">
        <w:rPr>
          <w:i/>
        </w:rPr>
        <w:t>Response to NOV</w:t>
      </w:r>
      <w:r w:rsidR="009E6C9E">
        <w:t>)</w:t>
      </w:r>
      <w:r w:rsidR="001B301E">
        <w:t>; Letter from Bishop Loran Mann</w:t>
      </w:r>
      <w:r w:rsidR="008D2891">
        <w:t>,</w:t>
      </w:r>
      <w:r w:rsidR="008D2891" w:rsidRPr="008D2891">
        <w:t xml:space="preserve"> </w:t>
      </w:r>
      <w:r w:rsidR="002B205C">
        <w:t xml:space="preserve">President, </w:t>
      </w:r>
      <w:r w:rsidR="008D2891" w:rsidRPr="008D2891">
        <w:t xml:space="preserve">Pentecostal Temple Development Corporation, </w:t>
      </w:r>
      <w:r w:rsidR="001B301E">
        <w:t xml:space="preserve">to David Dombrowski, </w:t>
      </w:r>
      <w:r w:rsidR="00310F00">
        <w:t>District</w:t>
      </w:r>
      <w:r w:rsidR="001B301E">
        <w:t xml:space="preserve"> Director, Philadelphia Office, </w:t>
      </w:r>
      <w:r w:rsidR="001B301E" w:rsidRPr="00941BF7">
        <w:t xml:space="preserve">Supplemental Response to </w:t>
      </w:r>
      <w:r w:rsidR="001B301E" w:rsidRPr="00B4780E">
        <w:rPr>
          <w:i/>
        </w:rPr>
        <w:t>NOV</w:t>
      </w:r>
      <w:r w:rsidR="001B301E">
        <w:t xml:space="preserve"> (March 7, 2016)</w:t>
      </w:r>
      <w:r w:rsidR="00CD3DF5" w:rsidRPr="00CD3DF5">
        <w:t xml:space="preserve"> (on file in EB-FIELDNER-15-000</w:t>
      </w:r>
      <w:r w:rsidR="00E2678A">
        <w:t>20416</w:t>
      </w:r>
      <w:r w:rsidR="00CD3DF5" w:rsidRPr="00CD3DF5">
        <w:t>)</w:t>
      </w:r>
      <w:r w:rsidR="009E6C9E">
        <w:t>(</w:t>
      </w:r>
      <w:r w:rsidR="009E6C9E" w:rsidRPr="00941BF7">
        <w:rPr>
          <w:i/>
        </w:rPr>
        <w:t>Supplemental Response to NOV</w:t>
      </w:r>
      <w:r w:rsidR="003F5559">
        <w:t>)</w:t>
      </w:r>
      <w:r>
        <w:t>.</w:t>
      </w:r>
      <w:r w:rsidR="009D3002">
        <w:t xml:space="preserve">  </w:t>
      </w:r>
    </w:p>
  </w:footnote>
  <w:footnote w:id="12">
    <w:p w:rsidR="000E6418" w:rsidRDefault="000E6418" w:rsidP="000E6418">
      <w:pPr>
        <w:pStyle w:val="FootnoteText"/>
      </w:pPr>
      <w:r>
        <w:rPr>
          <w:rStyle w:val="FootnoteReference"/>
        </w:rPr>
        <w:footnoteRef/>
      </w:r>
      <w:r>
        <w:t xml:space="preserve"> </w:t>
      </w:r>
      <w:r>
        <w:rPr>
          <w:i/>
        </w:rPr>
        <w:t xml:space="preserve">Response to NOV </w:t>
      </w:r>
      <w:r>
        <w:t>at 2.</w:t>
      </w:r>
    </w:p>
  </w:footnote>
  <w:footnote w:id="13">
    <w:p w:rsidR="00D117F6" w:rsidRDefault="00D117F6">
      <w:pPr>
        <w:pStyle w:val="FootnoteText"/>
      </w:pPr>
      <w:r>
        <w:rPr>
          <w:rStyle w:val="FootnoteReference"/>
        </w:rPr>
        <w:footnoteRef/>
      </w:r>
      <w:r>
        <w:t xml:space="preserve"> </w:t>
      </w:r>
      <w:r>
        <w:rPr>
          <w:i/>
        </w:rPr>
        <w:t xml:space="preserve">Response to NOV </w:t>
      </w:r>
      <w:r>
        <w:t>at 2.</w:t>
      </w:r>
    </w:p>
  </w:footnote>
  <w:footnote w:id="14">
    <w:p w:rsidR="00D117F6" w:rsidRDefault="00D117F6">
      <w:pPr>
        <w:pStyle w:val="FootnoteText"/>
      </w:pPr>
      <w:r>
        <w:rPr>
          <w:rStyle w:val="FootnoteReference"/>
        </w:rPr>
        <w:footnoteRef/>
      </w:r>
      <w:r>
        <w:t xml:space="preserve"> </w:t>
      </w:r>
      <w:r w:rsidRPr="005515E4">
        <w:rPr>
          <w:i/>
        </w:rPr>
        <w:t>Response to NOV</w:t>
      </w:r>
      <w:r>
        <w:t xml:space="preserve"> at 3.</w:t>
      </w:r>
      <w:r w:rsidR="006A04D7">
        <w:t xml:space="preserve">  The </w:t>
      </w:r>
      <w:r w:rsidR="006A04D7" w:rsidRPr="005515E4">
        <w:rPr>
          <w:i/>
        </w:rPr>
        <w:t>Supplemental Response to NOV</w:t>
      </w:r>
      <w:r w:rsidR="006A04D7" w:rsidRPr="006A04D7">
        <w:t xml:space="preserve"> at </w:t>
      </w:r>
      <w:r w:rsidR="00D96B18">
        <w:t>Att</w:t>
      </w:r>
      <w:r w:rsidR="006A04D7" w:rsidRPr="006A04D7">
        <w:t xml:space="preserve">. </w:t>
      </w:r>
      <w:r w:rsidR="006A04D7">
        <w:t xml:space="preserve">3 discusses the fact that </w:t>
      </w:r>
      <w:r w:rsidR="00AA75BD">
        <w:t xml:space="preserve">a </w:t>
      </w:r>
      <w:r w:rsidR="006A04D7">
        <w:t xml:space="preserve">NOTAM was </w:t>
      </w:r>
      <w:r w:rsidR="00AA75BD">
        <w:t xml:space="preserve">previously </w:t>
      </w:r>
      <w:r w:rsidR="006A04D7">
        <w:t>filed on December 3, 2015 and</w:t>
      </w:r>
      <w:r w:rsidR="00012059">
        <w:t xml:space="preserve"> </w:t>
      </w:r>
      <w:r w:rsidR="00D96B18">
        <w:t>expired on</w:t>
      </w:r>
      <w:r w:rsidR="00012059">
        <w:t xml:space="preserve"> </w:t>
      </w:r>
      <w:r w:rsidR="006A04D7">
        <w:t xml:space="preserve">January 4, 2016.  </w:t>
      </w:r>
      <w:r w:rsidR="00AA75BD">
        <w:t xml:space="preserve">That </w:t>
      </w:r>
      <w:r w:rsidR="006A04D7">
        <w:t xml:space="preserve">NOTAM </w:t>
      </w:r>
      <w:r w:rsidR="004158F3">
        <w:t xml:space="preserve">does not </w:t>
      </w:r>
      <w:r w:rsidR="00E818A3">
        <w:t xml:space="preserve">contradict </w:t>
      </w:r>
      <w:r w:rsidR="004158F3">
        <w:t xml:space="preserve">the finding that </w:t>
      </w:r>
      <w:r w:rsidR="00051FF5">
        <w:t xml:space="preserve">Pentecostal failed to </w:t>
      </w:r>
      <w:r w:rsidR="00AA75BD">
        <w:t xml:space="preserve">have a NOTAM on </w:t>
      </w:r>
      <w:r w:rsidR="00051FF5">
        <w:t>file on January 5, 2016</w:t>
      </w:r>
      <w:r w:rsidR="00AA75BD">
        <w:t>, as required, when the Commission’s agent inspected the Antenna Structures</w:t>
      </w:r>
      <w:r w:rsidR="006A04D7">
        <w:t>.  Pentecostal also states that NOTAMs were filed on February 4 and 29, 2016, which is not relevant to whether it failed to file the required NOTAM in January, 2016.</w:t>
      </w:r>
    </w:p>
  </w:footnote>
  <w:footnote w:id="15">
    <w:p w:rsidR="0043264A" w:rsidRDefault="0043264A">
      <w:pPr>
        <w:pStyle w:val="FootnoteText"/>
      </w:pPr>
      <w:r>
        <w:rPr>
          <w:rStyle w:val="FootnoteReference"/>
        </w:rPr>
        <w:footnoteRef/>
      </w:r>
      <w:r>
        <w:t xml:space="preserve"> </w:t>
      </w:r>
      <w:r w:rsidRPr="006B6089">
        <w:rPr>
          <w:i/>
        </w:rPr>
        <w:t>Supplemental Response to NOV</w:t>
      </w:r>
      <w:r>
        <w:t xml:space="preserve"> at </w:t>
      </w:r>
      <w:r w:rsidR="00512087">
        <w:t>Att</w:t>
      </w:r>
      <w:r>
        <w:t>. 1.</w:t>
      </w:r>
    </w:p>
  </w:footnote>
  <w:footnote w:id="16">
    <w:p w:rsidR="0043264A" w:rsidRDefault="0043264A">
      <w:pPr>
        <w:pStyle w:val="FootnoteText"/>
      </w:pPr>
      <w:r>
        <w:rPr>
          <w:rStyle w:val="FootnoteReference"/>
        </w:rPr>
        <w:footnoteRef/>
      </w:r>
      <w:r>
        <w:t xml:space="preserve"> </w:t>
      </w:r>
      <w:r w:rsidRPr="00E6267E">
        <w:rPr>
          <w:i/>
        </w:rPr>
        <w:t>Supplemental Response to NOV</w:t>
      </w:r>
      <w:r>
        <w:t xml:space="preserve"> at </w:t>
      </w:r>
      <w:r w:rsidR="00512087">
        <w:t>Att</w:t>
      </w:r>
      <w:r>
        <w:t>. 1.</w:t>
      </w:r>
      <w:r w:rsidR="0058500E" w:rsidRPr="0058500E">
        <w:t xml:space="preserve"> </w:t>
      </w:r>
    </w:p>
  </w:footnote>
  <w:footnote w:id="17">
    <w:p w:rsidR="006E139B" w:rsidRDefault="006E139B">
      <w:pPr>
        <w:pStyle w:val="FootnoteText"/>
      </w:pPr>
      <w:r>
        <w:rPr>
          <w:rStyle w:val="FootnoteReference"/>
        </w:rPr>
        <w:footnoteRef/>
      </w:r>
      <w:r>
        <w:t xml:space="preserve"> </w:t>
      </w:r>
      <w:r w:rsidRPr="006B6089">
        <w:rPr>
          <w:i/>
        </w:rPr>
        <w:t>Supplemental Response to NOV</w:t>
      </w:r>
      <w:r>
        <w:t xml:space="preserve"> at Att. 3.  </w:t>
      </w:r>
      <w:r w:rsidRPr="0058500E">
        <w:t xml:space="preserve">Attachment 2 to the </w:t>
      </w:r>
      <w:r w:rsidRPr="005515E4">
        <w:rPr>
          <w:i/>
        </w:rPr>
        <w:t>Supplemental Response to NOV</w:t>
      </w:r>
      <w:r w:rsidRPr="0058500E">
        <w:t xml:space="preserve"> includes an invoice for lighting repairs made in September 2015</w:t>
      </w:r>
      <w:r>
        <w:t xml:space="preserve">.  </w:t>
      </w:r>
      <w:r w:rsidRPr="0058500E">
        <w:t xml:space="preserve">Attachment 4 to the </w:t>
      </w:r>
      <w:r w:rsidRPr="005515E4">
        <w:rPr>
          <w:i/>
        </w:rPr>
        <w:t>Supplemental Response to NOV</w:t>
      </w:r>
      <w:r w:rsidRPr="0058500E">
        <w:t xml:space="preserve"> is the lighting logs for November and December 2015</w:t>
      </w:r>
      <w:r>
        <w:t xml:space="preserve">.  Attachments 2 and 4 </w:t>
      </w:r>
      <w:r w:rsidR="009E294F">
        <w:t xml:space="preserve">do not provide any information relevant to determining whether the Antenna Structures were adequately painted or lit at the time of the agent’s inspection on </w:t>
      </w:r>
      <w:r>
        <w:t xml:space="preserve">January 5, 2016, </w:t>
      </w:r>
      <w:r w:rsidR="009E294F">
        <w:t xml:space="preserve">and so are </w:t>
      </w:r>
      <w:r>
        <w:t xml:space="preserve">not </w:t>
      </w:r>
      <w:r w:rsidRPr="0058500E">
        <w:t>relevant to the apparent violations at issue in this NAL</w:t>
      </w:r>
      <w:r>
        <w:t>.</w:t>
      </w:r>
      <w:r w:rsidR="004D4CAD">
        <w:t xml:space="preserve"> </w:t>
      </w:r>
    </w:p>
  </w:footnote>
  <w:footnote w:id="18">
    <w:p w:rsidR="0004744A" w:rsidRPr="00981F23" w:rsidRDefault="0004744A" w:rsidP="0004744A">
      <w:pPr>
        <w:pStyle w:val="FootnoteText"/>
      </w:pPr>
      <w:r w:rsidRPr="00EF0C6E">
        <w:rPr>
          <w:rStyle w:val="FootnoteReference"/>
          <w:color w:val="000000"/>
        </w:rPr>
        <w:footnoteRef/>
      </w:r>
      <w:r w:rsidRPr="00981F23">
        <w:t xml:space="preserve"> 47 U.S.C. § 503(b).</w:t>
      </w:r>
    </w:p>
  </w:footnote>
  <w:footnote w:id="19">
    <w:p w:rsidR="0004744A" w:rsidRPr="00981F23" w:rsidRDefault="0004744A" w:rsidP="0004744A">
      <w:pPr>
        <w:pStyle w:val="FootnoteText"/>
      </w:pPr>
      <w:r w:rsidRPr="00EF0C6E">
        <w:rPr>
          <w:rStyle w:val="FootnoteReference"/>
          <w:color w:val="000000"/>
        </w:rPr>
        <w:footnoteRef/>
      </w:r>
      <w:r w:rsidRPr="00981F23">
        <w:t xml:space="preserve"> 47 U.S.C. § 312(f)(1).  </w:t>
      </w:r>
      <w:r w:rsidRPr="00981F23">
        <w:rPr>
          <w:spacing w:val="-3"/>
          <w:szCs w:val="22"/>
        </w:rPr>
        <w:t xml:space="preserve">The legislative history to Section 312(f)(1) of the Act clarifies that this definition of willful applies to both Sections 312 and 503(b) of the Act, and the Commission has so interpreted the term in the Section 503(b) context.  </w:t>
      </w:r>
      <w:r w:rsidRPr="00981F23">
        <w:t>H.R. Rep. No. 97-765, 97</w:t>
      </w:r>
      <w:r w:rsidRPr="00981F23">
        <w:rPr>
          <w:vertAlign w:val="superscript"/>
        </w:rPr>
        <w:t>th</w:t>
      </w:r>
      <w:r w:rsidRPr="00981F23">
        <w:t xml:space="preserve"> Cong. 2d Sess. 51 (1982) (“</w:t>
      </w:r>
      <w:r w:rsidRPr="00981F23">
        <w:rPr>
          <w:rStyle w:val="documentbody"/>
        </w:rPr>
        <w:t xml:space="preserve">This provision [inserted in Section 312] defines the terms ‘willful’ and ‘repeated’ for purposes of section </w:t>
      </w:r>
      <w:r w:rsidRPr="00981F23">
        <w:rPr>
          <w:rStyle w:val="searchterm"/>
        </w:rPr>
        <w:t>312</w:t>
      </w:r>
      <w:r w:rsidRPr="00981F23">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981F23">
        <w:rPr>
          <w:rStyle w:val="searchterm"/>
        </w:rPr>
        <w:t>312</w:t>
      </w:r>
      <w:r w:rsidRPr="00981F23">
        <w:rPr>
          <w:rStyle w:val="documentbody"/>
        </w:rPr>
        <w:t xml:space="preserve"> and 503, and are consistent with the Commission’s application of those terms . . . .”); </w:t>
      </w:r>
      <w:r w:rsidRPr="00981F23">
        <w:rPr>
          <w:i/>
        </w:rPr>
        <w:t>see, e.g.</w:t>
      </w:r>
      <w:r w:rsidRPr="00981F23">
        <w:t>,</w:t>
      </w:r>
      <w:r w:rsidRPr="00981F23">
        <w:rPr>
          <w:i/>
        </w:rPr>
        <w:t xml:space="preserve"> S. Cal. Broad. Co.</w:t>
      </w:r>
      <w:r w:rsidRPr="00981F23">
        <w:t xml:space="preserve">, Memorandum Opinion and Order, 6 FCC Rcd 4387, 4388, para. 5 (1991), </w:t>
      </w:r>
      <w:r w:rsidRPr="00981F23">
        <w:rPr>
          <w:i/>
        </w:rPr>
        <w:t>recons. denied</w:t>
      </w:r>
      <w:r w:rsidRPr="00981F23">
        <w:t>,</w:t>
      </w:r>
      <w:r w:rsidRPr="00981F23">
        <w:rPr>
          <w:i/>
        </w:rPr>
        <w:t xml:space="preserve"> </w:t>
      </w:r>
      <w:r w:rsidRPr="00981F23">
        <w:t>7 FCC Rcd 3454 (1992).</w:t>
      </w:r>
      <w:r w:rsidRPr="00981F23">
        <w:rPr>
          <w:spacing w:val="-3"/>
          <w:szCs w:val="22"/>
        </w:rPr>
        <w:t xml:space="preserve">  </w:t>
      </w:r>
    </w:p>
  </w:footnote>
  <w:footnote w:id="20">
    <w:p w:rsidR="0004744A" w:rsidRPr="00981F23" w:rsidRDefault="0004744A" w:rsidP="0004744A">
      <w:pPr>
        <w:pStyle w:val="FootnoteText"/>
      </w:pPr>
      <w:r w:rsidRPr="00EF0C6E">
        <w:rPr>
          <w:rStyle w:val="FootnoteReference"/>
          <w:color w:val="000000"/>
        </w:rPr>
        <w:footnoteRef/>
      </w:r>
      <w:r w:rsidRPr="00981F23">
        <w:t xml:space="preserve"> </w:t>
      </w:r>
      <w:r w:rsidRPr="00981F23">
        <w:rPr>
          <w:i/>
        </w:rPr>
        <w:t>See, e.g.</w:t>
      </w:r>
      <w:r w:rsidRPr="00981F23">
        <w:t xml:space="preserve">, </w:t>
      </w:r>
      <w:r w:rsidRPr="00981F23">
        <w:rPr>
          <w:i/>
        </w:rPr>
        <w:t>Callais Cablevision, Inc.</w:t>
      </w:r>
      <w:r w:rsidRPr="00981F23">
        <w:t>, Notice of Apparent Liability for Monetary Forfeiture, 16 FCC Rcd 1359, 1362, para. 10 (2001) (</w:t>
      </w:r>
      <w:r w:rsidRPr="00981F23">
        <w:rPr>
          <w:i/>
        </w:rPr>
        <w:t>Callais Cablevision, Inc.</w:t>
      </w:r>
      <w:r w:rsidRPr="00981F23">
        <w:t xml:space="preserve">) (proposing a forfeiture for, </w:t>
      </w:r>
      <w:r w:rsidRPr="00981F23">
        <w:rPr>
          <w:i/>
        </w:rPr>
        <w:t>inter alia</w:t>
      </w:r>
      <w:r w:rsidRPr="00981F23">
        <w:t xml:space="preserve">, a cable television operator’s repeated signal leakage). </w:t>
      </w:r>
    </w:p>
  </w:footnote>
  <w:footnote w:id="21">
    <w:p w:rsidR="0004744A" w:rsidRPr="008C10CC" w:rsidRDefault="0004744A" w:rsidP="0004744A">
      <w:pPr>
        <w:pStyle w:val="FootnoteText"/>
      </w:pPr>
      <w:r w:rsidRPr="00EF0C6E">
        <w:rPr>
          <w:rStyle w:val="FootnoteReference"/>
          <w:color w:val="000000"/>
        </w:rPr>
        <w:footnoteRef/>
      </w:r>
      <w:r w:rsidRPr="00981F23">
        <w:t xml:space="preserve"> </w:t>
      </w:r>
      <w:r w:rsidRPr="00981F23">
        <w:rPr>
          <w:i/>
        </w:rPr>
        <w:t>See</w:t>
      </w:r>
      <w:r w:rsidRPr="00981F23">
        <w:t xml:space="preserve"> 47 U.S.C. § 312(f)(2);</w:t>
      </w:r>
      <w:r w:rsidRPr="00981F23">
        <w:rPr>
          <w:i/>
        </w:rPr>
        <w:t xml:space="preserve"> Callais Cablevision, Inc.</w:t>
      </w:r>
      <w:r w:rsidRPr="00981F23">
        <w:t>, 16 FCC Rcd</w:t>
      </w:r>
      <w:r w:rsidRPr="00981F23">
        <w:rPr>
          <w:i/>
        </w:rPr>
        <w:t xml:space="preserve"> </w:t>
      </w:r>
      <w:r w:rsidRPr="00981F23">
        <w:t>at 1362, para. 9.</w:t>
      </w:r>
    </w:p>
  </w:footnote>
  <w:footnote w:id="22">
    <w:p w:rsidR="00D95612" w:rsidRDefault="00D95612" w:rsidP="00D95612">
      <w:pPr>
        <w:pStyle w:val="FootnoteText"/>
      </w:pPr>
      <w:r>
        <w:rPr>
          <w:rStyle w:val="FootnoteReference"/>
        </w:rPr>
        <w:footnoteRef/>
      </w:r>
      <w:r>
        <w:t xml:space="preserve"> 47 U.S.C. § 303(q).</w:t>
      </w:r>
    </w:p>
  </w:footnote>
  <w:footnote w:id="23">
    <w:p w:rsidR="00D95612" w:rsidRDefault="00D95612" w:rsidP="00D95612">
      <w:pPr>
        <w:pStyle w:val="FootnoteText"/>
      </w:pPr>
      <w:r>
        <w:rPr>
          <w:rStyle w:val="FootnoteReference"/>
        </w:rPr>
        <w:footnoteRef/>
      </w:r>
      <w:r>
        <w:t xml:space="preserve"> 47 C.F.R. § 17.50</w:t>
      </w:r>
      <w:r w:rsidR="00004561">
        <w:t>(a)</w:t>
      </w:r>
      <w:r>
        <w:t>.</w:t>
      </w:r>
    </w:p>
  </w:footnote>
  <w:footnote w:id="24">
    <w:p w:rsidR="006061B9" w:rsidRDefault="006061B9">
      <w:pPr>
        <w:pStyle w:val="FootnoteText"/>
      </w:pPr>
      <w:r>
        <w:rPr>
          <w:rStyle w:val="FootnoteReference"/>
        </w:rPr>
        <w:footnoteRef/>
      </w:r>
      <w:r>
        <w:t xml:space="preserve"> </w:t>
      </w:r>
      <w:r>
        <w:rPr>
          <w:i/>
        </w:rPr>
        <w:t xml:space="preserve">Response to NOV </w:t>
      </w:r>
      <w:r>
        <w:t xml:space="preserve">at 2. </w:t>
      </w:r>
    </w:p>
  </w:footnote>
  <w:footnote w:id="25">
    <w:p w:rsidR="002C238C" w:rsidRPr="00B87177" w:rsidRDefault="002C238C">
      <w:pPr>
        <w:pStyle w:val="FootnoteText"/>
        <w:rPr>
          <w:b/>
        </w:rPr>
      </w:pPr>
      <w:r>
        <w:rPr>
          <w:rStyle w:val="FootnoteReference"/>
        </w:rPr>
        <w:footnoteRef/>
      </w:r>
      <w:r>
        <w:t xml:space="preserve"> </w:t>
      </w:r>
      <w:r w:rsidR="000B3528" w:rsidRPr="00C008EE">
        <w:rPr>
          <w:i/>
        </w:rPr>
        <w:t>See</w:t>
      </w:r>
      <w:r w:rsidR="000B3528">
        <w:t xml:space="preserve"> ASR 1026648 and 1026650 </w:t>
      </w:r>
      <w:r w:rsidR="000B3528" w:rsidRPr="009E6C9E">
        <w:t>(on file in EB-FIELDNER-15-000</w:t>
      </w:r>
      <w:r w:rsidR="000B3528">
        <w:t>20416</w:t>
      </w:r>
      <w:r w:rsidR="000B3528" w:rsidRPr="009E6C9E">
        <w:t>)</w:t>
      </w:r>
      <w:r w:rsidR="000B3528">
        <w:t>.</w:t>
      </w:r>
      <w:r>
        <w:rPr>
          <w:b/>
        </w:rPr>
        <w:t xml:space="preserve"> </w:t>
      </w:r>
    </w:p>
  </w:footnote>
  <w:footnote w:id="26">
    <w:p w:rsidR="00D55A81" w:rsidRDefault="00D55A81">
      <w:pPr>
        <w:pStyle w:val="FootnoteText"/>
      </w:pPr>
      <w:r>
        <w:rPr>
          <w:rStyle w:val="FootnoteReference"/>
        </w:rPr>
        <w:footnoteRef/>
      </w:r>
      <w:r>
        <w:t xml:space="preserve"> 47 C.F.R. § 17.23.</w:t>
      </w:r>
    </w:p>
  </w:footnote>
  <w:footnote w:id="27">
    <w:p w:rsidR="00452085" w:rsidRDefault="00452085">
      <w:pPr>
        <w:pStyle w:val="FootnoteText"/>
      </w:pPr>
      <w:r>
        <w:rPr>
          <w:rStyle w:val="FootnoteReference"/>
        </w:rPr>
        <w:footnoteRef/>
      </w:r>
      <w:r>
        <w:t xml:space="preserve"> </w:t>
      </w:r>
      <w:r>
        <w:rPr>
          <w:i/>
        </w:rPr>
        <w:t xml:space="preserve">Response to NOV </w:t>
      </w:r>
      <w:r>
        <w:t>at 2.</w:t>
      </w:r>
      <w:r w:rsidR="00C02F5F">
        <w:t xml:space="preserve">  </w:t>
      </w:r>
      <w:r w:rsidR="00C02F5F">
        <w:rPr>
          <w:i/>
        </w:rPr>
        <w:t>See also</w:t>
      </w:r>
      <w:r w:rsidR="00C02F5F">
        <w:t xml:space="preserve"> </w:t>
      </w:r>
      <w:r w:rsidR="00C02F5F" w:rsidRPr="006B6089">
        <w:rPr>
          <w:i/>
        </w:rPr>
        <w:t>Supplemental Response to NOV</w:t>
      </w:r>
      <w:r w:rsidR="00C02F5F">
        <w:t xml:space="preserve"> at Att. 1 (admitting the lighting outages).</w:t>
      </w:r>
      <w:r>
        <w:t xml:space="preserve"> </w:t>
      </w:r>
    </w:p>
  </w:footnote>
  <w:footnote w:id="28">
    <w:p w:rsidR="00933D09" w:rsidRDefault="00933D09" w:rsidP="00933D09">
      <w:pPr>
        <w:pStyle w:val="FootnoteText"/>
      </w:pPr>
      <w:r>
        <w:rPr>
          <w:rStyle w:val="FootnoteReference"/>
        </w:rPr>
        <w:footnoteRef/>
      </w:r>
      <w:r>
        <w:t xml:space="preserve"> </w:t>
      </w:r>
      <w:r w:rsidRPr="004967E2">
        <w:t>47 C.F.R. §</w:t>
      </w:r>
      <w:r>
        <w:t xml:space="preserve"> </w:t>
      </w:r>
      <w:r w:rsidRPr="004967E2">
        <w:t xml:space="preserve">17.48(a).  Under </w:t>
      </w:r>
      <w:r w:rsidR="00DB53A5">
        <w:t>S</w:t>
      </w:r>
      <w:r w:rsidRPr="004967E2">
        <w:t xml:space="preserve">ection 17.48(b), side beacon lighting outages </w:t>
      </w:r>
      <w:r>
        <w:t xml:space="preserve">must be corrected “as soon as practicable,” but </w:t>
      </w:r>
      <w:r w:rsidRPr="004967E2">
        <w:t xml:space="preserve">are not required to be reported to the FAA.  47 C.F.R. §17.48(b).  </w:t>
      </w:r>
    </w:p>
  </w:footnote>
  <w:footnote w:id="29">
    <w:p w:rsidR="00B53A07" w:rsidRDefault="00B53A07">
      <w:pPr>
        <w:pStyle w:val="FootnoteText"/>
      </w:pPr>
      <w:r>
        <w:rPr>
          <w:rStyle w:val="FootnoteReference"/>
        </w:rPr>
        <w:footnoteRef/>
      </w:r>
      <w:r>
        <w:t xml:space="preserve"> </w:t>
      </w:r>
      <w:r w:rsidRPr="006B6089">
        <w:rPr>
          <w:i/>
        </w:rPr>
        <w:t>Supplemental Response to NOV</w:t>
      </w:r>
      <w:r>
        <w:t xml:space="preserve"> at Att. 3.   </w:t>
      </w:r>
    </w:p>
  </w:footnote>
  <w:footnote w:id="30">
    <w:p w:rsidR="000A633B" w:rsidRPr="00981F23" w:rsidRDefault="000A633B" w:rsidP="00796CA3">
      <w:pPr>
        <w:pStyle w:val="FootnoteText"/>
        <w:rPr>
          <w:b/>
          <w:i/>
        </w:rPr>
      </w:pPr>
      <w:r w:rsidRPr="00EF0C6E">
        <w:rPr>
          <w:rStyle w:val="FootnoteReference"/>
          <w:color w:val="000000"/>
        </w:rPr>
        <w:footnoteRef/>
      </w:r>
      <w:r w:rsidRPr="00981F23">
        <w:t xml:space="preserve"> 47 U.S.C. § 503(b).</w:t>
      </w:r>
      <w:r w:rsidR="007C1D7D">
        <w:t xml:space="preserve"> </w:t>
      </w:r>
    </w:p>
  </w:footnote>
  <w:footnote w:id="31">
    <w:p w:rsidR="002F3CB7" w:rsidRPr="00981F23" w:rsidRDefault="002F3CB7" w:rsidP="002F3CB7">
      <w:pPr>
        <w:pStyle w:val="FootnoteText"/>
      </w:pPr>
      <w:r w:rsidRPr="00EF0C6E">
        <w:rPr>
          <w:rStyle w:val="FootnoteReference"/>
          <w:color w:val="000000"/>
        </w:rPr>
        <w:footnoteRef/>
      </w:r>
      <w:r w:rsidRPr="00981F23">
        <w:t xml:space="preserve"> </w:t>
      </w:r>
      <w:r w:rsidR="000446F9" w:rsidRPr="00C1502E">
        <w:rPr>
          <w:i/>
        </w:rPr>
        <w:t>See</w:t>
      </w:r>
      <w:r w:rsidR="000446F9" w:rsidRPr="000446F9">
        <w:t xml:space="preserve"> 47 U.S.C. § 503(b)(2)(</w:t>
      </w:r>
      <w:r w:rsidR="00B816CA">
        <w:t>A</w:t>
      </w:r>
      <w:r w:rsidR="000446F9" w:rsidRPr="000446F9">
        <w:t>); 47 CFR §§ 1.80(b)(7), (9).  These amounts reflect inflation adjustments to the forfeitures specified in Section 503(b)(2)(</w:t>
      </w:r>
      <w:r w:rsidR="00B816CA">
        <w:t>A</w:t>
      </w:r>
      <w:r w:rsidR="000446F9" w:rsidRPr="000446F9">
        <w:t>) ($</w:t>
      </w:r>
      <w:r w:rsidR="00B816CA">
        <w:t>25</w:t>
      </w:r>
      <w:r w:rsidR="000446F9" w:rsidRPr="000446F9">
        <w:t>,000 per violation or per day of a continuing violation and $</w:t>
      </w:r>
      <w:r w:rsidR="00B816CA">
        <w:t>250</w:t>
      </w:r>
      <w:r w:rsidR="000446F9" w:rsidRPr="000446F9">
        <w:t xml:space="preserve">,000 per any single act or failure to act).  The Federal Civil Penalties Inflation Adjustment Act of 1990, Pub. L. No. 101-410, 104 Stat. 890, as amended by the Debt Collection Improvement Act of 1996, Pub. L. No. 104-134, Sec. 31001, 110 Stat. 1321 (DCIA), as further amended by the Federal Reports Elimination Act of 1998, Pub. L. No. 105-362, Sec. 1301, 112 Stat. 3280, 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000446F9" w:rsidRPr="00C1502E">
        <w:rPr>
          <w:i/>
        </w:rPr>
        <w:t>See</w:t>
      </w:r>
      <w:r w:rsidR="000446F9" w:rsidRPr="000446F9">
        <w:t xml:space="preserve"> 28 U.S.C. § 2461 note.  The Commission published those interim final rules on June 30, 2016.  </w:t>
      </w:r>
      <w:r w:rsidR="000446F9" w:rsidRPr="00C1502E">
        <w:rPr>
          <w:i/>
        </w:rPr>
        <w:t>See Amendment of Section 1.80(b) of the Commission’s Rules, Adjustment of Civil Monetary Penalties to Reflect Inflation, Order</w:t>
      </w:r>
      <w:r w:rsidR="000446F9" w:rsidRPr="000446F9">
        <w:t xml:space="preserve">, 31 FCC Rcd 6793 (EB 2016); </w:t>
      </w:r>
      <w:r w:rsidR="000446F9" w:rsidRPr="00C1502E">
        <w:rPr>
          <w:i/>
        </w:rPr>
        <w:t>see also</w:t>
      </w:r>
      <w:r w:rsidR="000446F9" w:rsidRPr="000446F9">
        <w:t xml:space="preserve"> Adjustment of Civil Monetary Penalties to Reflect Inflation,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000446F9" w:rsidRPr="00C1502E">
        <w:rPr>
          <w:i/>
        </w:rPr>
        <w:t>See</w:t>
      </w:r>
      <w:r w:rsidR="000446F9" w:rsidRPr="000446F9">
        <w:t xml:space="preserve"> 28 U.S.C. § 2461 note (6).</w:t>
      </w:r>
      <w:r w:rsidRPr="00981F23">
        <w:t xml:space="preserve">  </w:t>
      </w:r>
    </w:p>
  </w:footnote>
  <w:footnote w:id="32">
    <w:p w:rsidR="002F3CB7" w:rsidRPr="00981F23" w:rsidRDefault="002F3CB7" w:rsidP="002F3CB7">
      <w:pPr>
        <w:pStyle w:val="FootnoteText"/>
        <w:rPr>
          <w:lang w:val="es-ES"/>
        </w:rPr>
      </w:pPr>
      <w:r w:rsidRPr="00EF0C6E">
        <w:rPr>
          <w:rStyle w:val="FootnoteReference"/>
          <w:color w:val="000000"/>
        </w:rPr>
        <w:footnoteRef/>
      </w:r>
      <w:r w:rsidRPr="00981F23">
        <w:rPr>
          <w:lang w:val="es-ES"/>
        </w:rPr>
        <w:t xml:space="preserve"> 47 U.S.C. § 503(b)(2)(E).</w:t>
      </w:r>
    </w:p>
  </w:footnote>
  <w:footnote w:id="33">
    <w:p w:rsidR="00EA5433" w:rsidRPr="00981F23" w:rsidRDefault="00EA5433" w:rsidP="00EA5433">
      <w:pPr>
        <w:pStyle w:val="FootnoteText"/>
      </w:pPr>
      <w:r w:rsidRPr="00EF0C6E">
        <w:rPr>
          <w:rStyle w:val="FootnoteReference"/>
          <w:color w:val="000000"/>
        </w:rPr>
        <w:footnoteRef/>
      </w:r>
      <w:r w:rsidRPr="00981F23">
        <w:t xml:space="preserve"> 47 </w:t>
      </w:r>
      <w:r w:rsidR="00C23859">
        <w:t>CFR</w:t>
      </w:r>
      <w:r w:rsidRPr="00981F23">
        <w:t xml:space="preserve"> § 1.80(b)(8), Note to paragraph (b)(8). </w:t>
      </w:r>
    </w:p>
  </w:footnote>
  <w:footnote w:id="34">
    <w:p w:rsidR="00EA5433" w:rsidRPr="00981F23" w:rsidRDefault="00EA5433" w:rsidP="00EA5433">
      <w:pPr>
        <w:pStyle w:val="FootnoteText"/>
      </w:pPr>
      <w:r w:rsidRPr="00EF0C6E">
        <w:rPr>
          <w:rStyle w:val="FootnoteReference"/>
          <w:color w:val="000000"/>
        </w:rPr>
        <w:footnoteRef/>
      </w:r>
      <w:r w:rsidRPr="00981F23">
        <w:t xml:space="preserve"> </w:t>
      </w:r>
      <w:r w:rsidRPr="00981F23">
        <w:rPr>
          <w:i/>
        </w:rPr>
        <w:t>Id</w:t>
      </w:r>
      <w:r w:rsidRPr="00981F23">
        <w:t>.</w:t>
      </w:r>
    </w:p>
  </w:footnote>
  <w:footnote w:id="35">
    <w:p w:rsidR="006C04C6" w:rsidRDefault="006C04C6" w:rsidP="006C04C6">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xml:space="preserve">, Report and Order, 12 FCC Rcd 17087 (1997) </w:t>
      </w:r>
      <w:r>
        <w:rPr>
          <w:i/>
        </w:rPr>
        <w:t>(“Forfeiture Policy Statement</w:t>
      </w:r>
      <w:r>
        <w:t xml:space="preserve">”), </w:t>
      </w:r>
      <w:r>
        <w:rPr>
          <w:i/>
        </w:rPr>
        <w:t>recon. denied</w:t>
      </w:r>
      <w:r>
        <w:t>, 15 FCC Rcd 303 (1999); 47 C.F.R. § 1.80.</w:t>
      </w:r>
    </w:p>
  </w:footnote>
  <w:footnote w:id="36">
    <w:p w:rsidR="006C04C6" w:rsidRDefault="006C04C6" w:rsidP="006C04C6">
      <w:pPr>
        <w:pStyle w:val="FootnoteText"/>
      </w:pPr>
      <w:r>
        <w:rPr>
          <w:rStyle w:val="FootnoteReference"/>
        </w:rPr>
        <w:footnoteRef/>
      </w:r>
      <w:r>
        <w:t xml:space="preserve"> 47 U.S.C. § 503(b)(2)(E).</w:t>
      </w:r>
    </w:p>
  </w:footnote>
  <w:footnote w:id="37">
    <w:p w:rsidR="000A633B" w:rsidRPr="00981F23" w:rsidRDefault="000A633B" w:rsidP="00796CA3">
      <w:pPr>
        <w:pStyle w:val="FootnoteText"/>
        <w:widowControl w:val="0"/>
      </w:pPr>
      <w:r w:rsidRPr="00EF0C6E">
        <w:rPr>
          <w:rStyle w:val="FootnoteReference"/>
          <w:color w:val="000000"/>
        </w:rPr>
        <w:footnoteRef/>
      </w:r>
      <w:r w:rsidRPr="00981F23">
        <w:t xml:space="preserve"> 47 U.S.C. § 503(b).</w:t>
      </w:r>
    </w:p>
  </w:footnote>
  <w:footnote w:id="38">
    <w:p w:rsidR="000A633B" w:rsidRPr="00981F23" w:rsidRDefault="000A633B" w:rsidP="00796CA3">
      <w:pPr>
        <w:pStyle w:val="FootnoteText"/>
      </w:pPr>
      <w:r w:rsidRPr="00EF0C6E">
        <w:rPr>
          <w:rStyle w:val="FootnoteReference"/>
          <w:color w:val="000000"/>
        </w:rPr>
        <w:footnoteRef/>
      </w:r>
      <w:r w:rsidRPr="00981F23">
        <w:rPr>
          <w:lang w:val="es-ES"/>
        </w:rPr>
        <w:t xml:space="preserve"> 47 </w:t>
      </w:r>
      <w:r w:rsidR="00C23859">
        <w:rPr>
          <w:lang w:val="es-ES"/>
        </w:rPr>
        <w:t>CFR</w:t>
      </w:r>
      <w:r w:rsidRPr="00981F23">
        <w:rPr>
          <w:lang w:val="es-ES"/>
        </w:rPr>
        <w:t xml:space="preserve"> § 1.80.</w:t>
      </w:r>
    </w:p>
  </w:footnote>
  <w:footnote w:id="39">
    <w:p w:rsidR="000A633B" w:rsidRPr="00981F23" w:rsidRDefault="000A633B" w:rsidP="00796CA3">
      <w:pPr>
        <w:pStyle w:val="FootnoteText"/>
      </w:pPr>
      <w:r w:rsidRPr="00EF0C6E">
        <w:rPr>
          <w:rStyle w:val="FootnoteReference"/>
          <w:color w:val="000000"/>
        </w:rPr>
        <w:footnoteRef/>
      </w:r>
      <w:r w:rsidRPr="00981F23">
        <w:rPr>
          <w:lang w:val="es-ES"/>
        </w:rPr>
        <w:t xml:space="preserve"> 47 U.S.C. § </w:t>
      </w:r>
      <w:r w:rsidR="008F52A8">
        <w:rPr>
          <w:lang w:val="es-ES"/>
        </w:rPr>
        <w:t>303(q).</w:t>
      </w:r>
    </w:p>
  </w:footnote>
  <w:footnote w:id="40">
    <w:p w:rsidR="000A633B" w:rsidRPr="00981F23" w:rsidRDefault="000A633B" w:rsidP="00796CA3">
      <w:pPr>
        <w:pStyle w:val="FootnoteText"/>
      </w:pPr>
      <w:r w:rsidRPr="00EF0C6E">
        <w:rPr>
          <w:rStyle w:val="FootnoteReference"/>
          <w:color w:val="000000"/>
        </w:rPr>
        <w:footnoteRef/>
      </w:r>
      <w:r w:rsidRPr="00981F23">
        <w:rPr>
          <w:lang w:val="es-ES"/>
        </w:rPr>
        <w:t xml:space="preserve"> 47 </w:t>
      </w:r>
      <w:r w:rsidR="00C23859">
        <w:rPr>
          <w:lang w:val="es-ES"/>
        </w:rPr>
        <w:t>CFR</w:t>
      </w:r>
      <w:r w:rsidRPr="00981F23">
        <w:rPr>
          <w:lang w:val="es-ES"/>
        </w:rPr>
        <w:t xml:space="preserve"> §</w:t>
      </w:r>
      <w:r w:rsidR="00BF461A">
        <w:rPr>
          <w:lang w:val="es-ES"/>
        </w:rPr>
        <w:t>§</w:t>
      </w:r>
      <w:r w:rsidRPr="00981F23">
        <w:rPr>
          <w:lang w:val="es-ES"/>
        </w:rPr>
        <w:t xml:space="preserve"> </w:t>
      </w:r>
      <w:r w:rsidR="005A1040">
        <w:rPr>
          <w:lang w:val="es-ES"/>
        </w:rPr>
        <w:t xml:space="preserve">17.23, </w:t>
      </w:r>
      <w:r w:rsidR="00BF461A">
        <w:rPr>
          <w:lang w:val="es-ES"/>
        </w:rPr>
        <w:t xml:space="preserve">17.48, </w:t>
      </w:r>
      <w:r w:rsidR="008F52A8">
        <w:rPr>
          <w:lang w:val="es-ES"/>
        </w:rPr>
        <w:t>17.50(a)</w:t>
      </w:r>
      <w:r w:rsidRPr="00981F23">
        <w:rPr>
          <w:lang w:val="es-ES"/>
        </w:rPr>
        <w:t>.</w:t>
      </w:r>
    </w:p>
  </w:footnote>
  <w:footnote w:id="41">
    <w:p w:rsidR="000A633B" w:rsidRPr="00981F23" w:rsidRDefault="000A633B" w:rsidP="00796CA3">
      <w:pPr>
        <w:pStyle w:val="FootnoteText"/>
      </w:pPr>
      <w:r w:rsidRPr="00EF0C6E">
        <w:rPr>
          <w:rStyle w:val="FootnoteReference"/>
          <w:color w:val="000000"/>
        </w:rPr>
        <w:footnoteRef/>
      </w:r>
      <w:r w:rsidRPr="00981F23">
        <w:t xml:space="preserve"> 47 </w:t>
      </w:r>
      <w:r w:rsidR="00C23859">
        <w:t>CFR</w:t>
      </w:r>
      <w:r w:rsidRPr="00981F23">
        <w:t xml:space="preserve"> § 1.80.</w:t>
      </w:r>
    </w:p>
  </w:footnote>
  <w:footnote w:id="42">
    <w:p w:rsidR="000A633B" w:rsidRPr="00981F23" w:rsidRDefault="000A633B" w:rsidP="00796CA3">
      <w:pPr>
        <w:pStyle w:val="FootnoteText"/>
      </w:pPr>
      <w:r w:rsidRPr="00EF0C6E">
        <w:rPr>
          <w:rStyle w:val="FootnoteReference"/>
          <w:color w:val="000000"/>
        </w:rPr>
        <w:footnoteRef/>
      </w:r>
      <w:r w:rsidRPr="00981F23">
        <w:t xml:space="preserve"> </w:t>
      </w:r>
      <w:r w:rsidRPr="00981F23">
        <w:rPr>
          <w:rFonts w:eastAsia="MS Mincho"/>
        </w:rPr>
        <w:t>An FCC Form 159 and detailed instructions for completing the form may be obtained at http://www.fcc.gov/Forms/Form159/159.pdf.</w:t>
      </w:r>
    </w:p>
  </w:footnote>
  <w:footnote w:id="43">
    <w:p w:rsidR="00BC1F16" w:rsidRDefault="00BC1F16">
      <w:pPr>
        <w:pStyle w:val="FootnoteText"/>
      </w:pPr>
      <w:r>
        <w:rPr>
          <w:rStyle w:val="FootnoteReference"/>
        </w:rPr>
        <w:footnoteRef/>
      </w:r>
      <w:r>
        <w:t xml:space="preserve"> </w:t>
      </w:r>
      <w:r w:rsidRPr="00344C0B">
        <w:rPr>
          <w:i/>
        </w:rPr>
        <w:t>See</w:t>
      </w:r>
      <w:r w:rsidRPr="00344C0B">
        <w:t xml:space="preserve"> 47 </w:t>
      </w:r>
      <w:r w:rsidR="00C23859">
        <w:t>CFR</w:t>
      </w:r>
      <w:r w:rsidRPr="00344C0B">
        <w:t xml:space="preserve"> § 1.1914.</w:t>
      </w:r>
    </w:p>
  </w:footnote>
  <w:footnote w:id="44">
    <w:p w:rsidR="000A633B" w:rsidRPr="00981F23" w:rsidRDefault="000A633B" w:rsidP="00796CA3">
      <w:pPr>
        <w:pStyle w:val="FootnoteText"/>
      </w:pPr>
      <w:r w:rsidRPr="00EF0C6E">
        <w:rPr>
          <w:rStyle w:val="FootnoteReference"/>
          <w:color w:val="000000"/>
        </w:rPr>
        <w:footnoteRef/>
      </w:r>
      <w:r w:rsidRPr="00981F23">
        <w:t xml:space="preserve"> 47 </w:t>
      </w:r>
      <w:r w:rsidR="00C23859">
        <w:t>CFR</w:t>
      </w:r>
      <w:r w:rsidRPr="00981F23">
        <w:t xml:space="preserve">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7E" w:rsidRDefault="00D70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B" w:rsidRPr="00F60397" w:rsidRDefault="00C165E3" w:rsidP="00F60397">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158CD" id="Rectangle 2"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0A633B" w:rsidRPr="00F60397">
      <w:rPr>
        <w:b/>
      </w:rPr>
      <w:tab/>
      <w:t>Federal Communications Commission</w:t>
    </w:r>
    <w:r w:rsidR="000A633B" w:rsidRPr="00F60397">
      <w:rPr>
        <w:b/>
      </w:rPr>
      <w:tab/>
    </w:r>
    <w:r w:rsidR="002822CD">
      <w:rPr>
        <w:b/>
      </w:rPr>
      <w:t>DA</w:t>
    </w:r>
    <w:r w:rsidR="000A633B">
      <w:rPr>
        <w:b/>
      </w:rPr>
      <w:t xml:space="preserve"> </w:t>
    </w:r>
    <w:r w:rsidR="00B5081F">
      <w:rPr>
        <w:b/>
      </w:rPr>
      <w:t>16-1459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C6" w:rsidRDefault="009E1FC6" w:rsidP="009E1FC6">
    <w:pPr>
      <w:pStyle w:val="Header"/>
    </w:pPr>
  </w:p>
  <w:p w:rsidR="00B5081F" w:rsidRDefault="00B5081F" w:rsidP="009E1FC6">
    <w:pPr>
      <w:pStyle w:val="Header"/>
    </w:pPr>
  </w:p>
  <w:p w:rsidR="000A633B" w:rsidRPr="00F60397" w:rsidRDefault="00C165E3" w:rsidP="00F60397">
    <w:pPr>
      <w:tabs>
        <w:tab w:val="center" w:pos="4680"/>
        <w:tab w:val="right" w:pos="9360"/>
      </w:tabs>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25B76"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000A633B" w:rsidRPr="00F60397">
      <w:rPr>
        <w:b/>
      </w:rPr>
      <w:tab/>
      <w:t>Federal Communications Commission</w:t>
    </w:r>
    <w:r w:rsidR="000A633B" w:rsidRPr="00F60397">
      <w:rPr>
        <w:b/>
      </w:rPr>
      <w:tab/>
    </w:r>
    <w:r w:rsidR="005B2454">
      <w:rPr>
        <w:b/>
      </w:rPr>
      <w:t>DA</w:t>
    </w:r>
    <w:r w:rsidR="00B5081F">
      <w:rPr>
        <w:b/>
      </w:rPr>
      <w:t xml:space="preserve"> 16-1459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69222"/>
    <w:lvl w:ilvl="0">
      <w:start w:val="1"/>
      <w:numFmt w:val="decimal"/>
      <w:lvlText w:val="%1."/>
      <w:lvlJc w:val="left"/>
      <w:pPr>
        <w:tabs>
          <w:tab w:val="num" w:pos="1800"/>
        </w:tabs>
        <w:ind w:left="1800" w:hanging="360"/>
      </w:pPr>
    </w:lvl>
  </w:abstractNum>
  <w:abstractNum w:abstractNumId="1">
    <w:nsid w:val="FFFFFF7D"/>
    <w:multiLevelType w:val="singleLevel"/>
    <w:tmpl w:val="D5BE58A2"/>
    <w:lvl w:ilvl="0">
      <w:start w:val="1"/>
      <w:numFmt w:val="decimal"/>
      <w:lvlText w:val="%1."/>
      <w:lvlJc w:val="left"/>
      <w:pPr>
        <w:tabs>
          <w:tab w:val="num" w:pos="1440"/>
        </w:tabs>
        <w:ind w:left="1440" w:hanging="360"/>
      </w:pPr>
    </w:lvl>
  </w:abstractNum>
  <w:abstractNum w:abstractNumId="2">
    <w:nsid w:val="FFFFFF7E"/>
    <w:multiLevelType w:val="singleLevel"/>
    <w:tmpl w:val="CBC87396"/>
    <w:lvl w:ilvl="0">
      <w:start w:val="1"/>
      <w:numFmt w:val="decimal"/>
      <w:lvlText w:val="%1."/>
      <w:lvlJc w:val="left"/>
      <w:pPr>
        <w:tabs>
          <w:tab w:val="num" w:pos="1080"/>
        </w:tabs>
        <w:ind w:left="1080" w:hanging="360"/>
      </w:pPr>
    </w:lvl>
  </w:abstractNum>
  <w:abstractNum w:abstractNumId="3">
    <w:nsid w:val="FFFFFF7F"/>
    <w:multiLevelType w:val="singleLevel"/>
    <w:tmpl w:val="AA2E1158"/>
    <w:lvl w:ilvl="0">
      <w:start w:val="1"/>
      <w:numFmt w:val="decimal"/>
      <w:lvlText w:val="%1."/>
      <w:lvlJc w:val="left"/>
      <w:pPr>
        <w:tabs>
          <w:tab w:val="num" w:pos="720"/>
        </w:tabs>
        <w:ind w:left="720" w:hanging="360"/>
      </w:pPr>
    </w:lvl>
  </w:abstractNum>
  <w:abstractNum w:abstractNumId="4">
    <w:nsid w:val="FFFFFF80"/>
    <w:multiLevelType w:val="singleLevel"/>
    <w:tmpl w:val="2BCCB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96A2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8C3D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F00D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C0F41E"/>
    <w:lvl w:ilvl="0">
      <w:start w:val="1"/>
      <w:numFmt w:val="decimal"/>
      <w:lvlText w:val="%1."/>
      <w:lvlJc w:val="left"/>
      <w:pPr>
        <w:tabs>
          <w:tab w:val="num" w:pos="360"/>
        </w:tabs>
        <w:ind w:left="360" w:hanging="360"/>
      </w:pPr>
    </w:lvl>
  </w:abstractNum>
  <w:abstractNum w:abstractNumId="9">
    <w:nsid w:val="FFFFFF89"/>
    <w:multiLevelType w:val="singleLevel"/>
    <w:tmpl w:val="0E72AD90"/>
    <w:lvl w:ilvl="0">
      <w:start w:val="1"/>
      <w:numFmt w:val="bullet"/>
      <w:lvlText w:val=""/>
      <w:lvlJc w:val="left"/>
      <w:pPr>
        <w:tabs>
          <w:tab w:val="num" w:pos="360"/>
        </w:tabs>
        <w:ind w:left="360" w:hanging="360"/>
      </w:pPr>
      <w:rPr>
        <w:rFonts w:ascii="Symbol" w:hAnsi="Symbol" w:hint="default"/>
      </w:rPr>
    </w:lvl>
  </w:abstractNum>
  <w:abstractNum w:abstractNumId="10">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C1D65D9"/>
    <w:multiLevelType w:val="hybridMultilevel"/>
    <w:tmpl w:val="0E9E1D50"/>
    <w:lvl w:ilvl="0" w:tplc="C0F6324C">
      <w:start w:val="5"/>
      <w:numFmt w:val="decimal"/>
      <w:lvlText w:val="%1."/>
      <w:lvlJc w:val="left"/>
      <w:pPr>
        <w:tabs>
          <w:tab w:val="num" w:pos="1170"/>
        </w:tabs>
        <w:ind w:left="90" w:firstLine="72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EBD7A16"/>
    <w:multiLevelType w:val="hybridMultilevel"/>
    <w:tmpl w:val="CEDE9764"/>
    <w:lvl w:ilvl="0" w:tplc="2E40A056">
      <w:start w:val="6"/>
      <w:numFmt w:val="decimal"/>
      <w:lvlText w:val="%1."/>
      <w:lvlJc w:val="left"/>
      <w:pPr>
        <w:tabs>
          <w:tab w:val="num" w:pos="1170"/>
        </w:tabs>
        <w:ind w:left="90" w:firstLine="72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91286"/>
    <w:multiLevelType w:val="hybridMultilevel"/>
    <w:tmpl w:val="A32435EC"/>
    <w:lvl w:ilvl="0" w:tplc="D7C2DA34">
      <w:start w:val="7"/>
      <w:numFmt w:val="decimal"/>
      <w:lvlText w:val="%1."/>
      <w:lvlJc w:val="left"/>
      <w:pPr>
        <w:tabs>
          <w:tab w:val="num" w:pos="1170"/>
        </w:tabs>
        <w:ind w:left="90" w:firstLine="72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1">
    <w:nsid w:val="61182925"/>
    <w:multiLevelType w:val="singleLevel"/>
    <w:tmpl w:val="42947312"/>
    <w:lvl w:ilvl="0">
      <w:start w:val="1"/>
      <w:numFmt w:val="decimal"/>
      <w:pStyle w:val="ParaNum"/>
      <w:lvlText w:val="%1."/>
      <w:lvlJc w:val="left"/>
      <w:pPr>
        <w:tabs>
          <w:tab w:val="num" w:pos="1170"/>
        </w:tabs>
        <w:ind w:left="90" w:firstLine="720"/>
      </w:pPr>
      <w:rPr>
        <w:rFonts w:hint="default"/>
        <w:i w:val="0"/>
      </w:rPr>
    </w:lvl>
  </w:abstractNum>
  <w:abstractNum w:abstractNumId="22">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4">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3"/>
  </w:num>
  <w:num w:numId="2">
    <w:abstractNumId w:val="22"/>
  </w:num>
  <w:num w:numId="3">
    <w:abstractNumId w:val="21"/>
  </w:num>
  <w:num w:numId="4">
    <w:abstractNumId w:val="24"/>
  </w:num>
  <w:num w:numId="5">
    <w:abstractNumId w:val="19"/>
  </w:num>
  <w:num w:numId="6">
    <w:abstractNumId w:val="15"/>
  </w:num>
  <w:num w:numId="7">
    <w:abstractNumId w:val="10"/>
  </w:num>
  <w:num w:numId="8">
    <w:abstractNumId w:val="20"/>
  </w:num>
  <w:num w:numId="9">
    <w:abstractNumId w:val="12"/>
  </w:num>
  <w:num w:numId="10">
    <w:abstractNumId w:val="13"/>
  </w:num>
  <w:num w:numId="11">
    <w:abstractNumId w:val="16"/>
  </w:num>
  <w:num w:numId="12">
    <w:abstractNumId w:val="14"/>
  </w:num>
  <w:num w:numId="13">
    <w:abstractNumId w:val="11"/>
  </w:num>
  <w:num w:numId="14">
    <w:abstractNumId w:val="21"/>
  </w:num>
  <w:num w:numId="15">
    <w:abstractNumId w:val="21"/>
  </w:num>
  <w:num w:numId="16">
    <w:abstractNumId w:val="21"/>
  </w:num>
  <w:num w:numId="17">
    <w:abstractNumId w:val="18"/>
  </w:num>
  <w:num w:numId="18">
    <w:abstractNumId w:val="21"/>
  </w:num>
  <w:num w:numId="19">
    <w:abstractNumId w:val="21"/>
    <w:lvlOverride w:ilvl="0">
      <w:startOverride w:val="9"/>
    </w:lvlOverride>
  </w:num>
  <w:num w:numId="20">
    <w:abstractNumId w:val="17"/>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lvlOverride w:ilvl="0">
      <w:startOverride w:val="8"/>
    </w:lvlOverride>
  </w:num>
  <w:num w:numId="33">
    <w:abstractNumId w:val="21"/>
    <w:lvlOverride w:ilvl="0">
      <w:startOverride w:val="8"/>
    </w:lvlOverride>
  </w:num>
  <w:num w:numId="34">
    <w:abstractNumId w:val="21"/>
    <w:lvlOverride w:ilvl="0">
      <w:startOverride w:val="8"/>
    </w:lvlOverride>
  </w:num>
  <w:num w:numId="35">
    <w:abstractNumId w:val="21"/>
    <w:lvlOverride w:ilvl="0">
      <w:startOverride w:val="8"/>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displayBackgroundShap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F1"/>
    <w:rsid w:val="000005EC"/>
    <w:rsid w:val="00000C6C"/>
    <w:rsid w:val="00000D69"/>
    <w:rsid w:val="00001F91"/>
    <w:rsid w:val="000021A3"/>
    <w:rsid w:val="00003053"/>
    <w:rsid w:val="0000447A"/>
    <w:rsid w:val="00004561"/>
    <w:rsid w:val="00005D23"/>
    <w:rsid w:val="00006096"/>
    <w:rsid w:val="00006B8F"/>
    <w:rsid w:val="0000715C"/>
    <w:rsid w:val="0001067E"/>
    <w:rsid w:val="00011FC8"/>
    <w:rsid w:val="00012059"/>
    <w:rsid w:val="00012592"/>
    <w:rsid w:val="0001259D"/>
    <w:rsid w:val="000136FB"/>
    <w:rsid w:val="00015D7C"/>
    <w:rsid w:val="00016218"/>
    <w:rsid w:val="00016BFB"/>
    <w:rsid w:val="0001758D"/>
    <w:rsid w:val="000221BE"/>
    <w:rsid w:val="00024160"/>
    <w:rsid w:val="00024D51"/>
    <w:rsid w:val="00024EDE"/>
    <w:rsid w:val="00026F3F"/>
    <w:rsid w:val="00031191"/>
    <w:rsid w:val="00033A7A"/>
    <w:rsid w:val="00035B08"/>
    <w:rsid w:val="00036451"/>
    <w:rsid w:val="00040C91"/>
    <w:rsid w:val="000412F0"/>
    <w:rsid w:val="000413FE"/>
    <w:rsid w:val="00041435"/>
    <w:rsid w:val="0004206A"/>
    <w:rsid w:val="00042E52"/>
    <w:rsid w:val="000430C1"/>
    <w:rsid w:val="00043BB1"/>
    <w:rsid w:val="00043C5E"/>
    <w:rsid w:val="000446F9"/>
    <w:rsid w:val="000457E5"/>
    <w:rsid w:val="00045A25"/>
    <w:rsid w:val="00046734"/>
    <w:rsid w:val="000472B3"/>
    <w:rsid w:val="0004744A"/>
    <w:rsid w:val="000475FE"/>
    <w:rsid w:val="00047C22"/>
    <w:rsid w:val="00051FC4"/>
    <w:rsid w:val="00051FF5"/>
    <w:rsid w:val="00054B6C"/>
    <w:rsid w:val="0005514C"/>
    <w:rsid w:val="00056A98"/>
    <w:rsid w:val="00056F4D"/>
    <w:rsid w:val="00060BD6"/>
    <w:rsid w:val="00061700"/>
    <w:rsid w:val="00062C72"/>
    <w:rsid w:val="0006340A"/>
    <w:rsid w:val="00064C65"/>
    <w:rsid w:val="00067DA4"/>
    <w:rsid w:val="0007102F"/>
    <w:rsid w:val="00076EB8"/>
    <w:rsid w:val="00077222"/>
    <w:rsid w:val="000808E0"/>
    <w:rsid w:val="00083739"/>
    <w:rsid w:val="00084F62"/>
    <w:rsid w:val="0008593B"/>
    <w:rsid w:val="00086C04"/>
    <w:rsid w:val="0008793B"/>
    <w:rsid w:val="000907C9"/>
    <w:rsid w:val="00092A66"/>
    <w:rsid w:val="00092BAB"/>
    <w:rsid w:val="00092BF2"/>
    <w:rsid w:val="000973EC"/>
    <w:rsid w:val="00097E37"/>
    <w:rsid w:val="000A02F1"/>
    <w:rsid w:val="000A0708"/>
    <w:rsid w:val="000A0DB9"/>
    <w:rsid w:val="000A1455"/>
    <w:rsid w:val="000A2104"/>
    <w:rsid w:val="000A3027"/>
    <w:rsid w:val="000A4B2B"/>
    <w:rsid w:val="000A633B"/>
    <w:rsid w:val="000A65A9"/>
    <w:rsid w:val="000A72EB"/>
    <w:rsid w:val="000A78F3"/>
    <w:rsid w:val="000B3528"/>
    <w:rsid w:val="000B5FAA"/>
    <w:rsid w:val="000B6354"/>
    <w:rsid w:val="000B74EE"/>
    <w:rsid w:val="000C03A5"/>
    <w:rsid w:val="000C0BED"/>
    <w:rsid w:val="000C1E25"/>
    <w:rsid w:val="000C6E17"/>
    <w:rsid w:val="000C6E40"/>
    <w:rsid w:val="000D34DD"/>
    <w:rsid w:val="000D3BEE"/>
    <w:rsid w:val="000D5CEF"/>
    <w:rsid w:val="000D782D"/>
    <w:rsid w:val="000D7EE3"/>
    <w:rsid w:val="000E0BD7"/>
    <w:rsid w:val="000E6066"/>
    <w:rsid w:val="000E6418"/>
    <w:rsid w:val="000E71A8"/>
    <w:rsid w:val="000F09A4"/>
    <w:rsid w:val="000F1523"/>
    <w:rsid w:val="000F1EEF"/>
    <w:rsid w:val="000F1FEB"/>
    <w:rsid w:val="000F22A2"/>
    <w:rsid w:val="000F3075"/>
    <w:rsid w:val="000F41D6"/>
    <w:rsid w:val="000F438B"/>
    <w:rsid w:val="000F7062"/>
    <w:rsid w:val="000F7572"/>
    <w:rsid w:val="001002A6"/>
    <w:rsid w:val="00100D21"/>
    <w:rsid w:val="001056BA"/>
    <w:rsid w:val="00106C96"/>
    <w:rsid w:val="00110261"/>
    <w:rsid w:val="00111A21"/>
    <w:rsid w:val="00113784"/>
    <w:rsid w:val="00113BC4"/>
    <w:rsid w:val="00116FE5"/>
    <w:rsid w:val="00122180"/>
    <w:rsid w:val="00122A8F"/>
    <w:rsid w:val="00122B8F"/>
    <w:rsid w:val="0012307E"/>
    <w:rsid w:val="00125A79"/>
    <w:rsid w:val="001276F8"/>
    <w:rsid w:val="0013283B"/>
    <w:rsid w:val="001336C6"/>
    <w:rsid w:val="0013442B"/>
    <w:rsid w:val="001353CD"/>
    <w:rsid w:val="001374F2"/>
    <w:rsid w:val="001374F8"/>
    <w:rsid w:val="00137BCF"/>
    <w:rsid w:val="001422A3"/>
    <w:rsid w:val="001435D9"/>
    <w:rsid w:val="0014680D"/>
    <w:rsid w:val="00155D7C"/>
    <w:rsid w:val="001564D8"/>
    <w:rsid w:val="001602AA"/>
    <w:rsid w:val="00161B26"/>
    <w:rsid w:val="00161CBE"/>
    <w:rsid w:val="00162116"/>
    <w:rsid w:val="00162CC6"/>
    <w:rsid w:val="00163740"/>
    <w:rsid w:val="001643B3"/>
    <w:rsid w:val="00172372"/>
    <w:rsid w:val="00172896"/>
    <w:rsid w:val="00175520"/>
    <w:rsid w:val="001765F1"/>
    <w:rsid w:val="001778DD"/>
    <w:rsid w:val="00177F02"/>
    <w:rsid w:val="00180FE4"/>
    <w:rsid w:val="00182136"/>
    <w:rsid w:val="00186025"/>
    <w:rsid w:val="00186F94"/>
    <w:rsid w:val="0018718B"/>
    <w:rsid w:val="00194247"/>
    <w:rsid w:val="00196363"/>
    <w:rsid w:val="001A04AB"/>
    <w:rsid w:val="001A7294"/>
    <w:rsid w:val="001A73D7"/>
    <w:rsid w:val="001A7A22"/>
    <w:rsid w:val="001B0C82"/>
    <w:rsid w:val="001B1F2B"/>
    <w:rsid w:val="001B301E"/>
    <w:rsid w:val="001B6B21"/>
    <w:rsid w:val="001B7A93"/>
    <w:rsid w:val="001C3391"/>
    <w:rsid w:val="001C6FD2"/>
    <w:rsid w:val="001C7ACB"/>
    <w:rsid w:val="001C7E3F"/>
    <w:rsid w:val="001D1BD2"/>
    <w:rsid w:val="001D21C7"/>
    <w:rsid w:val="001D2551"/>
    <w:rsid w:val="001D432B"/>
    <w:rsid w:val="001D43E1"/>
    <w:rsid w:val="001D5A63"/>
    <w:rsid w:val="001E0AD2"/>
    <w:rsid w:val="001E218B"/>
    <w:rsid w:val="001E3C95"/>
    <w:rsid w:val="001E5C37"/>
    <w:rsid w:val="001E621A"/>
    <w:rsid w:val="001E626F"/>
    <w:rsid w:val="001E672A"/>
    <w:rsid w:val="001F0F03"/>
    <w:rsid w:val="001F1B76"/>
    <w:rsid w:val="001F39AA"/>
    <w:rsid w:val="001F4FEC"/>
    <w:rsid w:val="001F572B"/>
    <w:rsid w:val="001F6575"/>
    <w:rsid w:val="001F7A78"/>
    <w:rsid w:val="0020014C"/>
    <w:rsid w:val="002036AA"/>
    <w:rsid w:val="002044D7"/>
    <w:rsid w:val="00204AA0"/>
    <w:rsid w:val="002051C3"/>
    <w:rsid w:val="0020572D"/>
    <w:rsid w:val="00205BDC"/>
    <w:rsid w:val="00210084"/>
    <w:rsid w:val="002112B7"/>
    <w:rsid w:val="002119D0"/>
    <w:rsid w:val="00211A06"/>
    <w:rsid w:val="0021431B"/>
    <w:rsid w:val="00214354"/>
    <w:rsid w:val="00215996"/>
    <w:rsid w:val="00215F06"/>
    <w:rsid w:val="00216F2E"/>
    <w:rsid w:val="0022442C"/>
    <w:rsid w:val="00226DB0"/>
    <w:rsid w:val="002302F1"/>
    <w:rsid w:val="0023067D"/>
    <w:rsid w:val="00231771"/>
    <w:rsid w:val="00232003"/>
    <w:rsid w:val="0023346D"/>
    <w:rsid w:val="002341EF"/>
    <w:rsid w:val="00237E00"/>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3A88"/>
    <w:rsid w:val="00264929"/>
    <w:rsid w:val="002661C4"/>
    <w:rsid w:val="00267E56"/>
    <w:rsid w:val="00270522"/>
    <w:rsid w:val="00271CED"/>
    <w:rsid w:val="00271E9B"/>
    <w:rsid w:val="0027444B"/>
    <w:rsid w:val="002754BC"/>
    <w:rsid w:val="00277A4F"/>
    <w:rsid w:val="002822CD"/>
    <w:rsid w:val="00282EB3"/>
    <w:rsid w:val="002849B2"/>
    <w:rsid w:val="00284D06"/>
    <w:rsid w:val="00285BAA"/>
    <w:rsid w:val="00286303"/>
    <w:rsid w:val="002911F1"/>
    <w:rsid w:val="0029239D"/>
    <w:rsid w:val="0029779F"/>
    <w:rsid w:val="00297E39"/>
    <w:rsid w:val="002A3CC7"/>
    <w:rsid w:val="002A3D3A"/>
    <w:rsid w:val="002A4053"/>
    <w:rsid w:val="002A63EC"/>
    <w:rsid w:val="002A7EC5"/>
    <w:rsid w:val="002B1030"/>
    <w:rsid w:val="002B1319"/>
    <w:rsid w:val="002B205C"/>
    <w:rsid w:val="002B3430"/>
    <w:rsid w:val="002B3B4C"/>
    <w:rsid w:val="002B5C15"/>
    <w:rsid w:val="002C06AA"/>
    <w:rsid w:val="002C1E60"/>
    <w:rsid w:val="002C238C"/>
    <w:rsid w:val="002C2BE6"/>
    <w:rsid w:val="002C312D"/>
    <w:rsid w:val="002C3A39"/>
    <w:rsid w:val="002C52BE"/>
    <w:rsid w:val="002C7741"/>
    <w:rsid w:val="002D0C5A"/>
    <w:rsid w:val="002D27F9"/>
    <w:rsid w:val="002D28C9"/>
    <w:rsid w:val="002D67E1"/>
    <w:rsid w:val="002D680B"/>
    <w:rsid w:val="002E0EFF"/>
    <w:rsid w:val="002E1356"/>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4DDE"/>
    <w:rsid w:val="00306AD9"/>
    <w:rsid w:val="00306D54"/>
    <w:rsid w:val="0031097A"/>
    <w:rsid w:val="00310F00"/>
    <w:rsid w:val="00313368"/>
    <w:rsid w:val="00313ACC"/>
    <w:rsid w:val="0031443E"/>
    <w:rsid w:val="003158D5"/>
    <w:rsid w:val="003166ED"/>
    <w:rsid w:val="00322349"/>
    <w:rsid w:val="0032470E"/>
    <w:rsid w:val="00326D27"/>
    <w:rsid w:val="00330752"/>
    <w:rsid w:val="003313D1"/>
    <w:rsid w:val="003338F9"/>
    <w:rsid w:val="003341E5"/>
    <w:rsid w:val="00334450"/>
    <w:rsid w:val="00334897"/>
    <w:rsid w:val="00334B6A"/>
    <w:rsid w:val="00336029"/>
    <w:rsid w:val="0033657D"/>
    <w:rsid w:val="003369FE"/>
    <w:rsid w:val="003378A2"/>
    <w:rsid w:val="00337DA9"/>
    <w:rsid w:val="00337EC9"/>
    <w:rsid w:val="00337F3B"/>
    <w:rsid w:val="00341F54"/>
    <w:rsid w:val="00343CF0"/>
    <w:rsid w:val="0034577B"/>
    <w:rsid w:val="00345B92"/>
    <w:rsid w:val="0034725C"/>
    <w:rsid w:val="003479EB"/>
    <w:rsid w:val="00350A5A"/>
    <w:rsid w:val="00350E1C"/>
    <w:rsid w:val="00351997"/>
    <w:rsid w:val="003540E3"/>
    <w:rsid w:val="00354FD5"/>
    <w:rsid w:val="00355024"/>
    <w:rsid w:val="003579AF"/>
    <w:rsid w:val="00360413"/>
    <w:rsid w:val="003614A8"/>
    <w:rsid w:val="00364E03"/>
    <w:rsid w:val="00365439"/>
    <w:rsid w:val="00370575"/>
    <w:rsid w:val="00371BF4"/>
    <w:rsid w:val="0037259E"/>
    <w:rsid w:val="00373E08"/>
    <w:rsid w:val="00375B35"/>
    <w:rsid w:val="00375EA1"/>
    <w:rsid w:val="00377FB8"/>
    <w:rsid w:val="003814CE"/>
    <w:rsid w:val="00381549"/>
    <w:rsid w:val="0038376A"/>
    <w:rsid w:val="00384B8B"/>
    <w:rsid w:val="0038794B"/>
    <w:rsid w:val="00387B6A"/>
    <w:rsid w:val="00390031"/>
    <w:rsid w:val="0039011B"/>
    <w:rsid w:val="00390587"/>
    <w:rsid w:val="003928DB"/>
    <w:rsid w:val="00395E9D"/>
    <w:rsid w:val="003975A7"/>
    <w:rsid w:val="003A01A5"/>
    <w:rsid w:val="003A3B45"/>
    <w:rsid w:val="003A502F"/>
    <w:rsid w:val="003A6423"/>
    <w:rsid w:val="003B11A2"/>
    <w:rsid w:val="003B1761"/>
    <w:rsid w:val="003B1A70"/>
    <w:rsid w:val="003B30EF"/>
    <w:rsid w:val="003B52B5"/>
    <w:rsid w:val="003B5704"/>
    <w:rsid w:val="003B67C1"/>
    <w:rsid w:val="003B7B5A"/>
    <w:rsid w:val="003C1758"/>
    <w:rsid w:val="003C2D30"/>
    <w:rsid w:val="003C2FBD"/>
    <w:rsid w:val="003C41A0"/>
    <w:rsid w:val="003C466B"/>
    <w:rsid w:val="003C4A20"/>
    <w:rsid w:val="003C5824"/>
    <w:rsid w:val="003C5B9E"/>
    <w:rsid w:val="003D3528"/>
    <w:rsid w:val="003D47BD"/>
    <w:rsid w:val="003D5CD9"/>
    <w:rsid w:val="003D5F62"/>
    <w:rsid w:val="003D66C7"/>
    <w:rsid w:val="003D7C4E"/>
    <w:rsid w:val="003E6415"/>
    <w:rsid w:val="003E78BF"/>
    <w:rsid w:val="003F2994"/>
    <w:rsid w:val="003F2B5A"/>
    <w:rsid w:val="003F2E86"/>
    <w:rsid w:val="003F2EFB"/>
    <w:rsid w:val="003F342B"/>
    <w:rsid w:val="003F541B"/>
    <w:rsid w:val="003F5559"/>
    <w:rsid w:val="00400BD1"/>
    <w:rsid w:val="00401228"/>
    <w:rsid w:val="00401498"/>
    <w:rsid w:val="00406DD8"/>
    <w:rsid w:val="0041264B"/>
    <w:rsid w:val="0041382F"/>
    <w:rsid w:val="00413C25"/>
    <w:rsid w:val="00415029"/>
    <w:rsid w:val="004158F3"/>
    <w:rsid w:val="00416C10"/>
    <w:rsid w:val="004172C6"/>
    <w:rsid w:val="004223B8"/>
    <w:rsid w:val="00422B4E"/>
    <w:rsid w:val="00422D6A"/>
    <w:rsid w:val="00424852"/>
    <w:rsid w:val="00424AF6"/>
    <w:rsid w:val="00424D63"/>
    <w:rsid w:val="00424DE6"/>
    <w:rsid w:val="0042500E"/>
    <w:rsid w:val="00425ABB"/>
    <w:rsid w:val="00425CFE"/>
    <w:rsid w:val="00427B10"/>
    <w:rsid w:val="00430B7E"/>
    <w:rsid w:val="0043264A"/>
    <w:rsid w:val="00433850"/>
    <w:rsid w:val="0043465D"/>
    <w:rsid w:val="00435FED"/>
    <w:rsid w:val="00437D5A"/>
    <w:rsid w:val="004412B4"/>
    <w:rsid w:val="004413D7"/>
    <w:rsid w:val="004428AB"/>
    <w:rsid w:val="00445065"/>
    <w:rsid w:val="004453EA"/>
    <w:rsid w:val="0044579A"/>
    <w:rsid w:val="0044645C"/>
    <w:rsid w:val="00450812"/>
    <w:rsid w:val="00451BB9"/>
    <w:rsid w:val="00451C2B"/>
    <w:rsid w:val="00452085"/>
    <w:rsid w:val="00452E33"/>
    <w:rsid w:val="00453C5F"/>
    <w:rsid w:val="00454880"/>
    <w:rsid w:val="00460EC0"/>
    <w:rsid w:val="0046348E"/>
    <w:rsid w:val="004647F1"/>
    <w:rsid w:val="004710E7"/>
    <w:rsid w:val="00471223"/>
    <w:rsid w:val="0047487B"/>
    <w:rsid w:val="00474D14"/>
    <w:rsid w:val="00475713"/>
    <w:rsid w:val="004863AC"/>
    <w:rsid w:val="00486B62"/>
    <w:rsid w:val="00487A70"/>
    <w:rsid w:val="00487CDC"/>
    <w:rsid w:val="00491064"/>
    <w:rsid w:val="004910DA"/>
    <w:rsid w:val="004914B7"/>
    <w:rsid w:val="0049536B"/>
    <w:rsid w:val="00495CCB"/>
    <w:rsid w:val="00495EF1"/>
    <w:rsid w:val="004967E2"/>
    <w:rsid w:val="00496C73"/>
    <w:rsid w:val="004973E2"/>
    <w:rsid w:val="004A0838"/>
    <w:rsid w:val="004A2300"/>
    <w:rsid w:val="004B0789"/>
    <w:rsid w:val="004B1EF9"/>
    <w:rsid w:val="004B3DE7"/>
    <w:rsid w:val="004B5076"/>
    <w:rsid w:val="004B5722"/>
    <w:rsid w:val="004B5A79"/>
    <w:rsid w:val="004B6030"/>
    <w:rsid w:val="004B6CE3"/>
    <w:rsid w:val="004B6E9D"/>
    <w:rsid w:val="004C04B0"/>
    <w:rsid w:val="004C1059"/>
    <w:rsid w:val="004C292D"/>
    <w:rsid w:val="004C7877"/>
    <w:rsid w:val="004D4CAD"/>
    <w:rsid w:val="004D5000"/>
    <w:rsid w:val="004D75AA"/>
    <w:rsid w:val="004D7C66"/>
    <w:rsid w:val="004E019C"/>
    <w:rsid w:val="004E09A2"/>
    <w:rsid w:val="004E1CE1"/>
    <w:rsid w:val="004E20EC"/>
    <w:rsid w:val="004E42E2"/>
    <w:rsid w:val="004E5204"/>
    <w:rsid w:val="004E6544"/>
    <w:rsid w:val="004E713D"/>
    <w:rsid w:val="004E78B9"/>
    <w:rsid w:val="004F02E0"/>
    <w:rsid w:val="004F0A17"/>
    <w:rsid w:val="004F2ECD"/>
    <w:rsid w:val="004F3251"/>
    <w:rsid w:val="004F5693"/>
    <w:rsid w:val="004F5A94"/>
    <w:rsid w:val="004F62E8"/>
    <w:rsid w:val="004F6B80"/>
    <w:rsid w:val="004F7CAE"/>
    <w:rsid w:val="00500F04"/>
    <w:rsid w:val="0050166C"/>
    <w:rsid w:val="00501B88"/>
    <w:rsid w:val="00503DCB"/>
    <w:rsid w:val="00504785"/>
    <w:rsid w:val="005055E8"/>
    <w:rsid w:val="005065B1"/>
    <w:rsid w:val="00507209"/>
    <w:rsid w:val="005119BA"/>
    <w:rsid w:val="00512087"/>
    <w:rsid w:val="005126EA"/>
    <w:rsid w:val="0051347C"/>
    <w:rsid w:val="005142AD"/>
    <w:rsid w:val="00514A5B"/>
    <w:rsid w:val="00514B32"/>
    <w:rsid w:val="005155B5"/>
    <w:rsid w:val="00515F9C"/>
    <w:rsid w:val="0051631C"/>
    <w:rsid w:val="00521311"/>
    <w:rsid w:val="0052262B"/>
    <w:rsid w:val="0052272D"/>
    <w:rsid w:val="00522E0F"/>
    <w:rsid w:val="00526352"/>
    <w:rsid w:val="00527DF5"/>
    <w:rsid w:val="0053146E"/>
    <w:rsid w:val="0053189A"/>
    <w:rsid w:val="005322EB"/>
    <w:rsid w:val="00532A3F"/>
    <w:rsid w:val="00532C8B"/>
    <w:rsid w:val="005336CC"/>
    <w:rsid w:val="005339B8"/>
    <w:rsid w:val="005343A9"/>
    <w:rsid w:val="00535AA5"/>
    <w:rsid w:val="00535B60"/>
    <w:rsid w:val="00537303"/>
    <w:rsid w:val="005378F2"/>
    <w:rsid w:val="00537C75"/>
    <w:rsid w:val="00537DB1"/>
    <w:rsid w:val="0054001D"/>
    <w:rsid w:val="0054103D"/>
    <w:rsid w:val="005413C8"/>
    <w:rsid w:val="00541EEA"/>
    <w:rsid w:val="00543764"/>
    <w:rsid w:val="00544B2F"/>
    <w:rsid w:val="00544E8E"/>
    <w:rsid w:val="005468DC"/>
    <w:rsid w:val="00547CE4"/>
    <w:rsid w:val="005515E4"/>
    <w:rsid w:val="00554736"/>
    <w:rsid w:val="00555BCF"/>
    <w:rsid w:val="00556621"/>
    <w:rsid w:val="00556E17"/>
    <w:rsid w:val="005572E3"/>
    <w:rsid w:val="00560E8B"/>
    <w:rsid w:val="0056323D"/>
    <w:rsid w:val="0056454B"/>
    <w:rsid w:val="00564650"/>
    <w:rsid w:val="00567D61"/>
    <w:rsid w:val="0057007F"/>
    <w:rsid w:val="00570CDA"/>
    <w:rsid w:val="00575313"/>
    <w:rsid w:val="0057714E"/>
    <w:rsid w:val="00577295"/>
    <w:rsid w:val="0057772C"/>
    <w:rsid w:val="005779C9"/>
    <w:rsid w:val="005816FB"/>
    <w:rsid w:val="00583524"/>
    <w:rsid w:val="00584805"/>
    <w:rsid w:val="0058500E"/>
    <w:rsid w:val="00585DC5"/>
    <w:rsid w:val="00586F83"/>
    <w:rsid w:val="00587FE4"/>
    <w:rsid w:val="00590221"/>
    <w:rsid w:val="00591A0F"/>
    <w:rsid w:val="005922F2"/>
    <w:rsid w:val="00593AF2"/>
    <w:rsid w:val="00595DC2"/>
    <w:rsid w:val="00596580"/>
    <w:rsid w:val="005A027A"/>
    <w:rsid w:val="005A1040"/>
    <w:rsid w:val="005A1B88"/>
    <w:rsid w:val="005A3373"/>
    <w:rsid w:val="005A6918"/>
    <w:rsid w:val="005A7E20"/>
    <w:rsid w:val="005B0002"/>
    <w:rsid w:val="005B1525"/>
    <w:rsid w:val="005B2454"/>
    <w:rsid w:val="005B56F7"/>
    <w:rsid w:val="005B73F0"/>
    <w:rsid w:val="005B783E"/>
    <w:rsid w:val="005C0574"/>
    <w:rsid w:val="005C314E"/>
    <w:rsid w:val="005C3395"/>
    <w:rsid w:val="005C34C3"/>
    <w:rsid w:val="005C5272"/>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4D9"/>
    <w:rsid w:val="005F4CD5"/>
    <w:rsid w:val="005F4E17"/>
    <w:rsid w:val="005F51DB"/>
    <w:rsid w:val="005F7236"/>
    <w:rsid w:val="00601C05"/>
    <w:rsid w:val="00602A48"/>
    <w:rsid w:val="00603565"/>
    <w:rsid w:val="00604176"/>
    <w:rsid w:val="0060454B"/>
    <w:rsid w:val="00605611"/>
    <w:rsid w:val="006061B9"/>
    <w:rsid w:val="006065B6"/>
    <w:rsid w:val="00606643"/>
    <w:rsid w:val="00610FDD"/>
    <w:rsid w:val="006133A9"/>
    <w:rsid w:val="00614501"/>
    <w:rsid w:val="00615197"/>
    <w:rsid w:val="00616460"/>
    <w:rsid w:val="00616B9F"/>
    <w:rsid w:val="00617CE3"/>
    <w:rsid w:val="00623AC8"/>
    <w:rsid w:val="00623D18"/>
    <w:rsid w:val="00623D9A"/>
    <w:rsid w:val="00623FB8"/>
    <w:rsid w:val="00624800"/>
    <w:rsid w:val="006300A4"/>
    <w:rsid w:val="00630C96"/>
    <w:rsid w:val="00633251"/>
    <w:rsid w:val="006332BD"/>
    <w:rsid w:val="006367B1"/>
    <w:rsid w:val="00636815"/>
    <w:rsid w:val="00637674"/>
    <w:rsid w:val="00641561"/>
    <w:rsid w:val="00641648"/>
    <w:rsid w:val="006418FA"/>
    <w:rsid w:val="0064199A"/>
    <w:rsid w:val="00641DE6"/>
    <w:rsid w:val="00644DCE"/>
    <w:rsid w:val="0064676C"/>
    <w:rsid w:val="0064768F"/>
    <w:rsid w:val="00647B4B"/>
    <w:rsid w:val="00647E1D"/>
    <w:rsid w:val="00647E8E"/>
    <w:rsid w:val="0065280A"/>
    <w:rsid w:val="00652F84"/>
    <w:rsid w:val="00660ADE"/>
    <w:rsid w:val="0066175C"/>
    <w:rsid w:val="006623FB"/>
    <w:rsid w:val="006633B7"/>
    <w:rsid w:val="006644F9"/>
    <w:rsid w:val="00665594"/>
    <w:rsid w:val="00666B0A"/>
    <w:rsid w:val="00666CF4"/>
    <w:rsid w:val="00667392"/>
    <w:rsid w:val="0066746E"/>
    <w:rsid w:val="006678F4"/>
    <w:rsid w:val="0067016D"/>
    <w:rsid w:val="0067177B"/>
    <w:rsid w:val="006765F1"/>
    <w:rsid w:val="006803FC"/>
    <w:rsid w:val="006825B2"/>
    <w:rsid w:val="0068278F"/>
    <w:rsid w:val="00683B7E"/>
    <w:rsid w:val="00683F10"/>
    <w:rsid w:val="006847E8"/>
    <w:rsid w:val="00684DD5"/>
    <w:rsid w:val="00685CDA"/>
    <w:rsid w:val="00687285"/>
    <w:rsid w:val="00687876"/>
    <w:rsid w:val="00687E51"/>
    <w:rsid w:val="00690134"/>
    <w:rsid w:val="006903C3"/>
    <w:rsid w:val="00690B45"/>
    <w:rsid w:val="00690CEF"/>
    <w:rsid w:val="0069163D"/>
    <w:rsid w:val="0069395D"/>
    <w:rsid w:val="0069712B"/>
    <w:rsid w:val="006A04D7"/>
    <w:rsid w:val="006A1849"/>
    <w:rsid w:val="006A3742"/>
    <w:rsid w:val="006A3B4F"/>
    <w:rsid w:val="006A4F86"/>
    <w:rsid w:val="006A7BE3"/>
    <w:rsid w:val="006B037D"/>
    <w:rsid w:val="006B0ABC"/>
    <w:rsid w:val="006B3B51"/>
    <w:rsid w:val="006B3C68"/>
    <w:rsid w:val="006B560A"/>
    <w:rsid w:val="006B5691"/>
    <w:rsid w:val="006B5BB2"/>
    <w:rsid w:val="006B6089"/>
    <w:rsid w:val="006C04C6"/>
    <w:rsid w:val="006C16A3"/>
    <w:rsid w:val="006C2C68"/>
    <w:rsid w:val="006C2FC9"/>
    <w:rsid w:val="006C3F1D"/>
    <w:rsid w:val="006D0151"/>
    <w:rsid w:val="006D1DB7"/>
    <w:rsid w:val="006D54AE"/>
    <w:rsid w:val="006E139B"/>
    <w:rsid w:val="006E22DC"/>
    <w:rsid w:val="006E2E30"/>
    <w:rsid w:val="006E3F36"/>
    <w:rsid w:val="006E4C66"/>
    <w:rsid w:val="006E4D54"/>
    <w:rsid w:val="006F018F"/>
    <w:rsid w:val="006F10CF"/>
    <w:rsid w:val="006F1B3B"/>
    <w:rsid w:val="006F44FE"/>
    <w:rsid w:val="006F5B75"/>
    <w:rsid w:val="006F5F9A"/>
    <w:rsid w:val="006F7CFB"/>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3FA"/>
    <w:rsid w:val="007265E8"/>
    <w:rsid w:val="00726FD8"/>
    <w:rsid w:val="0073075A"/>
    <w:rsid w:val="0073245F"/>
    <w:rsid w:val="007327A5"/>
    <w:rsid w:val="00736AFD"/>
    <w:rsid w:val="00737B49"/>
    <w:rsid w:val="00740D0A"/>
    <w:rsid w:val="00742779"/>
    <w:rsid w:val="00742889"/>
    <w:rsid w:val="007452AD"/>
    <w:rsid w:val="0074545F"/>
    <w:rsid w:val="00747FFC"/>
    <w:rsid w:val="00752092"/>
    <w:rsid w:val="0075283E"/>
    <w:rsid w:val="0075306C"/>
    <w:rsid w:val="007534DB"/>
    <w:rsid w:val="007541CD"/>
    <w:rsid w:val="00755873"/>
    <w:rsid w:val="00755FE2"/>
    <w:rsid w:val="00764215"/>
    <w:rsid w:val="00764D7C"/>
    <w:rsid w:val="00765361"/>
    <w:rsid w:val="00765D8A"/>
    <w:rsid w:val="00766903"/>
    <w:rsid w:val="00767D0B"/>
    <w:rsid w:val="00771D26"/>
    <w:rsid w:val="00772E30"/>
    <w:rsid w:val="007743C4"/>
    <w:rsid w:val="007755D2"/>
    <w:rsid w:val="007764E8"/>
    <w:rsid w:val="00781606"/>
    <w:rsid w:val="00781FF4"/>
    <w:rsid w:val="00784752"/>
    <w:rsid w:val="00785376"/>
    <w:rsid w:val="007858CB"/>
    <w:rsid w:val="007864EE"/>
    <w:rsid w:val="00787620"/>
    <w:rsid w:val="0078786B"/>
    <w:rsid w:val="00790620"/>
    <w:rsid w:val="007917F4"/>
    <w:rsid w:val="00795B29"/>
    <w:rsid w:val="00796CA3"/>
    <w:rsid w:val="007A0888"/>
    <w:rsid w:val="007A2317"/>
    <w:rsid w:val="007A2F8F"/>
    <w:rsid w:val="007A3E03"/>
    <w:rsid w:val="007A4F9B"/>
    <w:rsid w:val="007A5A51"/>
    <w:rsid w:val="007A5DD2"/>
    <w:rsid w:val="007A7EB6"/>
    <w:rsid w:val="007B1271"/>
    <w:rsid w:val="007B20EE"/>
    <w:rsid w:val="007B3424"/>
    <w:rsid w:val="007B3B86"/>
    <w:rsid w:val="007B4AC3"/>
    <w:rsid w:val="007C07BD"/>
    <w:rsid w:val="007C0BBA"/>
    <w:rsid w:val="007C0CA0"/>
    <w:rsid w:val="007C1D71"/>
    <w:rsid w:val="007C1D7D"/>
    <w:rsid w:val="007C1F9C"/>
    <w:rsid w:val="007C2F15"/>
    <w:rsid w:val="007C3480"/>
    <w:rsid w:val="007C3956"/>
    <w:rsid w:val="007C3A62"/>
    <w:rsid w:val="007C3A92"/>
    <w:rsid w:val="007C446B"/>
    <w:rsid w:val="007C4891"/>
    <w:rsid w:val="007C5141"/>
    <w:rsid w:val="007D4BB3"/>
    <w:rsid w:val="007D7384"/>
    <w:rsid w:val="007E3450"/>
    <w:rsid w:val="007E62D6"/>
    <w:rsid w:val="007F1655"/>
    <w:rsid w:val="007F17B2"/>
    <w:rsid w:val="007F4E02"/>
    <w:rsid w:val="007F4F8B"/>
    <w:rsid w:val="007F683C"/>
    <w:rsid w:val="007F7D64"/>
    <w:rsid w:val="0080023B"/>
    <w:rsid w:val="00800897"/>
    <w:rsid w:val="00801B07"/>
    <w:rsid w:val="00802983"/>
    <w:rsid w:val="00803120"/>
    <w:rsid w:val="00807FED"/>
    <w:rsid w:val="0081222B"/>
    <w:rsid w:val="008127D1"/>
    <w:rsid w:val="00814895"/>
    <w:rsid w:val="008149CC"/>
    <w:rsid w:val="00815415"/>
    <w:rsid w:val="008208EC"/>
    <w:rsid w:val="00820B84"/>
    <w:rsid w:val="00823877"/>
    <w:rsid w:val="00824196"/>
    <w:rsid w:val="00826423"/>
    <w:rsid w:val="0082669E"/>
    <w:rsid w:val="0082677B"/>
    <w:rsid w:val="008301A3"/>
    <w:rsid w:val="00830755"/>
    <w:rsid w:val="00831FDE"/>
    <w:rsid w:val="00834D3A"/>
    <w:rsid w:val="00836099"/>
    <w:rsid w:val="00836180"/>
    <w:rsid w:val="0083689A"/>
    <w:rsid w:val="00837174"/>
    <w:rsid w:val="008422AD"/>
    <w:rsid w:val="0084468E"/>
    <w:rsid w:val="00845BF0"/>
    <w:rsid w:val="00846283"/>
    <w:rsid w:val="0084768E"/>
    <w:rsid w:val="00847FB4"/>
    <w:rsid w:val="0085092B"/>
    <w:rsid w:val="00855070"/>
    <w:rsid w:val="0085593E"/>
    <w:rsid w:val="00855F22"/>
    <w:rsid w:val="008577C9"/>
    <w:rsid w:val="00862439"/>
    <w:rsid w:val="00862837"/>
    <w:rsid w:val="008629F9"/>
    <w:rsid w:val="0086335B"/>
    <w:rsid w:val="00863418"/>
    <w:rsid w:val="008640E1"/>
    <w:rsid w:val="00866E03"/>
    <w:rsid w:val="008704F9"/>
    <w:rsid w:val="008718CA"/>
    <w:rsid w:val="00872507"/>
    <w:rsid w:val="00874165"/>
    <w:rsid w:val="008743C3"/>
    <w:rsid w:val="00877187"/>
    <w:rsid w:val="0088088D"/>
    <w:rsid w:val="00881D01"/>
    <w:rsid w:val="00882F22"/>
    <w:rsid w:val="00885078"/>
    <w:rsid w:val="008861DD"/>
    <w:rsid w:val="0089084F"/>
    <w:rsid w:val="00894020"/>
    <w:rsid w:val="00894B8B"/>
    <w:rsid w:val="00896373"/>
    <w:rsid w:val="008A0341"/>
    <w:rsid w:val="008A0684"/>
    <w:rsid w:val="008A0F7A"/>
    <w:rsid w:val="008A1CCF"/>
    <w:rsid w:val="008A3AA7"/>
    <w:rsid w:val="008A4054"/>
    <w:rsid w:val="008A7F41"/>
    <w:rsid w:val="008B3046"/>
    <w:rsid w:val="008B44D1"/>
    <w:rsid w:val="008B4BAC"/>
    <w:rsid w:val="008B6878"/>
    <w:rsid w:val="008C037D"/>
    <w:rsid w:val="008C0495"/>
    <w:rsid w:val="008C0524"/>
    <w:rsid w:val="008C10CC"/>
    <w:rsid w:val="008C11DC"/>
    <w:rsid w:val="008C1366"/>
    <w:rsid w:val="008C1A56"/>
    <w:rsid w:val="008C2094"/>
    <w:rsid w:val="008C24FE"/>
    <w:rsid w:val="008C2B8B"/>
    <w:rsid w:val="008C3DA7"/>
    <w:rsid w:val="008C799C"/>
    <w:rsid w:val="008C7EF1"/>
    <w:rsid w:val="008D1D4B"/>
    <w:rsid w:val="008D2891"/>
    <w:rsid w:val="008D3CD4"/>
    <w:rsid w:val="008D4952"/>
    <w:rsid w:val="008D6092"/>
    <w:rsid w:val="008E2775"/>
    <w:rsid w:val="008E56D7"/>
    <w:rsid w:val="008E5E76"/>
    <w:rsid w:val="008E6D29"/>
    <w:rsid w:val="008E7466"/>
    <w:rsid w:val="008F07FA"/>
    <w:rsid w:val="008F1AD2"/>
    <w:rsid w:val="008F1ED7"/>
    <w:rsid w:val="008F21CC"/>
    <w:rsid w:val="008F4015"/>
    <w:rsid w:val="008F491E"/>
    <w:rsid w:val="008F52A8"/>
    <w:rsid w:val="008F6B03"/>
    <w:rsid w:val="008F6B27"/>
    <w:rsid w:val="008F7899"/>
    <w:rsid w:val="00900593"/>
    <w:rsid w:val="00900F7D"/>
    <w:rsid w:val="00901083"/>
    <w:rsid w:val="00902241"/>
    <w:rsid w:val="00903963"/>
    <w:rsid w:val="00904219"/>
    <w:rsid w:val="00904F5B"/>
    <w:rsid w:val="00905118"/>
    <w:rsid w:val="00906BE7"/>
    <w:rsid w:val="009122C7"/>
    <w:rsid w:val="00913570"/>
    <w:rsid w:val="00915801"/>
    <w:rsid w:val="00921F64"/>
    <w:rsid w:val="00922DC6"/>
    <w:rsid w:val="00925FB0"/>
    <w:rsid w:val="00933D09"/>
    <w:rsid w:val="00934084"/>
    <w:rsid w:val="00934A65"/>
    <w:rsid w:val="0093611D"/>
    <w:rsid w:val="00941051"/>
    <w:rsid w:val="00941BF7"/>
    <w:rsid w:val="009420B0"/>
    <w:rsid w:val="009459FB"/>
    <w:rsid w:val="00945F4D"/>
    <w:rsid w:val="009466B6"/>
    <w:rsid w:val="0094681D"/>
    <w:rsid w:val="00946EC0"/>
    <w:rsid w:val="009476ED"/>
    <w:rsid w:val="00950220"/>
    <w:rsid w:val="0095164A"/>
    <w:rsid w:val="00951DE8"/>
    <w:rsid w:val="00953743"/>
    <w:rsid w:val="00954B42"/>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4A7"/>
    <w:rsid w:val="00982C5A"/>
    <w:rsid w:val="009830F7"/>
    <w:rsid w:val="00983A6A"/>
    <w:rsid w:val="00984CAF"/>
    <w:rsid w:val="00987969"/>
    <w:rsid w:val="00987C33"/>
    <w:rsid w:val="00990415"/>
    <w:rsid w:val="00990B34"/>
    <w:rsid w:val="00991553"/>
    <w:rsid w:val="00991F95"/>
    <w:rsid w:val="009921DB"/>
    <w:rsid w:val="009929C2"/>
    <w:rsid w:val="009941F5"/>
    <w:rsid w:val="0099520D"/>
    <w:rsid w:val="009959C2"/>
    <w:rsid w:val="009A097C"/>
    <w:rsid w:val="009A1E45"/>
    <w:rsid w:val="009A1F9B"/>
    <w:rsid w:val="009A25AA"/>
    <w:rsid w:val="009A2D17"/>
    <w:rsid w:val="009A2F81"/>
    <w:rsid w:val="009A4018"/>
    <w:rsid w:val="009A4C05"/>
    <w:rsid w:val="009A50E3"/>
    <w:rsid w:val="009B18C6"/>
    <w:rsid w:val="009C031C"/>
    <w:rsid w:val="009C276F"/>
    <w:rsid w:val="009C281B"/>
    <w:rsid w:val="009C37E4"/>
    <w:rsid w:val="009C42E1"/>
    <w:rsid w:val="009C5127"/>
    <w:rsid w:val="009C52B4"/>
    <w:rsid w:val="009C7E5B"/>
    <w:rsid w:val="009D1055"/>
    <w:rsid w:val="009D265E"/>
    <w:rsid w:val="009D276A"/>
    <w:rsid w:val="009D2ACC"/>
    <w:rsid w:val="009D3002"/>
    <w:rsid w:val="009D3ADE"/>
    <w:rsid w:val="009D587C"/>
    <w:rsid w:val="009D701C"/>
    <w:rsid w:val="009D702F"/>
    <w:rsid w:val="009D7C9B"/>
    <w:rsid w:val="009E0323"/>
    <w:rsid w:val="009E08F3"/>
    <w:rsid w:val="009E0958"/>
    <w:rsid w:val="009E1FC6"/>
    <w:rsid w:val="009E294F"/>
    <w:rsid w:val="009E4072"/>
    <w:rsid w:val="009E64A3"/>
    <w:rsid w:val="009E6C9E"/>
    <w:rsid w:val="009E73DC"/>
    <w:rsid w:val="009E76DF"/>
    <w:rsid w:val="009F11C8"/>
    <w:rsid w:val="009F2534"/>
    <w:rsid w:val="009F2D81"/>
    <w:rsid w:val="009F2F9A"/>
    <w:rsid w:val="009F7B1A"/>
    <w:rsid w:val="00A001BE"/>
    <w:rsid w:val="00A0096E"/>
    <w:rsid w:val="00A01367"/>
    <w:rsid w:val="00A0218B"/>
    <w:rsid w:val="00A026C9"/>
    <w:rsid w:val="00A031CA"/>
    <w:rsid w:val="00A0350D"/>
    <w:rsid w:val="00A03B0D"/>
    <w:rsid w:val="00A0573A"/>
    <w:rsid w:val="00A12292"/>
    <w:rsid w:val="00A13C44"/>
    <w:rsid w:val="00A14137"/>
    <w:rsid w:val="00A14EE4"/>
    <w:rsid w:val="00A15B42"/>
    <w:rsid w:val="00A15BB3"/>
    <w:rsid w:val="00A16D7C"/>
    <w:rsid w:val="00A21278"/>
    <w:rsid w:val="00A248D1"/>
    <w:rsid w:val="00A31120"/>
    <w:rsid w:val="00A31B76"/>
    <w:rsid w:val="00A35C1E"/>
    <w:rsid w:val="00A3692B"/>
    <w:rsid w:val="00A36B6D"/>
    <w:rsid w:val="00A37677"/>
    <w:rsid w:val="00A3775B"/>
    <w:rsid w:val="00A40949"/>
    <w:rsid w:val="00A40955"/>
    <w:rsid w:val="00A40AED"/>
    <w:rsid w:val="00A4110C"/>
    <w:rsid w:val="00A42819"/>
    <w:rsid w:val="00A42F52"/>
    <w:rsid w:val="00A435AA"/>
    <w:rsid w:val="00A435C0"/>
    <w:rsid w:val="00A457BB"/>
    <w:rsid w:val="00A46411"/>
    <w:rsid w:val="00A50C1B"/>
    <w:rsid w:val="00A52BB5"/>
    <w:rsid w:val="00A53880"/>
    <w:rsid w:val="00A5492F"/>
    <w:rsid w:val="00A55B84"/>
    <w:rsid w:val="00A56690"/>
    <w:rsid w:val="00A569CE"/>
    <w:rsid w:val="00A60117"/>
    <w:rsid w:val="00A602D6"/>
    <w:rsid w:val="00A60B23"/>
    <w:rsid w:val="00A625BA"/>
    <w:rsid w:val="00A62DF2"/>
    <w:rsid w:val="00A64975"/>
    <w:rsid w:val="00A64CC2"/>
    <w:rsid w:val="00A674C0"/>
    <w:rsid w:val="00A70781"/>
    <w:rsid w:val="00A72942"/>
    <w:rsid w:val="00A7418B"/>
    <w:rsid w:val="00A74C30"/>
    <w:rsid w:val="00A75348"/>
    <w:rsid w:val="00A75550"/>
    <w:rsid w:val="00A7610E"/>
    <w:rsid w:val="00A77F8F"/>
    <w:rsid w:val="00A831C4"/>
    <w:rsid w:val="00A85E6C"/>
    <w:rsid w:val="00A85E88"/>
    <w:rsid w:val="00A87AC2"/>
    <w:rsid w:val="00AA1D69"/>
    <w:rsid w:val="00AA3965"/>
    <w:rsid w:val="00AA3F96"/>
    <w:rsid w:val="00AA75BD"/>
    <w:rsid w:val="00AA796C"/>
    <w:rsid w:val="00AA7DD1"/>
    <w:rsid w:val="00AA7E13"/>
    <w:rsid w:val="00AB1497"/>
    <w:rsid w:val="00AB1D2C"/>
    <w:rsid w:val="00AB59FB"/>
    <w:rsid w:val="00AB67DE"/>
    <w:rsid w:val="00AB6DA5"/>
    <w:rsid w:val="00AB77C4"/>
    <w:rsid w:val="00AB7987"/>
    <w:rsid w:val="00AB7AB4"/>
    <w:rsid w:val="00AB7C01"/>
    <w:rsid w:val="00AC3F50"/>
    <w:rsid w:val="00AC5B1B"/>
    <w:rsid w:val="00AC6480"/>
    <w:rsid w:val="00AC70F3"/>
    <w:rsid w:val="00AD00D2"/>
    <w:rsid w:val="00AD1BD2"/>
    <w:rsid w:val="00AD2F9B"/>
    <w:rsid w:val="00AD6817"/>
    <w:rsid w:val="00AD6DD1"/>
    <w:rsid w:val="00AD7876"/>
    <w:rsid w:val="00AE0DC1"/>
    <w:rsid w:val="00AE12C0"/>
    <w:rsid w:val="00AE1573"/>
    <w:rsid w:val="00AE1A8D"/>
    <w:rsid w:val="00AE1BBA"/>
    <w:rsid w:val="00AE2583"/>
    <w:rsid w:val="00AE2BC0"/>
    <w:rsid w:val="00AE3027"/>
    <w:rsid w:val="00AE35F6"/>
    <w:rsid w:val="00AE3CA6"/>
    <w:rsid w:val="00AE4EE9"/>
    <w:rsid w:val="00AE54D6"/>
    <w:rsid w:val="00AE608A"/>
    <w:rsid w:val="00AE6170"/>
    <w:rsid w:val="00AE6635"/>
    <w:rsid w:val="00AE70F3"/>
    <w:rsid w:val="00AF0C8D"/>
    <w:rsid w:val="00AF1EB6"/>
    <w:rsid w:val="00AF314E"/>
    <w:rsid w:val="00AF44BB"/>
    <w:rsid w:val="00AF4AE5"/>
    <w:rsid w:val="00AF5168"/>
    <w:rsid w:val="00AF543D"/>
    <w:rsid w:val="00AF6392"/>
    <w:rsid w:val="00AF6F6E"/>
    <w:rsid w:val="00AF704D"/>
    <w:rsid w:val="00B00BEC"/>
    <w:rsid w:val="00B0320D"/>
    <w:rsid w:val="00B04BF9"/>
    <w:rsid w:val="00B10724"/>
    <w:rsid w:val="00B127B8"/>
    <w:rsid w:val="00B13100"/>
    <w:rsid w:val="00B156D6"/>
    <w:rsid w:val="00B16B77"/>
    <w:rsid w:val="00B16C61"/>
    <w:rsid w:val="00B1708D"/>
    <w:rsid w:val="00B179E2"/>
    <w:rsid w:val="00B20040"/>
    <w:rsid w:val="00B21387"/>
    <w:rsid w:val="00B21B4B"/>
    <w:rsid w:val="00B24061"/>
    <w:rsid w:val="00B24A9A"/>
    <w:rsid w:val="00B2617A"/>
    <w:rsid w:val="00B27944"/>
    <w:rsid w:val="00B32E45"/>
    <w:rsid w:val="00B33D37"/>
    <w:rsid w:val="00B34E0A"/>
    <w:rsid w:val="00B35874"/>
    <w:rsid w:val="00B44CB9"/>
    <w:rsid w:val="00B46A8D"/>
    <w:rsid w:val="00B4780E"/>
    <w:rsid w:val="00B47B65"/>
    <w:rsid w:val="00B5081F"/>
    <w:rsid w:val="00B52385"/>
    <w:rsid w:val="00B5247D"/>
    <w:rsid w:val="00B52903"/>
    <w:rsid w:val="00B53A07"/>
    <w:rsid w:val="00B552EB"/>
    <w:rsid w:val="00B5612A"/>
    <w:rsid w:val="00B57988"/>
    <w:rsid w:val="00B6139D"/>
    <w:rsid w:val="00B6266B"/>
    <w:rsid w:val="00B62CAB"/>
    <w:rsid w:val="00B63DDB"/>
    <w:rsid w:val="00B64831"/>
    <w:rsid w:val="00B66750"/>
    <w:rsid w:val="00B67DC8"/>
    <w:rsid w:val="00B70FE9"/>
    <w:rsid w:val="00B726BD"/>
    <w:rsid w:val="00B73770"/>
    <w:rsid w:val="00B73AEA"/>
    <w:rsid w:val="00B73BC5"/>
    <w:rsid w:val="00B76783"/>
    <w:rsid w:val="00B76A8F"/>
    <w:rsid w:val="00B76AAB"/>
    <w:rsid w:val="00B81209"/>
    <w:rsid w:val="00B816CA"/>
    <w:rsid w:val="00B86D7B"/>
    <w:rsid w:val="00B86F7E"/>
    <w:rsid w:val="00B87177"/>
    <w:rsid w:val="00B876CE"/>
    <w:rsid w:val="00B937E0"/>
    <w:rsid w:val="00B937E9"/>
    <w:rsid w:val="00B96CD3"/>
    <w:rsid w:val="00BA00A5"/>
    <w:rsid w:val="00BA129B"/>
    <w:rsid w:val="00BA36F4"/>
    <w:rsid w:val="00BA6538"/>
    <w:rsid w:val="00BA79C3"/>
    <w:rsid w:val="00BB00EA"/>
    <w:rsid w:val="00BB02AB"/>
    <w:rsid w:val="00BB2173"/>
    <w:rsid w:val="00BB2350"/>
    <w:rsid w:val="00BB2656"/>
    <w:rsid w:val="00BB41A5"/>
    <w:rsid w:val="00BC06F3"/>
    <w:rsid w:val="00BC1F16"/>
    <w:rsid w:val="00BC2102"/>
    <w:rsid w:val="00BC235B"/>
    <w:rsid w:val="00BC3130"/>
    <w:rsid w:val="00BC32AF"/>
    <w:rsid w:val="00BC4622"/>
    <w:rsid w:val="00BC54E0"/>
    <w:rsid w:val="00BC6299"/>
    <w:rsid w:val="00BC6994"/>
    <w:rsid w:val="00BD30AC"/>
    <w:rsid w:val="00BD31C6"/>
    <w:rsid w:val="00BD4E1A"/>
    <w:rsid w:val="00BD5746"/>
    <w:rsid w:val="00BD75A3"/>
    <w:rsid w:val="00BE06B1"/>
    <w:rsid w:val="00BE08DF"/>
    <w:rsid w:val="00BE0DF0"/>
    <w:rsid w:val="00BE1E9D"/>
    <w:rsid w:val="00BE71D8"/>
    <w:rsid w:val="00BE7B23"/>
    <w:rsid w:val="00BF1CB0"/>
    <w:rsid w:val="00BF461A"/>
    <w:rsid w:val="00BF6FE2"/>
    <w:rsid w:val="00BF7335"/>
    <w:rsid w:val="00C01F37"/>
    <w:rsid w:val="00C02ADA"/>
    <w:rsid w:val="00C02F5F"/>
    <w:rsid w:val="00C04A83"/>
    <w:rsid w:val="00C05334"/>
    <w:rsid w:val="00C05E50"/>
    <w:rsid w:val="00C07E24"/>
    <w:rsid w:val="00C1502E"/>
    <w:rsid w:val="00C152E5"/>
    <w:rsid w:val="00C165E3"/>
    <w:rsid w:val="00C210E7"/>
    <w:rsid w:val="00C21101"/>
    <w:rsid w:val="00C219A7"/>
    <w:rsid w:val="00C23859"/>
    <w:rsid w:val="00C24293"/>
    <w:rsid w:val="00C26416"/>
    <w:rsid w:val="00C307E4"/>
    <w:rsid w:val="00C31528"/>
    <w:rsid w:val="00C32171"/>
    <w:rsid w:val="00C32D73"/>
    <w:rsid w:val="00C33489"/>
    <w:rsid w:val="00C3593A"/>
    <w:rsid w:val="00C359DC"/>
    <w:rsid w:val="00C366C3"/>
    <w:rsid w:val="00C3752C"/>
    <w:rsid w:val="00C4141E"/>
    <w:rsid w:val="00C46AD6"/>
    <w:rsid w:val="00C50243"/>
    <w:rsid w:val="00C5180F"/>
    <w:rsid w:val="00C519FC"/>
    <w:rsid w:val="00C52227"/>
    <w:rsid w:val="00C52825"/>
    <w:rsid w:val="00C532D4"/>
    <w:rsid w:val="00C535F8"/>
    <w:rsid w:val="00C5604B"/>
    <w:rsid w:val="00C5625D"/>
    <w:rsid w:val="00C56892"/>
    <w:rsid w:val="00C6028F"/>
    <w:rsid w:val="00C61313"/>
    <w:rsid w:val="00C63A33"/>
    <w:rsid w:val="00C648FC"/>
    <w:rsid w:val="00C6724A"/>
    <w:rsid w:val="00C67360"/>
    <w:rsid w:val="00C67DCF"/>
    <w:rsid w:val="00C7114C"/>
    <w:rsid w:val="00C756EA"/>
    <w:rsid w:val="00C75D98"/>
    <w:rsid w:val="00C77B20"/>
    <w:rsid w:val="00C818C6"/>
    <w:rsid w:val="00C822C9"/>
    <w:rsid w:val="00C855DA"/>
    <w:rsid w:val="00C87338"/>
    <w:rsid w:val="00C9031A"/>
    <w:rsid w:val="00C91870"/>
    <w:rsid w:val="00C92320"/>
    <w:rsid w:val="00C94FB0"/>
    <w:rsid w:val="00C9554B"/>
    <w:rsid w:val="00C97654"/>
    <w:rsid w:val="00C97955"/>
    <w:rsid w:val="00C97BE2"/>
    <w:rsid w:val="00CA19B9"/>
    <w:rsid w:val="00CA22ED"/>
    <w:rsid w:val="00CA557E"/>
    <w:rsid w:val="00CA63CC"/>
    <w:rsid w:val="00CA7E59"/>
    <w:rsid w:val="00CB3475"/>
    <w:rsid w:val="00CB36F0"/>
    <w:rsid w:val="00CB3E08"/>
    <w:rsid w:val="00CB5252"/>
    <w:rsid w:val="00CB5917"/>
    <w:rsid w:val="00CB5FB7"/>
    <w:rsid w:val="00CB60F6"/>
    <w:rsid w:val="00CB6313"/>
    <w:rsid w:val="00CC1EF0"/>
    <w:rsid w:val="00CC2B32"/>
    <w:rsid w:val="00CC342A"/>
    <w:rsid w:val="00CC7A35"/>
    <w:rsid w:val="00CD10CA"/>
    <w:rsid w:val="00CD1883"/>
    <w:rsid w:val="00CD372F"/>
    <w:rsid w:val="00CD3DF5"/>
    <w:rsid w:val="00CD4460"/>
    <w:rsid w:val="00CD4AF9"/>
    <w:rsid w:val="00CD67AB"/>
    <w:rsid w:val="00CD7EB5"/>
    <w:rsid w:val="00CE0212"/>
    <w:rsid w:val="00CE25C4"/>
    <w:rsid w:val="00CE2CD7"/>
    <w:rsid w:val="00CE43FD"/>
    <w:rsid w:val="00CE4637"/>
    <w:rsid w:val="00CE5F1E"/>
    <w:rsid w:val="00CE6C03"/>
    <w:rsid w:val="00CF0B35"/>
    <w:rsid w:val="00CF0C10"/>
    <w:rsid w:val="00CF1512"/>
    <w:rsid w:val="00CF1E09"/>
    <w:rsid w:val="00CF412B"/>
    <w:rsid w:val="00CF750C"/>
    <w:rsid w:val="00CF7F0D"/>
    <w:rsid w:val="00D0158A"/>
    <w:rsid w:val="00D01AD8"/>
    <w:rsid w:val="00D029C5"/>
    <w:rsid w:val="00D0673B"/>
    <w:rsid w:val="00D0680D"/>
    <w:rsid w:val="00D10070"/>
    <w:rsid w:val="00D117F6"/>
    <w:rsid w:val="00D11DA8"/>
    <w:rsid w:val="00D20F36"/>
    <w:rsid w:val="00D22FDF"/>
    <w:rsid w:val="00D23390"/>
    <w:rsid w:val="00D24E13"/>
    <w:rsid w:val="00D2638A"/>
    <w:rsid w:val="00D31832"/>
    <w:rsid w:val="00D3690C"/>
    <w:rsid w:val="00D3737E"/>
    <w:rsid w:val="00D37A1F"/>
    <w:rsid w:val="00D40B62"/>
    <w:rsid w:val="00D415D9"/>
    <w:rsid w:val="00D46AD4"/>
    <w:rsid w:val="00D5000C"/>
    <w:rsid w:val="00D517C2"/>
    <w:rsid w:val="00D522EE"/>
    <w:rsid w:val="00D524E8"/>
    <w:rsid w:val="00D52DEA"/>
    <w:rsid w:val="00D535BE"/>
    <w:rsid w:val="00D5405B"/>
    <w:rsid w:val="00D55A81"/>
    <w:rsid w:val="00D56C0E"/>
    <w:rsid w:val="00D61398"/>
    <w:rsid w:val="00D64338"/>
    <w:rsid w:val="00D66364"/>
    <w:rsid w:val="00D669CC"/>
    <w:rsid w:val="00D66FF5"/>
    <w:rsid w:val="00D67FCE"/>
    <w:rsid w:val="00D7077E"/>
    <w:rsid w:val="00D7118B"/>
    <w:rsid w:val="00D71513"/>
    <w:rsid w:val="00D71F99"/>
    <w:rsid w:val="00D731FE"/>
    <w:rsid w:val="00D733C5"/>
    <w:rsid w:val="00D73FC3"/>
    <w:rsid w:val="00D74C4E"/>
    <w:rsid w:val="00D756CE"/>
    <w:rsid w:val="00D75EDC"/>
    <w:rsid w:val="00D775F0"/>
    <w:rsid w:val="00D80074"/>
    <w:rsid w:val="00D818C8"/>
    <w:rsid w:val="00D8476B"/>
    <w:rsid w:val="00D85DAF"/>
    <w:rsid w:val="00D87441"/>
    <w:rsid w:val="00D877AC"/>
    <w:rsid w:val="00D92CC6"/>
    <w:rsid w:val="00D944AF"/>
    <w:rsid w:val="00D94648"/>
    <w:rsid w:val="00D95612"/>
    <w:rsid w:val="00D9590E"/>
    <w:rsid w:val="00D96B18"/>
    <w:rsid w:val="00D97661"/>
    <w:rsid w:val="00DA0DE6"/>
    <w:rsid w:val="00DA1C28"/>
    <w:rsid w:val="00DA4CDB"/>
    <w:rsid w:val="00DA4DED"/>
    <w:rsid w:val="00DA7007"/>
    <w:rsid w:val="00DB1253"/>
    <w:rsid w:val="00DB4CAF"/>
    <w:rsid w:val="00DB53A5"/>
    <w:rsid w:val="00DC030E"/>
    <w:rsid w:val="00DC39C5"/>
    <w:rsid w:val="00DC4CAA"/>
    <w:rsid w:val="00DC710C"/>
    <w:rsid w:val="00DD03BA"/>
    <w:rsid w:val="00DD2559"/>
    <w:rsid w:val="00DD26EA"/>
    <w:rsid w:val="00DD400A"/>
    <w:rsid w:val="00DD42E6"/>
    <w:rsid w:val="00DE2802"/>
    <w:rsid w:val="00DE3BA3"/>
    <w:rsid w:val="00DE420E"/>
    <w:rsid w:val="00DE7AA2"/>
    <w:rsid w:val="00DF0D42"/>
    <w:rsid w:val="00DF2406"/>
    <w:rsid w:val="00DF270A"/>
    <w:rsid w:val="00DF3A53"/>
    <w:rsid w:val="00DF55BA"/>
    <w:rsid w:val="00E014D6"/>
    <w:rsid w:val="00E016A5"/>
    <w:rsid w:val="00E06091"/>
    <w:rsid w:val="00E06F13"/>
    <w:rsid w:val="00E06F15"/>
    <w:rsid w:val="00E06F80"/>
    <w:rsid w:val="00E10213"/>
    <w:rsid w:val="00E11EAB"/>
    <w:rsid w:val="00E136C0"/>
    <w:rsid w:val="00E157A2"/>
    <w:rsid w:val="00E15F9C"/>
    <w:rsid w:val="00E2678A"/>
    <w:rsid w:val="00E26878"/>
    <w:rsid w:val="00E27E24"/>
    <w:rsid w:val="00E30369"/>
    <w:rsid w:val="00E30FB0"/>
    <w:rsid w:val="00E315AE"/>
    <w:rsid w:val="00E31837"/>
    <w:rsid w:val="00E32BA9"/>
    <w:rsid w:val="00E33083"/>
    <w:rsid w:val="00E337F8"/>
    <w:rsid w:val="00E34768"/>
    <w:rsid w:val="00E35544"/>
    <w:rsid w:val="00E37EAF"/>
    <w:rsid w:val="00E426B8"/>
    <w:rsid w:val="00E43A7C"/>
    <w:rsid w:val="00E4646F"/>
    <w:rsid w:val="00E46843"/>
    <w:rsid w:val="00E50520"/>
    <w:rsid w:val="00E50979"/>
    <w:rsid w:val="00E51A4C"/>
    <w:rsid w:val="00E52524"/>
    <w:rsid w:val="00E5273B"/>
    <w:rsid w:val="00E556DD"/>
    <w:rsid w:val="00E56CAD"/>
    <w:rsid w:val="00E56E38"/>
    <w:rsid w:val="00E61FF1"/>
    <w:rsid w:val="00E62F6B"/>
    <w:rsid w:val="00E64E7E"/>
    <w:rsid w:val="00E65578"/>
    <w:rsid w:val="00E6582C"/>
    <w:rsid w:val="00E6640C"/>
    <w:rsid w:val="00E66B4B"/>
    <w:rsid w:val="00E70296"/>
    <w:rsid w:val="00E71632"/>
    <w:rsid w:val="00E716A2"/>
    <w:rsid w:val="00E718A9"/>
    <w:rsid w:val="00E72286"/>
    <w:rsid w:val="00E739A8"/>
    <w:rsid w:val="00E73E7E"/>
    <w:rsid w:val="00E818A3"/>
    <w:rsid w:val="00E81DAB"/>
    <w:rsid w:val="00E83C6B"/>
    <w:rsid w:val="00E8403C"/>
    <w:rsid w:val="00E849F7"/>
    <w:rsid w:val="00E9018D"/>
    <w:rsid w:val="00E919B3"/>
    <w:rsid w:val="00E933F2"/>
    <w:rsid w:val="00E9376C"/>
    <w:rsid w:val="00E95241"/>
    <w:rsid w:val="00E9542E"/>
    <w:rsid w:val="00E97F7E"/>
    <w:rsid w:val="00EA092B"/>
    <w:rsid w:val="00EA0F47"/>
    <w:rsid w:val="00EA2EEF"/>
    <w:rsid w:val="00EA3659"/>
    <w:rsid w:val="00EA5433"/>
    <w:rsid w:val="00EA6AF9"/>
    <w:rsid w:val="00EB0154"/>
    <w:rsid w:val="00EB02A6"/>
    <w:rsid w:val="00EB05A0"/>
    <w:rsid w:val="00EB1ACE"/>
    <w:rsid w:val="00EB1EEC"/>
    <w:rsid w:val="00EB332B"/>
    <w:rsid w:val="00EB48B6"/>
    <w:rsid w:val="00EB5247"/>
    <w:rsid w:val="00EB5D29"/>
    <w:rsid w:val="00EB724B"/>
    <w:rsid w:val="00EB79E5"/>
    <w:rsid w:val="00EC0628"/>
    <w:rsid w:val="00EC0B41"/>
    <w:rsid w:val="00EC0F9E"/>
    <w:rsid w:val="00EC18D0"/>
    <w:rsid w:val="00EC455D"/>
    <w:rsid w:val="00EC477F"/>
    <w:rsid w:val="00EC4AE1"/>
    <w:rsid w:val="00EC4EA7"/>
    <w:rsid w:val="00EC7A57"/>
    <w:rsid w:val="00ED064C"/>
    <w:rsid w:val="00ED2556"/>
    <w:rsid w:val="00ED3D61"/>
    <w:rsid w:val="00ED5C1D"/>
    <w:rsid w:val="00ED6EB3"/>
    <w:rsid w:val="00ED7230"/>
    <w:rsid w:val="00EE0059"/>
    <w:rsid w:val="00EE2577"/>
    <w:rsid w:val="00EE342F"/>
    <w:rsid w:val="00EE35AC"/>
    <w:rsid w:val="00EE5A12"/>
    <w:rsid w:val="00EE6164"/>
    <w:rsid w:val="00EF0C6E"/>
    <w:rsid w:val="00EF1543"/>
    <w:rsid w:val="00EF1757"/>
    <w:rsid w:val="00EF2F70"/>
    <w:rsid w:val="00EF4852"/>
    <w:rsid w:val="00EF5FA1"/>
    <w:rsid w:val="00F011DE"/>
    <w:rsid w:val="00F013FD"/>
    <w:rsid w:val="00F02FFD"/>
    <w:rsid w:val="00F0555E"/>
    <w:rsid w:val="00F06973"/>
    <w:rsid w:val="00F06FEA"/>
    <w:rsid w:val="00F134E3"/>
    <w:rsid w:val="00F13CCB"/>
    <w:rsid w:val="00F17877"/>
    <w:rsid w:val="00F20EE9"/>
    <w:rsid w:val="00F210F4"/>
    <w:rsid w:val="00F2398A"/>
    <w:rsid w:val="00F24332"/>
    <w:rsid w:val="00F27A16"/>
    <w:rsid w:val="00F3069C"/>
    <w:rsid w:val="00F317DC"/>
    <w:rsid w:val="00F32F68"/>
    <w:rsid w:val="00F33C53"/>
    <w:rsid w:val="00F377C6"/>
    <w:rsid w:val="00F40CCD"/>
    <w:rsid w:val="00F44A8F"/>
    <w:rsid w:val="00F468EB"/>
    <w:rsid w:val="00F47251"/>
    <w:rsid w:val="00F50143"/>
    <w:rsid w:val="00F50713"/>
    <w:rsid w:val="00F549A3"/>
    <w:rsid w:val="00F60397"/>
    <w:rsid w:val="00F62647"/>
    <w:rsid w:val="00F64B4A"/>
    <w:rsid w:val="00F65609"/>
    <w:rsid w:val="00F65A9F"/>
    <w:rsid w:val="00F66644"/>
    <w:rsid w:val="00F6681B"/>
    <w:rsid w:val="00F70C81"/>
    <w:rsid w:val="00F7194A"/>
    <w:rsid w:val="00F72C93"/>
    <w:rsid w:val="00F73244"/>
    <w:rsid w:val="00F769AB"/>
    <w:rsid w:val="00F76DB5"/>
    <w:rsid w:val="00F7799C"/>
    <w:rsid w:val="00F80F2C"/>
    <w:rsid w:val="00F813C6"/>
    <w:rsid w:val="00F83505"/>
    <w:rsid w:val="00F85F4C"/>
    <w:rsid w:val="00F876A5"/>
    <w:rsid w:val="00F90659"/>
    <w:rsid w:val="00F9689C"/>
    <w:rsid w:val="00F97405"/>
    <w:rsid w:val="00F9764A"/>
    <w:rsid w:val="00FA0B93"/>
    <w:rsid w:val="00FA158F"/>
    <w:rsid w:val="00FA1E04"/>
    <w:rsid w:val="00FA3A82"/>
    <w:rsid w:val="00FB4923"/>
    <w:rsid w:val="00FB7DB0"/>
    <w:rsid w:val="00FC4E6A"/>
    <w:rsid w:val="00FC534C"/>
    <w:rsid w:val="00FC5AE2"/>
    <w:rsid w:val="00FC744E"/>
    <w:rsid w:val="00FC7C47"/>
    <w:rsid w:val="00FD1C11"/>
    <w:rsid w:val="00FD1D43"/>
    <w:rsid w:val="00FD2990"/>
    <w:rsid w:val="00FD5D92"/>
    <w:rsid w:val="00FD71A6"/>
    <w:rsid w:val="00FE31E3"/>
    <w:rsid w:val="00FE3B90"/>
    <w:rsid w:val="00FE59F9"/>
    <w:rsid w:val="00FE6BE5"/>
    <w:rsid w:val="00FE7415"/>
    <w:rsid w:val="00FF0033"/>
    <w:rsid w:val="00FF04ED"/>
    <w:rsid w:val="00FF1806"/>
    <w:rsid w:val="00FF28C9"/>
    <w:rsid w:val="00FF338D"/>
    <w:rsid w:val="00FF422D"/>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837"/>
    <w:pPr>
      <w:widowControl w:val="0"/>
    </w:pPr>
    <w:rPr>
      <w:snapToGrid w:val="0"/>
      <w:kern w:val="28"/>
      <w:sz w:val="22"/>
    </w:rPr>
  </w:style>
  <w:style w:type="paragraph" w:styleId="Heading1">
    <w:name w:val="heading 1"/>
    <w:basedOn w:val="Normal"/>
    <w:next w:val="ParaNum"/>
    <w:link w:val="Heading1Char"/>
    <w:qFormat/>
    <w:rsid w:val="00E31837"/>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31837"/>
    <w:pPr>
      <w:keepNext/>
      <w:numPr>
        <w:ilvl w:val="1"/>
        <w:numId w:val="6"/>
      </w:numPr>
      <w:spacing w:after="120"/>
      <w:outlineLvl w:val="1"/>
    </w:pPr>
    <w:rPr>
      <w:b/>
    </w:rPr>
  </w:style>
  <w:style w:type="paragraph" w:styleId="Heading3">
    <w:name w:val="heading 3"/>
    <w:basedOn w:val="Normal"/>
    <w:next w:val="ParaNum"/>
    <w:link w:val="Heading3Char"/>
    <w:qFormat/>
    <w:rsid w:val="00E31837"/>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31837"/>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31837"/>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31837"/>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31837"/>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31837"/>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31837"/>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1837"/>
    <w:rPr>
      <w:rFonts w:ascii="Times New Roman Bold" w:hAnsi="Times New Roman Bold"/>
      <w:b/>
      <w:caps/>
      <w:snapToGrid w:val="0"/>
      <w:kern w:val="28"/>
      <w:sz w:val="22"/>
    </w:rPr>
  </w:style>
  <w:style w:type="character" w:customStyle="1" w:styleId="Heading2Char">
    <w:name w:val="Heading 2 Char"/>
    <w:link w:val="Heading2"/>
    <w:locked/>
    <w:rsid w:val="00E31837"/>
    <w:rPr>
      <w:b/>
      <w:snapToGrid w:val="0"/>
      <w:kern w:val="28"/>
      <w:sz w:val="22"/>
    </w:rPr>
  </w:style>
  <w:style w:type="character" w:customStyle="1" w:styleId="Heading3Char">
    <w:name w:val="Heading 3 Char"/>
    <w:link w:val="Heading3"/>
    <w:locked/>
    <w:rsid w:val="00E31837"/>
    <w:rPr>
      <w:b/>
      <w:snapToGrid w:val="0"/>
      <w:kern w:val="28"/>
      <w:sz w:val="22"/>
    </w:rPr>
  </w:style>
  <w:style w:type="character" w:customStyle="1" w:styleId="Heading4Char">
    <w:name w:val="Heading 4 Char"/>
    <w:link w:val="Heading4"/>
    <w:locked/>
    <w:rsid w:val="00E31837"/>
    <w:rPr>
      <w:b/>
      <w:snapToGrid w:val="0"/>
      <w:kern w:val="28"/>
      <w:sz w:val="22"/>
    </w:rPr>
  </w:style>
  <w:style w:type="character" w:customStyle="1" w:styleId="Heading5Char">
    <w:name w:val="Heading 5 Char"/>
    <w:link w:val="Heading5"/>
    <w:locked/>
    <w:rsid w:val="00E31837"/>
    <w:rPr>
      <w:b/>
      <w:snapToGrid w:val="0"/>
      <w:kern w:val="28"/>
      <w:sz w:val="22"/>
    </w:rPr>
  </w:style>
  <w:style w:type="character" w:customStyle="1" w:styleId="Heading6Char">
    <w:name w:val="Heading 6 Char"/>
    <w:link w:val="Heading6"/>
    <w:locked/>
    <w:rsid w:val="00E31837"/>
    <w:rPr>
      <w:b/>
      <w:snapToGrid w:val="0"/>
      <w:kern w:val="28"/>
      <w:sz w:val="22"/>
    </w:rPr>
  </w:style>
  <w:style w:type="character" w:customStyle="1" w:styleId="Heading7Char">
    <w:name w:val="Heading 7 Char"/>
    <w:link w:val="Heading7"/>
    <w:locked/>
    <w:rsid w:val="00E31837"/>
    <w:rPr>
      <w:b/>
      <w:snapToGrid w:val="0"/>
      <w:kern w:val="28"/>
      <w:sz w:val="22"/>
    </w:rPr>
  </w:style>
  <w:style w:type="character" w:customStyle="1" w:styleId="Heading8Char">
    <w:name w:val="Heading 8 Char"/>
    <w:link w:val="Heading8"/>
    <w:locked/>
    <w:rsid w:val="00E31837"/>
    <w:rPr>
      <w:b/>
      <w:snapToGrid w:val="0"/>
      <w:kern w:val="28"/>
      <w:sz w:val="22"/>
    </w:rPr>
  </w:style>
  <w:style w:type="character" w:customStyle="1" w:styleId="Heading9Char">
    <w:name w:val="Heading 9 Char"/>
    <w:link w:val="Heading9"/>
    <w:locked/>
    <w:rsid w:val="00E31837"/>
    <w:rPr>
      <w:b/>
      <w:snapToGrid w:val="0"/>
      <w:kern w:val="28"/>
      <w:sz w:val="22"/>
    </w:rPr>
  </w:style>
  <w:style w:type="paragraph" w:styleId="BalloonText">
    <w:name w:val="Balloon Text"/>
    <w:basedOn w:val="Normal"/>
    <w:link w:val="BalloonTextChar"/>
    <w:uiPriority w:val="99"/>
    <w:semiHidden/>
    <w:rsid w:val="00E31837"/>
    <w:rPr>
      <w:kern w:val="0"/>
      <w:sz w:val="20"/>
    </w:rPr>
  </w:style>
  <w:style w:type="character" w:customStyle="1" w:styleId="BalloonTextChar">
    <w:name w:val="Balloon Text Char"/>
    <w:link w:val="BalloonText"/>
    <w:uiPriority w:val="99"/>
    <w:semiHidden/>
    <w:locked/>
    <w:rsid w:val="00E31837"/>
    <w:rPr>
      <w:snapToGrid w:val="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E31837"/>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E31837"/>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E31837"/>
    <w:rPr>
      <w:rFonts w:ascii="Times New Roman" w:hAnsi="Times New Roman"/>
      <w:dstrike w:val="0"/>
      <w:color w:val="auto"/>
      <w:sz w:val="20"/>
      <w:vertAlign w:val="superscript"/>
    </w:rPr>
  </w:style>
  <w:style w:type="paragraph" w:styleId="Header">
    <w:name w:val="header"/>
    <w:basedOn w:val="Normal"/>
    <w:link w:val="HeaderChar"/>
    <w:autoRedefine/>
    <w:rsid w:val="00E31837"/>
    <w:pPr>
      <w:tabs>
        <w:tab w:val="center" w:pos="4680"/>
        <w:tab w:val="right" w:pos="9360"/>
      </w:tabs>
    </w:pPr>
    <w:rPr>
      <w:b/>
    </w:rPr>
  </w:style>
  <w:style w:type="character" w:customStyle="1" w:styleId="HeaderChar">
    <w:name w:val="Header Char"/>
    <w:link w:val="Header"/>
    <w:locked/>
    <w:rsid w:val="00E31837"/>
    <w:rPr>
      <w:b/>
      <w:snapToGrid w:val="0"/>
      <w:kern w:val="28"/>
      <w:sz w:val="22"/>
    </w:rPr>
  </w:style>
  <w:style w:type="paragraph" w:styleId="Footer">
    <w:name w:val="footer"/>
    <w:basedOn w:val="Normal"/>
    <w:link w:val="FooterChar"/>
    <w:rsid w:val="00E31837"/>
    <w:pPr>
      <w:tabs>
        <w:tab w:val="center" w:pos="4320"/>
        <w:tab w:val="right" w:pos="8640"/>
      </w:tabs>
    </w:pPr>
  </w:style>
  <w:style w:type="character" w:customStyle="1" w:styleId="FooterChar">
    <w:name w:val="Footer Char"/>
    <w:link w:val="Footer"/>
    <w:locked/>
    <w:rsid w:val="00E31837"/>
    <w:rPr>
      <w:snapToGrid w:val="0"/>
      <w:kern w:val="28"/>
      <w:sz w:val="22"/>
    </w:rPr>
  </w:style>
  <w:style w:type="character" w:styleId="PageNumber">
    <w:name w:val="page number"/>
    <w:rsid w:val="00E31837"/>
  </w:style>
  <w:style w:type="paragraph" w:customStyle="1" w:styleId="Paranum0">
    <w:name w:val="Paranum"/>
    <w:uiPriority w:val="99"/>
    <w:rsid w:val="00E31837"/>
    <w:pPr>
      <w:numPr>
        <w:numId w:val="1"/>
      </w:numPr>
      <w:tabs>
        <w:tab w:val="left" w:pos="1440"/>
      </w:tabs>
      <w:spacing w:after="240"/>
      <w:jc w:val="both"/>
    </w:pPr>
    <w:rPr>
      <w:snapToGrid w:val="0"/>
      <w:color w:val="000000"/>
      <w:spacing w:val="-2"/>
      <w:kern w:val="28"/>
      <w:sz w:val="22"/>
    </w:rPr>
  </w:style>
  <w:style w:type="paragraph" w:customStyle="1" w:styleId="par1">
    <w:name w:val="par1"/>
    <w:basedOn w:val="Normal"/>
    <w:link w:val="par1Char"/>
    <w:uiPriority w:val="99"/>
    <w:rsid w:val="00E31837"/>
    <w:pPr>
      <w:numPr>
        <w:numId w:val="2"/>
      </w:numPr>
    </w:pPr>
    <w:rPr>
      <w:sz w:val="20"/>
    </w:rPr>
  </w:style>
  <w:style w:type="paragraph" w:customStyle="1" w:styleId="ParaNum">
    <w:name w:val="ParaNum"/>
    <w:basedOn w:val="Normal"/>
    <w:link w:val="ParaNumChar"/>
    <w:rsid w:val="00E31837"/>
    <w:pPr>
      <w:numPr>
        <w:numId w:val="21"/>
      </w:numPr>
      <w:spacing w:after="120"/>
    </w:pPr>
  </w:style>
  <w:style w:type="paragraph" w:styleId="BodyText">
    <w:name w:val="Body Text"/>
    <w:aliases w:val="b"/>
    <w:basedOn w:val="Normal"/>
    <w:link w:val="BodyTextChar"/>
    <w:uiPriority w:val="99"/>
    <w:rsid w:val="00E31837"/>
    <w:rPr>
      <w:b/>
      <w:kern w:val="0"/>
      <w:sz w:val="24"/>
      <w:u w:val="single"/>
    </w:rPr>
  </w:style>
  <w:style w:type="character" w:customStyle="1" w:styleId="BodyTextChar">
    <w:name w:val="Body Text Char"/>
    <w:aliases w:val="b Char"/>
    <w:link w:val="BodyText"/>
    <w:uiPriority w:val="99"/>
    <w:locked/>
    <w:rsid w:val="00E31837"/>
    <w:rPr>
      <w:b/>
      <w:snapToGrid w:val="0"/>
      <w:sz w:val="24"/>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E31837"/>
    <w:rPr>
      <w:lang w:val="en-US" w:eastAsia="en-US"/>
    </w:rPr>
  </w:style>
  <w:style w:type="character" w:customStyle="1" w:styleId="ParanumChar0">
    <w:name w:val="Paranum Char"/>
    <w:uiPriority w:val="99"/>
    <w:rsid w:val="00E31837"/>
    <w:rPr>
      <w:sz w:val="22"/>
      <w:lang w:val="en-US" w:eastAsia="en-US"/>
    </w:rPr>
  </w:style>
  <w:style w:type="paragraph" w:styleId="HTMLPreformatted">
    <w:name w:val="HTML Preformatted"/>
    <w:basedOn w:val="Normal"/>
    <w:link w:val="HTMLPreformattedChar"/>
    <w:uiPriority w:val="99"/>
    <w:rsid w:val="00E3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locked/>
    <w:rsid w:val="00E31837"/>
    <w:rPr>
      <w:rFonts w:ascii="Courier New" w:hAnsi="Courier New"/>
      <w:snapToGrid w:val="0"/>
    </w:rPr>
  </w:style>
  <w:style w:type="character" w:styleId="Hyperlink">
    <w:name w:val="Hyperlink"/>
    <w:rsid w:val="00E31837"/>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E31837"/>
  </w:style>
  <w:style w:type="character" w:styleId="Strong">
    <w:name w:val="Strong"/>
    <w:uiPriority w:val="99"/>
    <w:qFormat/>
    <w:rsid w:val="00E31837"/>
    <w:rPr>
      <w:rFonts w:cs="Times New Roman"/>
      <w:b/>
    </w:rPr>
  </w:style>
  <w:style w:type="character" w:customStyle="1" w:styleId="zzmpTrailerItem">
    <w:name w:val="zzmpTrailerItem"/>
    <w:uiPriority w:val="99"/>
    <w:rsid w:val="00E31837"/>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E31837"/>
    <w:pPr>
      <w:spacing w:after="120" w:line="480" w:lineRule="auto"/>
      <w:ind w:left="360"/>
    </w:pPr>
    <w:rPr>
      <w:kern w:val="0"/>
      <w:sz w:val="24"/>
    </w:rPr>
  </w:style>
  <w:style w:type="character" w:customStyle="1" w:styleId="BodyTextIndent2Char">
    <w:name w:val="Body Text Indent 2 Char"/>
    <w:link w:val="BodyTextIndent2"/>
    <w:uiPriority w:val="99"/>
    <w:locked/>
    <w:rsid w:val="00E31837"/>
    <w:rPr>
      <w:snapToGrid w:val="0"/>
      <w:sz w:val="24"/>
    </w:rPr>
  </w:style>
  <w:style w:type="paragraph" w:customStyle="1" w:styleId="StyleBoldCentered">
    <w:name w:val="Style Bold Centered"/>
    <w:basedOn w:val="Normal"/>
    <w:rsid w:val="00E31837"/>
    <w:pPr>
      <w:jc w:val="center"/>
    </w:pPr>
    <w:rPr>
      <w:rFonts w:ascii="Times New Roman Bold" w:hAnsi="Times New Roman Bold"/>
      <w:b/>
      <w:bCs/>
      <w:caps/>
      <w:szCs w:val="22"/>
    </w:rPr>
  </w:style>
  <w:style w:type="paragraph" w:styleId="TOAHeading">
    <w:name w:val="toa heading"/>
    <w:basedOn w:val="Normal"/>
    <w:next w:val="Normal"/>
    <w:semiHidden/>
    <w:rsid w:val="00E31837"/>
    <w:pPr>
      <w:tabs>
        <w:tab w:val="right" w:pos="9360"/>
      </w:tabs>
      <w:suppressAutoHyphens/>
    </w:pPr>
  </w:style>
  <w:style w:type="character" w:customStyle="1" w:styleId="bCharChar">
    <w:name w:val="b Char Char"/>
    <w:uiPriority w:val="99"/>
    <w:semiHidden/>
    <w:locked/>
    <w:rsid w:val="00E31837"/>
    <w:rPr>
      <w:b/>
      <w:sz w:val="24"/>
      <w:u w:val="single"/>
      <w:lang w:val="en-US" w:eastAsia="en-US"/>
    </w:rPr>
  </w:style>
  <w:style w:type="paragraph" w:customStyle="1" w:styleId="StyleParaNumAfter0pt">
    <w:name w:val="Style ParaNum + After:  0 pt"/>
    <w:basedOn w:val="Normal"/>
    <w:autoRedefine/>
    <w:uiPriority w:val="99"/>
    <w:rsid w:val="00E31837"/>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E31837"/>
    <w:pPr>
      <w:ind w:left="720"/>
    </w:pPr>
  </w:style>
  <w:style w:type="character" w:styleId="CommentReference">
    <w:name w:val="annotation reference"/>
    <w:uiPriority w:val="99"/>
    <w:rsid w:val="00E31837"/>
    <w:rPr>
      <w:rFonts w:cs="Times New Roman"/>
      <w:sz w:val="16"/>
    </w:rPr>
  </w:style>
  <w:style w:type="paragraph" w:styleId="CommentText">
    <w:name w:val="annotation text"/>
    <w:basedOn w:val="Normal"/>
    <w:link w:val="CommentTextChar"/>
    <w:uiPriority w:val="99"/>
    <w:rsid w:val="00E31837"/>
    <w:rPr>
      <w:kern w:val="0"/>
      <w:sz w:val="20"/>
    </w:rPr>
  </w:style>
  <w:style w:type="character" w:customStyle="1" w:styleId="CommentTextChar">
    <w:name w:val="Comment Text Char"/>
    <w:link w:val="CommentText"/>
    <w:uiPriority w:val="99"/>
    <w:locked/>
    <w:rsid w:val="00E31837"/>
    <w:rPr>
      <w:snapToGrid w:val="0"/>
    </w:rPr>
  </w:style>
  <w:style w:type="paragraph" w:styleId="CommentSubject">
    <w:name w:val="annotation subject"/>
    <w:basedOn w:val="CommentText"/>
    <w:next w:val="CommentText"/>
    <w:link w:val="CommentSubjectChar"/>
    <w:uiPriority w:val="99"/>
    <w:rsid w:val="00E31837"/>
    <w:rPr>
      <w:b/>
    </w:rPr>
  </w:style>
  <w:style w:type="character" w:customStyle="1" w:styleId="CommentSubjectChar">
    <w:name w:val="Comment Subject Char"/>
    <w:link w:val="CommentSubject"/>
    <w:uiPriority w:val="99"/>
    <w:locked/>
    <w:rsid w:val="00E31837"/>
    <w:rPr>
      <w:b/>
      <w:snapToGrid w:val="0"/>
    </w:rPr>
  </w:style>
  <w:style w:type="character" w:customStyle="1" w:styleId="par1Char">
    <w:name w:val="par1 Char"/>
    <w:link w:val="par1"/>
    <w:uiPriority w:val="99"/>
    <w:locked/>
    <w:rsid w:val="00E31837"/>
    <w:rPr>
      <w:snapToGrid w:val="0"/>
      <w:kern w:val="28"/>
    </w:rPr>
  </w:style>
  <w:style w:type="paragraph" w:styleId="Revision">
    <w:name w:val="Revision"/>
    <w:hidden/>
    <w:uiPriority w:val="99"/>
    <w:semiHidden/>
    <w:rsid w:val="00E31837"/>
    <w:rPr>
      <w:snapToGrid w:val="0"/>
      <w:color w:val="000000"/>
      <w:spacing w:val="-2"/>
      <w:kern w:val="28"/>
      <w:sz w:val="24"/>
      <w:szCs w:val="24"/>
    </w:rPr>
  </w:style>
  <w:style w:type="paragraph" w:styleId="EndnoteText">
    <w:name w:val="endnote text"/>
    <w:basedOn w:val="Normal"/>
    <w:link w:val="EndnoteTextChar"/>
    <w:semiHidden/>
    <w:locked/>
    <w:rsid w:val="00E31837"/>
    <w:rPr>
      <w:sz w:val="20"/>
    </w:rPr>
  </w:style>
  <w:style w:type="character" w:customStyle="1" w:styleId="EndnoteTextChar">
    <w:name w:val="Endnote Text Char"/>
    <w:link w:val="EndnoteText"/>
    <w:semiHidden/>
    <w:locked/>
    <w:rsid w:val="00E31837"/>
    <w:rPr>
      <w:snapToGrid w:val="0"/>
      <w:kern w:val="28"/>
    </w:rPr>
  </w:style>
  <w:style w:type="character" w:styleId="EndnoteReference">
    <w:name w:val="endnote reference"/>
    <w:semiHidden/>
    <w:locked/>
    <w:rsid w:val="00E31837"/>
    <w:rPr>
      <w:vertAlign w:val="superscript"/>
    </w:rPr>
  </w:style>
  <w:style w:type="paragraph" w:styleId="TOC1">
    <w:name w:val="toc 1"/>
    <w:basedOn w:val="Normal"/>
    <w:next w:val="Normal"/>
    <w:semiHidden/>
    <w:locked/>
    <w:rsid w:val="00E31837"/>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E31837"/>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E318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E318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E318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E31837"/>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E31837"/>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E31837"/>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E31837"/>
    <w:pPr>
      <w:tabs>
        <w:tab w:val="left" w:pos="3240"/>
        <w:tab w:val="right" w:leader="dot" w:pos="9360"/>
      </w:tabs>
      <w:suppressAutoHyphens/>
      <w:ind w:left="3240" w:hanging="360"/>
    </w:pPr>
    <w:rPr>
      <w:noProof/>
    </w:rPr>
  </w:style>
  <w:style w:type="character" w:customStyle="1" w:styleId="EquationCaption">
    <w:name w:val="_Equation Caption"/>
    <w:rsid w:val="00E31837"/>
  </w:style>
  <w:style w:type="paragraph" w:styleId="BlockText">
    <w:name w:val="Block Text"/>
    <w:basedOn w:val="Normal"/>
    <w:locked/>
    <w:rsid w:val="00E31837"/>
    <w:pPr>
      <w:spacing w:after="240"/>
      <w:ind w:left="1440" w:right="1440"/>
    </w:pPr>
  </w:style>
  <w:style w:type="paragraph" w:customStyle="1" w:styleId="Paratitle">
    <w:name w:val="Para title"/>
    <w:basedOn w:val="Normal"/>
    <w:rsid w:val="00E31837"/>
    <w:pPr>
      <w:tabs>
        <w:tab w:val="center" w:pos="9270"/>
      </w:tabs>
      <w:spacing w:after="240"/>
    </w:pPr>
    <w:rPr>
      <w:spacing w:val="-2"/>
    </w:rPr>
  </w:style>
  <w:style w:type="paragraph" w:customStyle="1" w:styleId="Bullet">
    <w:name w:val="Bullet"/>
    <w:basedOn w:val="Normal"/>
    <w:rsid w:val="00E31837"/>
    <w:pPr>
      <w:tabs>
        <w:tab w:val="left" w:pos="2160"/>
      </w:tabs>
      <w:spacing w:after="220"/>
      <w:ind w:left="2160" w:hanging="720"/>
    </w:pPr>
  </w:style>
  <w:style w:type="paragraph" w:customStyle="1" w:styleId="TableFormat">
    <w:name w:val="TableFormat"/>
    <w:basedOn w:val="Bullet"/>
    <w:rsid w:val="00E31837"/>
    <w:pPr>
      <w:tabs>
        <w:tab w:val="clear" w:pos="2160"/>
        <w:tab w:val="left" w:pos="5040"/>
      </w:tabs>
      <w:ind w:left="5040" w:hanging="3600"/>
    </w:pPr>
  </w:style>
  <w:style w:type="paragraph" w:customStyle="1" w:styleId="TOCTitle">
    <w:name w:val="TOC Title"/>
    <w:basedOn w:val="Normal"/>
    <w:rsid w:val="00E31837"/>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E31837"/>
    <w:rPr>
      <w:lang w:val="en-US" w:eastAsia="en-US"/>
    </w:rPr>
  </w:style>
  <w:style w:type="character" w:customStyle="1" w:styleId="ALTSFOOTNOTECharChar">
    <w:name w:val="ALTS FOOTNOTE Char Char"/>
    <w:aliases w:val="fn Char Char,rrfootnote Char1 Char,rrfootnote Char Char Char Char Char,f Char,fn Char1"/>
    <w:locked/>
    <w:rsid w:val="00E31837"/>
  </w:style>
  <w:style w:type="character" w:customStyle="1" w:styleId="ParaNumChar">
    <w:name w:val="ParaNum Char"/>
    <w:link w:val="ParaNum"/>
    <w:locked/>
    <w:rsid w:val="00E31837"/>
    <w:rPr>
      <w:snapToGrid w:val="0"/>
      <w:kern w:val="28"/>
      <w:sz w:val="22"/>
    </w:rPr>
  </w:style>
  <w:style w:type="character" w:customStyle="1" w:styleId="ParaNumChar1">
    <w:name w:val="ParaNum Char1"/>
    <w:locked/>
    <w:rsid w:val="00E31837"/>
    <w:rPr>
      <w:snapToGrid w:val="0"/>
      <w:kern w:val="28"/>
      <w:sz w:val="22"/>
    </w:rPr>
  </w:style>
  <w:style w:type="character" w:customStyle="1" w:styleId="documentbody">
    <w:name w:val="documentbody"/>
    <w:rsid w:val="00E31837"/>
  </w:style>
  <w:style w:type="character" w:customStyle="1" w:styleId="searchterm">
    <w:name w:val="searchterm"/>
    <w:rsid w:val="00E31837"/>
  </w:style>
  <w:style w:type="character" w:customStyle="1" w:styleId="rrfootnoteCharCharCharChar">
    <w:name w:val="rrfootnote Char Char Char Char"/>
    <w:aliases w:val="rrfootnote Char2"/>
    <w:rsid w:val="00E31837"/>
    <w:rPr>
      <w:lang w:val="en-US" w:eastAsia="en-US" w:bidi="ar-SA"/>
    </w:rPr>
  </w:style>
  <w:style w:type="paragraph" w:customStyle="1" w:styleId="StyleParaNumLinespacingAtleast12pt">
    <w:name w:val="Style ParaNum + Line spacing:  At least 12 pt"/>
    <w:basedOn w:val="ParaNum"/>
    <w:rsid w:val="00E31837"/>
    <w:pPr>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837"/>
    <w:pPr>
      <w:widowControl w:val="0"/>
    </w:pPr>
    <w:rPr>
      <w:snapToGrid w:val="0"/>
      <w:kern w:val="28"/>
      <w:sz w:val="22"/>
    </w:rPr>
  </w:style>
  <w:style w:type="paragraph" w:styleId="Heading1">
    <w:name w:val="heading 1"/>
    <w:basedOn w:val="Normal"/>
    <w:next w:val="ParaNum"/>
    <w:link w:val="Heading1Char"/>
    <w:qFormat/>
    <w:rsid w:val="00E31837"/>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31837"/>
    <w:pPr>
      <w:keepNext/>
      <w:numPr>
        <w:ilvl w:val="1"/>
        <w:numId w:val="6"/>
      </w:numPr>
      <w:spacing w:after="120"/>
      <w:outlineLvl w:val="1"/>
    </w:pPr>
    <w:rPr>
      <w:b/>
    </w:rPr>
  </w:style>
  <w:style w:type="paragraph" w:styleId="Heading3">
    <w:name w:val="heading 3"/>
    <w:basedOn w:val="Normal"/>
    <w:next w:val="ParaNum"/>
    <w:link w:val="Heading3Char"/>
    <w:qFormat/>
    <w:rsid w:val="00E31837"/>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31837"/>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31837"/>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31837"/>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31837"/>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31837"/>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31837"/>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1837"/>
    <w:rPr>
      <w:rFonts w:ascii="Times New Roman Bold" w:hAnsi="Times New Roman Bold"/>
      <w:b/>
      <w:caps/>
      <w:snapToGrid w:val="0"/>
      <w:kern w:val="28"/>
      <w:sz w:val="22"/>
    </w:rPr>
  </w:style>
  <w:style w:type="character" w:customStyle="1" w:styleId="Heading2Char">
    <w:name w:val="Heading 2 Char"/>
    <w:link w:val="Heading2"/>
    <w:locked/>
    <w:rsid w:val="00E31837"/>
    <w:rPr>
      <w:b/>
      <w:snapToGrid w:val="0"/>
      <w:kern w:val="28"/>
      <w:sz w:val="22"/>
    </w:rPr>
  </w:style>
  <w:style w:type="character" w:customStyle="1" w:styleId="Heading3Char">
    <w:name w:val="Heading 3 Char"/>
    <w:link w:val="Heading3"/>
    <w:locked/>
    <w:rsid w:val="00E31837"/>
    <w:rPr>
      <w:b/>
      <w:snapToGrid w:val="0"/>
      <w:kern w:val="28"/>
      <w:sz w:val="22"/>
    </w:rPr>
  </w:style>
  <w:style w:type="character" w:customStyle="1" w:styleId="Heading4Char">
    <w:name w:val="Heading 4 Char"/>
    <w:link w:val="Heading4"/>
    <w:locked/>
    <w:rsid w:val="00E31837"/>
    <w:rPr>
      <w:b/>
      <w:snapToGrid w:val="0"/>
      <w:kern w:val="28"/>
      <w:sz w:val="22"/>
    </w:rPr>
  </w:style>
  <w:style w:type="character" w:customStyle="1" w:styleId="Heading5Char">
    <w:name w:val="Heading 5 Char"/>
    <w:link w:val="Heading5"/>
    <w:locked/>
    <w:rsid w:val="00E31837"/>
    <w:rPr>
      <w:b/>
      <w:snapToGrid w:val="0"/>
      <w:kern w:val="28"/>
      <w:sz w:val="22"/>
    </w:rPr>
  </w:style>
  <w:style w:type="character" w:customStyle="1" w:styleId="Heading6Char">
    <w:name w:val="Heading 6 Char"/>
    <w:link w:val="Heading6"/>
    <w:locked/>
    <w:rsid w:val="00E31837"/>
    <w:rPr>
      <w:b/>
      <w:snapToGrid w:val="0"/>
      <w:kern w:val="28"/>
      <w:sz w:val="22"/>
    </w:rPr>
  </w:style>
  <w:style w:type="character" w:customStyle="1" w:styleId="Heading7Char">
    <w:name w:val="Heading 7 Char"/>
    <w:link w:val="Heading7"/>
    <w:locked/>
    <w:rsid w:val="00E31837"/>
    <w:rPr>
      <w:b/>
      <w:snapToGrid w:val="0"/>
      <w:kern w:val="28"/>
      <w:sz w:val="22"/>
    </w:rPr>
  </w:style>
  <w:style w:type="character" w:customStyle="1" w:styleId="Heading8Char">
    <w:name w:val="Heading 8 Char"/>
    <w:link w:val="Heading8"/>
    <w:locked/>
    <w:rsid w:val="00E31837"/>
    <w:rPr>
      <w:b/>
      <w:snapToGrid w:val="0"/>
      <w:kern w:val="28"/>
      <w:sz w:val="22"/>
    </w:rPr>
  </w:style>
  <w:style w:type="character" w:customStyle="1" w:styleId="Heading9Char">
    <w:name w:val="Heading 9 Char"/>
    <w:link w:val="Heading9"/>
    <w:locked/>
    <w:rsid w:val="00E31837"/>
    <w:rPr>
      <w:b/>
      <w:snapToGrid w:val="0"/>
      <w:kern w:val="28"/>
      <w:sz w:val="22"/>
    </w:rPr>
  </w:style>
  <w:style w:type="paragraph" w:styleId="BalloonText">
    <w:name w:val="Balloon Text"/>
    <w:basedOn w:val="Normal"/>
    <w:link w:val="BalloonTextChar"/>
    <w:uiPriority w:val="99"/>
    <w:semiHidden/>
    <w:rsid w:val="00E31837"/>
    <w:rPr>
      <w:kern w:val="0"/>
      <w:sz w:val="20"/>
    </w:rPr>
  </w:style>
  <w:style w:type="character" w:customStyle="1" w:styleId="BalloonTextChar">
    <w:name w:val="Balloon Text Char"/>
    <w:link w:val="BalloonText"/>
    <w:uiPriority w:val="99"/>
    <w:semiHidden/>
    <w:locked/>
    <w:rsid w:val="00E31837"/>
    <w:rPr>
      <w:snapToGrid w:val="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E31837"/>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E31837"/>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E31837"/>
    <w:rPr>
      <w:rFonts w:ascii="Times New Roman" w:hAnsi="Times New Roman"/>
      <w:dstrike w:val="0"/>
      <w:color w:val="auto"/>
      <w:sz w:val="20"/>
      <w:vertAlign w:val="superscript"/>
    </w:rPr>
  </w:style>
  <w:style w:type="paragraph" w:styleId="Header">
    <w:name w:val="header"/>
    <w:basedOn w:val="Normal"/>
    <w:link w:val="HeaderChar"/>
    <w:autoRedefine/>
    <w:rsid w:val="00E31837"/>
    <w:pPr>
      <w:tabs>
        <w:tab w:val="center" w:pos="4680"/>
        <w:tab w:val="right" w:pos="9360"/>
      </w:tabs>
    </w:pPr>
    <w:rPr>
      <w:b/>
    </w:rPr>
  </w:style>
  <w:style w:type="character" w:customStyle="1" w:styleId="HeaderChar">
    <w:name w:val="Header Char"/>
    <w:link w:val="Header"/>
    <w:locked/>
    <w:rsid w:val="00E31837"/>
    <w:rPr>
      <w:b/>
      <w:snapToGrid w:val="0"/>
      <w:kern w:val="28"/>
      <w:sz w:val="22"/>
    </w:rPr>
  </w:style>
  <w:style w:type="paragraph" w:styleId="Footer">
    <w:name w:val="footer"/>
    <w:basedOn w:val="Normal"/>
    <w:link w:val="FooterChar"/>
    <w:rsid w:val="00E31837"/>
    <w:pPr>
      <w:tabs>
        <w:tab w:val="center" w:pos="4320"/>
        <w:tab w:val="right" w:pos="8640"/>
      </w:tabs>
    </w:pPr>
  </w:style>
  <w:style w:type="character" w:customStyle="1" w:styleId="FooterChar">
    <w:name w:val="Footer Char"/>
    <w:link w:val="Footer"/>
    <w:locked/>
    <w:rsid w:val="00E31837"/>
    <w:rPr>
      <w:snapToGrid w:val="0"/>
      <w:kern w:val="28"/>
      <w:sz w:val="22"/>
    </w:rPr>
  </w:style>
  <w:style w:type="character" w:styleId="PageNumber">
    <w:name w:val="page number"/>
    <w:rsid w:val="00E31837"/>
  </w:style>
  <w:style w:type="paragraph" w:customStyle="1" w:styleId="Paranum0">
    <w:name w:val="Paranum"/>
    <w:uiPriority w:val="99"/>
    <w:rsid w:val="00E31837"/>
    <w:pPr>
      <w:numPr>
        <w:numId w:val="1"/>
      </w:numPr>
      <w:tabs>
        <w:tab w:val="left" w:pos="1440"/>
      </w:tabs>
      <w:spacing w:after="240"/>
      <w:jc w:val="both"/>
    </w:pPr>
    <w:rPr>
      <w:snapToGrid w:val="0"/>
      <w:color w:val="000000"/>
      <w:spacing w:val="-2"/>
      <w:kern w:val="28"/>
      <w:sz w:val="22"/>
    </w:rPr>
  </w:style>
  <w:style w:type="paragraph" w:customStyle="1" w:styleId="par1">
    <w:name w:val="par1"/>
    <w:basedOn w:val="Normal"/>
    <w:link w:val="par1Char"/>
    <w:uiPriority w:val="99"/>
    <w:rsid w:val="00E31837"/>
    <w:pPr>
      <w:numPr>
        <w:numId w:val="2"/>
      </w:numPr>
    </w:pPr>
    <w:rPr>
      <w:sz w:val="20"/>
    </w:rPr>
  </w:style>
  <w:style w:type="paragraph" w:customStyle="1" w:styleId="ParaNum">
    <w:name w:val="ParaNum"/>
    <w:basedOn w:val="Normal"/>
    <w:link w:val="ParaNumChar"/>
    <w:rsid w:val="00E31837"/>
    <w:pPr>
      <w:numPr>
        <w:numId w:val="21"/>
      </w:numPr>
      <w:spacing w:after="120"/>
    </w:pPr>
  </w:style>
  <w:style w:type="paragraph" w:styleId="BodyText">
    <w:name w:val="Body Text"/>
    <w:aliases w:val="b"/>
    <w:basedOn w:val="Normal"/>
    <w:link w:val="BodyTextChar"/>
    <w:uiPriority w:val="99"/>
    <w:rsid w:val="00E31837"/>
    <w:rPr>
      <w:b/>
      <w:kern w:val="0"/>
      <w:sz w:val="24"/>
      <w:u w:val="single"/>
    </w:rPr>
  </w:style>
  <w:style w:type="character" w:customStyle="1" w:styleId="BodyTextChar">
    <w:name w:val="Body Text Char"/>
    <w:aliases w:val="b Char"/>
    <w:link w:val="BodyText"/>
    <w:uiPriority w:val="99"/>
    <w:locked/>
    <w:rsid w:val="00E31837"/>
    <w:rPr>
      <w:b/>
      <w:snapToGrid w:val="0"/>
      <w:sz w:val="24"/>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E31837"/>
    <w:rPr>
      <w:lang w:val="en-US" w:eastAsia="en-US"/>
    </w:rPr>
  </w:style>
  <w:style w:type="character" w:customStyle="1" w:styleId="ParanumChar0">
    <w:name w:val="Paranum Char"/>
    <w:uiPriority w:val="99"/>
    <w:rsid w:val="00E31837"/>
    <w:rPr>
      <w:sz w:val="22"/>
      <w:lang w:val="en-US" w:eastAsia="en-US"/>
    </w:rPr>
  </w:style>
  <w:style w:type="paragraph" w:styleId="HTMLPreformatted">
    <w:name w:val="HTML Preformatted"/>
    <w:basedOn w:val="Normal"/>
    <w:link w:val="HTMLPreformattedChar"/>
    <w:uiPriority w:val="99"/>
    <w:rsid w:val="00E3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locked/>
    <w:rsid w:val="00E31837"/>
    <w:rPr>
      <w:rFonts w:ascii="Courier New" w:hAnsi="Courier New"/>
      <w:snapToGrid w:val="0"/>
    </w:rPr>
  </w:style>
  <w:style w:type="character" w:styleId="Hyperlink">
    <w:name w:val="Hyperlink"/>
    <w:rsid w:val="00E31837"/>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E31837"/>
  </w:style>
  <w:style w:type="character" w:styleId="Strong">
    <w:name w:val="Strong"/>
    <w:uiPriority w:val="99"/>
    <w:qFormat/>
    <w:rsid w:val="00E31837"/>
    <w:rPr>
      <w:rFonts w:cs="Times New Roman"/>
      <w:b/>
    </w:rPr>
  </w:style>
  <w:style w:type="character" w:customStyle="1" w:styleId="zzmpTrailerItem">
    <w:name w:val="zzmpTrailerItem"/>
    <w:uiPriority w:val="99"/>
    <w:rsid w:val="00E31837"/>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E31837"/>
    <w:pPr>
      <w:spacing w:after="120" w:line="480" w:lineRule="auto"/>
      <w:ind w:left="360"/>
    </w:pPr>
    <w:rPr>
      <w:kern w:val="0"/>
      <w:sz w:val="24"/>
    </w:rPr>
  </w:style>
  <w:style w:type="character" w:customStyle="1" w:styleId="BodyTextIndent2Char">
    <w:name w:val="Body Text Indent 2 Char"/>
    <w:link w:val="BodyTextIndent2"/>
    <w:uiPriority w:val="99"/>
    <w:locked/>
    <w:rsid w:val="00E31837"/>
    <w:rPr>
      <w:snapToGrid w:val="0"/>
      <w:sz w:val="24"/>
    </w:rPr>
  </w:style>
  <w:style w:type="paragraph" w:customStyle="1" w:styleId="StyleBoldCentered">
    <w:name w:val="Style Bold Centered"/>
    <w:basedOn w:val="Normal"/>
    <w:rsid w:val="00E31837"/>
    <w:pPr>
      <w:jc w:val="center"/>
    </w:pPr>
    <w:rPr>
      <w:rFonts w:ascii="Times New Roman Bold" w:hAnsi="Times New Roman Bold"/>
      <w:b/>
      <w:bCs/>
      <w:caps/>
      <w:szCs w:val="22"/>
    </w:rPr>
  </w:style>
  <w:style w:type="paragraph" w:styleId="TOAHeading">
    <w:name w:val="toa heading"/>
    <w:basedOn w:val="Normal"/>
    <w:next w:val="Normal"/>
    <w:semiHidden/>
    <w:rsid w:val="00E31837"/>
    <w:pPr>
      <w:tabs>
        <w:tab w:val="right" w:pos="9360"/>
      </w:tabs>
      <w:suppressAutoHyphens/>
    </w:pPr>
  </w:style>
  <w:style w:type="character" w:customStyle="1" w:styleId="bCharChar">
    <w:name w:val="b Char Char"/>
    <w:uiPriority w:val="99"/>
    <w:semiHidden/>
    <w:locked/>
    <w:rsid w:val="00E31837"/>
    <w:rPr>
      <w:b/>
      <w:sz w:val="24"/>
      <w:u w:val="single"/>
      <w:lang w:val="en-US" w:eastAsia="en-US"/>
    </w:rPr>
  </w:style>
  <w:style w:type="paragraph" w:customStyle="1" w:styleId="StyleParaNumAfter0pt">
    <w:name w:val="Style ParaNum + After:  0 pt"/>
    <w:basedOn w:val="Normal"/>
    <w:autoRedefine/>
    <w:uiPriority w:val="99"/>
    <w:rsid w:val="00E31837"/>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E31837"/>
    <w:pPr>
      <w:ind w:left="720"/>
    </w:pPr>
  </w:style>
  <w:style w:type="character" w:styleId="CommentReference">
    <w:name w:val="annotation reference"/>
    <w:uiPriority w:val="99"/>
    <w:rsid w:val="00E31837"/>
    <w:rPr>
      <w:rFonts w:cs="Times New Roman"/>
      <w:sz w:val="16"/>
    </w:rPr>
  </w:style>
  <w:style w:type="paragraph" w:styleId="CommentText">
    <w:name w:val="annotation text"/>
    <w:basedOn w:val="Normal"/>
    <w:link w:val="CommentTextChar"/>
    <w:uiPriority w:val="99"/>
    <w:rsid w:val="00E31837"/>
    <w:rPr>
      <w:kern w:val="0"/>
      <w:sz w:val="20"/>
    </w:rPr>
  </w:style>
  <w:style w:type="character" w:customStyle="1" w:styleId="CommentTextChar">
    <w:name w:val="Comment Text Char"/>
    <w:link w:val="CommentText"/>
    <w:uiPriority w:val="99"/>
    <w:locked/>
    <w:rsid w:val="00E31837"/>
    <w:rPr>
      <w:snapToGrid w:val="0"/>
    </w:rPr>
  </w:style>
  <w:style w:type="paragraph" w:styleId="CommentSubject">
    <w:name w:val="annotation subject"/>
    <w:basedOn w:val="CommentText"/>
    <w:next w:val="CommentText"/>
    <w:link w:val="CommentSubjectChar"/>
    <w:uiPriority w:val="99"/>
    <w:rsid w:val="00E31837"/>
    <w:rPr>
      <w:b/>
    </w:rPr>
  </w:style>
  <w:style w:type="character" w:customStyle="1" w:styleId="CommentSubjectChar">
    <w:name w:val="Comment Subject Char"/>
    <w:link w:val="CommentSubject"/>
    <w:uiPriority w:val="99"/>
    <w:locked/>
    <w:rsid w:val="00E31837"/>
    <w:rPr>
      <w:b/>
      <w:snapToGrid w:val="0"/>
    </w:rPr>
  </w:style>
  <w:style w:type="character" w:customStyle="1" w:styleId="par1Char">
    <w:name w:val="par1 Char"/>
    <w:link w:val="par1"/>
    <w:uiPriority w:val="99"/>
    <w:locked/>
    <w:rsid w:val="00E31837"/>
    <w:rPr>
      <w:snapToGrid w:val="0"/>
      <w:kern w:val="28"/>
    </w:rPr>
  </w:style>
  <w:style w:type="paragraph" w:styleId="Revision">
    <w:name w:val="Revision"/>
    <w:hidden/>
    <w:uiPriority w:val="99"/>
    <w:semiHidden/>
    <w:rsid w:val="00E31837"/>
    <w:rPr>
      <w:snapToGrid w:val="0"/>
      <w:color w:val="000000"/>
      <w:spacing w:val="-2"/>
      <w:kern w:val="28"/>
      <w:sz w:val="24"/>
      <w:szCs w:val="24"/>
    </w:rPr>
  </w:style>
  <w:style w:type="paragraph" w:styleId="EndnoteText">
    <w:name w:val="endnote text"/>
    <w:basedOn w:val="Normal"/>
    <w:link w:val="EndnoteTextChar"/>
    <w:semiHidden/>
    <w:locked/>
    <w:rsid w:val="00E31837"/>
    <w:rPr>
      <w:sz w:val="20"/>
    </w:rPr>
  </w:style>
  <w:style w:type="character" w:customStyle="1" w:styleId="EndnoteTextChar">
    <w:name w:val="Endnote Text Char"/>
    <w:link w:val="EndnoteText"/>
    <w:semiHidden/>
    <w:locked/>
    <w:rsid w:val="00E31837"/>
    <w:rPr>
      <w:snapToGrid w:val="0"/>
      <w:kern w:val="28"/>
    </w:rPr>
  </w:style>
  <w:style w:type="character" w:styleId="EndnoteReference">
    <w:name w:val="endnote reference"/>
    <w:semiHidden/>
    <w:locked/>
    <w:rsid w:val="00E31837"/>
    <w:rPr>
      <w:vertAlign w:val="superscript"/>
    </w:rPr>
  </w:style>
  <w:style w:type="paragraph" w:styleId="TOC1">
    <w:name w:val="toc 1"/>
    <w:basedOn w:val="Normal"/>
    <w:next w:val="Normal"/>
    <w:semiHidden/>
    <w:locked/>
    <w:rsid w:val="00E31837"/>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E31837"/>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E318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E318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E318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E31837"/>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E31837"/>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E31837"/>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E31837"/>
    <w:pPr>
      <w:tabs>
        <w:tab w:val="left" w:pos="3240"/>
        <w:tab w:val="right" w:leader="dot" w:pos="9360"/>
      </w:tabs>
      <w:suppressAutoHyphens/>
      <w:ind w:left="3240" w:hanging="360"/>
    </w:pPr>
    <w:rPr>
      <w:noProof/>
    </w:rPr>
  </w:style>
  <w:style w:type="character" w:customStyle="1" w:styleId="EquationCaption">
    <w:name w:val="_Equation Caption"/>
    <w:rsid w:val="00E31837"/>
  </w:style>
  <w:style w:type="paragraph" w:styleId="BlockText">
    <w:name w:val="Block Text"/>
    <w:basedOn w:val="Normal"/>
    <w:locked/>
    <w:rsid w:val="00E31837"/>
    <w:pPr>
      <w:spacing w:after="240"/>
      <w:ind w:left="1440" w:right="1440"/>
    </w:pPr>
  </w:style>
  <w:style w:type="paragraph" w:customStyle="1" w:styleId="Paratitle">
    <w:name w:val="Para title"/>
    <w:basedOn w:val="Normal"/>
    <w:rsid w:val="00E31837"/>
    <w:pPr>
      <w:tabs>
        <w:tab w:val="center" w:pos="9270"/>
      </w:tabs>
      <w:spacing w:after="240"/>
    </w:pPr>
    <w:rPr>
      <w:spacing w:val="-2"/>
    </w:rPr>
  </w:style>
  <w:style w:type="paragraph" w:customStyle="1" w:styleId="Bullet">
    <w:name w:val="Bullet"/>
    <w:basedOn w:val="Normal"/>
    <w:rsid w:val="00E31837"/>
    <w:pPr>
      <w:tabs>
        <w:tab w:val="left" w:pos="2160"/>
      </w:tabs>
      <w:spacing w:after="220"/>
      <w:ind w:left="2160" w:hanging="720"/>
    </w:pPr>
  </w:style>
  <w:style w:type="paragraph" w:customStyle="1" w:styleId="TableFormat">
    <w:name w:val="TableFormat"/>
    <w:basedOn w:val="Bullet"/>
    <w:rsid w:val="00E31837"/>
    <w:pPr>
      <w:tabs>
        <w:tab w:val="clear" w:pos="2160"/>
        <w:tab w:val="left" w:pos="5040"/>
      </w:tabs>
      <w:ind w:left="5040" w:hanging="3600"/>
    </w:pPr>
  </w:style>
  <w:style w:type="paragraph" w:customStyle="1" w:styleId="TOCTitle">
    <w:name w:val="TOC Title"/>
    <w:basedOn w:val="Normal"/>
    <w:rsid w:val="00E31837"/>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E31837"/>
    <w:rPr>
      <w:lang w:val="en-US" w:eastAsia="en-US"/>
    </w:rPr>
  </w:style>
  <w:style w:type="character" w:customStyle="1" w:styleId="ALTSFOOTNOTECharChar">
    <w:name w:val="ALTS FOOTNOTE Char Char"/>
    <w:aliases w:val="fn Char Char,rrfootnote Char1 Char,rrfootnote Char Char Char Char Char,f Char,fn Char1"/>
    <w:locked/>
    <w:rsid w:val="00E31837"/>
  </w:style>
  <w:style w:type="character" w:customStyle="1" w:styleId="ParaNumChar">
    <w:name w:val="ParaNum Char"/>
    <w:link w:val="ParaNum"/>
    <w:locked/>
    <w:rsid w:val="00E31837"/>
    <w:rPr>
      <w:snapToGrid w:val="0"/>
      <w:kern w:val="28"/>
      <w:sz w:val="22"/>
    </w:rPr>
  </w:style>
  <w:style w:type="character" w:customStyle="1" w:styleId="ParaNumChar1">
    <w:name w:val="ParaNum Char1"/>
    <w:locked/>
    <w:rsid w:val="00E31837"/>
    <w:rPr>
      <w:snapToGrid w:val="0"/>
      <w:kern w:val="28"/>
      <w:sz w:val="22"/>
    </w:rPr>
  </w:style>
  <w:style w:type="character" w:customStyle="1" w:styleId="documentbody">
    <w:name w:val="documentbody"/>
    <w:rsid w:val="00E31837"/>
  </w:style>
  <w:style w:type="character" w:customStyle="1" w:styleId="searchterm">
    <w:name w:val="searchterm"/>
    <w:rsid w:val="00E31837"/>
  </w:style>
  <w:style w:type="character" w:customStyle="1" w:styleId="rrfootnoteCharCharCharChar">
    <w:name w:val="rrfootnote Char Char Char Char"/>
    <w:aliases w:val="rrfootnote Char2"/>
    <w:rsid w:val="00E31837"/>
    <w:rPr>
      <w:lang w:val="en-US" w:eastAsia="en-US" w:bidi="ar-SA"/>
    </w:rPr>
  </w:style>
  <w:style w:type="paragraph" w:customStyle="1" w:styleId="StyleParaNumLinespacingAtleast12pt">
    <w:name w:val="Style ParaNum + Line spacing:  At least 12 pt"/>
    <w:basedOn w:val="ParaNum"/>
    <w:rsid w:val="00E31837"/>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Mora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t.Moran@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AppData\Local\Microsoft\Windows\Temporary%20Internet%20Files\Content.IE5\WAINXK4Y\NAL%20Template%20Pentecostal%20122316%20+SS%20JFM%20Further%20edits%20122316%20%20red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NAL Template Pentecostal 122316 +SS JFM Further edits 122316  redline</Template>
  <TotalTime>0</TotalTime>
  <Pages>2</Pages>
  <Words>2864</Words>
  <Characters>15456</Characters>
  <Application>Microsoft Office Word</Application>
  <DocSecurity>0</DocSecurity>
  <Lines>241</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18443</CharactersWithSpaces>
  <SharedDoc>false</SharedDoc>
  <HyperlinkBase> </HyperlinkBase>
  <HLinks>
    <vt:vector size="12" baseType="variant">
      <vt:variant>
        <vt:i4>7798796</vt:i4>
      </vt:variant>
      <vt:variant>
        <vt:i4>3</vt:i4>
      </vt:variant>
      <vt:variant>
        <vt:i4>0</vt:i4>
      </vt:variant>
      <vt:variant>
        <vt:i4>5</vt:i4>
      </vt:variant>
      <vt:variant>
        <vt:lpwstr>mailto:Janet.Moran@fcc.gov</vt:lpwstr>
      </vt:variant>
      <vt:variant>
        <vt:lpwstr/>
      </vt:variant>
      <vt:variant>
        <vt:i4>7798796</vt:i4>
      </vt:variant>
      <vt:variant>
        <vt:i4>0</vt:i4>
      </vt:variant>
      <vt:variant>
        <vt:i4>0</vt:i4>
      </vt:variant>
      <vt:variant>
        <vt:i4>5</vt:i4>
      </vt:variant>
      <vt:variant>
        <vt:lpwstr>mailto:Janet.Moran@fcc.gov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2016-12-30T16:49:00Z</dcterms:created>
  <dcterms:modified xsi:type="dcterms:W3CDTF">2016-12-30T16:49:00Z</dcterms:modified>
  <cp:category> </cp:category>
  <cp:contentStatus> </cp:contentStatus>
</cp:coreProperties>
</file>