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BE8" w:rsidRDefault="00595360">
      <w:pPr>
        <w:pStyle w:val="Title"/>
        <w:rPr>
          <w:szCs w:val="22"/>
        </w:rPr>
      </w:pPr>
      <w:bookmarkStart w:id="0" w:name="_GoBack"/>
      <w:bookmarkEnd w:id="0"/>
      <w:r>
        <w:rPr>
          <w:szCs w:val="22"/>
        </w:rPr>
        <w:t>Before the</w:t>
      </w:r>
    </w:p>
    <w:p w:rsidR="00F90BE8" w:rsidRDefault="00595360">
      <w:pPr>
        <w:pStyle w:val="Title"/>
        <w:rPr>
          <w:szCs w:val="22"/>
        </w:rPr>
      </w:pPr>
      <w:r>
        <w:rPr>
          <w:szCs w:val="22"/>
        </w:rPr>
        <w:t>Federal Communications Commission</w:t>
      </w:r>
    </w:p>
    <w:p w:rsidR="00F90BE8" w:rsidRDefault="00595360">
      <w:pPr>
        <w:pStyle w:val="Title"/>
        <w:rPr>
          <w:szCs w:val="22"/>
        </w:rPr>
      </w:pPr>
      <w:r>
        <w:rPr>
          <w:szCs w:val="22"/>
        </w:rPr>
        <w:t>Washington, D.C. 20554</w:t>
      </w:r>
    </w:p>
    <w:p w:rsidR="00F90BE8" w:rsidRDefault="00F90BE8">
      <w:pPr>
        <w:tabs>
          <w:tab w:val="left" w:pos="-720"/>
        </w:tabs>
        <w:suppressAutoHyphens/>
        <w:spacing w:line="227" w:lineRule="auto"/>
        <w:rPr>
          <w:spacing w:val="-2"/>
          <w:szCs w:val="22"/>
        </w:rPr>
      </w:pPr>
    </w:p>
    <w:tbl>
      <w:tblPr>
        <w:tblW w:w="0" w:type="auto"/>
        <w:tblLayout w:type="fixed"/>
        <w:tblLook w:val="0000" w:firstRow="0" w:lastRow="0" w:firstColumn="0" w:lastColumn="0" w:noHBand="0" w:noVBand="0"/>
      </w:tblPr>
      <w:tblGrid>
        <w:gridCol w:w="4698"/>
        <w:gridCol w:w="630"/>
        <w:gridCol w:w="4248"/>
      </w:tblGrid>
      <w:tr w:rsidR="00F90BE8">
        <w:tc>
          <w:tcPr>
            <w:tcW w:w="4698" w:type="dxa"/>
          </w:tcPr>
          <w:p w:rsidR="00F90BE8" w:rsidRDefault="00595360">
            <w:pPr>
              <w:tabs>
                <w:tab w:val="center" w:pos="4680"/>
              </w:tabs>
              <w:suppressAutoHyphens/>
              <w:rPr>
                <w:spacing w:val="-2"/>
                <w:szCs w:val="22"/>
              </w:rPr>
            </w:pPr>
            <w:r>
              <w:rPr>
                <w:spacing w:val="-2"/>
                <w:szCs w:val="22"/>
              </w:rPr>
              <w:t>In the Matter of</w:t>
            </w:r>
          </w:p>
          <w:p w:rsidR="00F90BE8" w:rsidRDefault="00F90BE8">
            <w:pPr>
              <w:tabs>
                <w:tab w:val="center" w:pos="4680"/>
              </w:tabs>
              <w:suppressAutoHyphens/>
              <w:rPr>
                <w:spacing w:val="-2"/>
                <w:szCs w:val="22"/>
              </w:rPr>
            </w:pPr>
          </w:p>
          <w:p w:rsidR="00F90BE8" w:rsidRDefault="00E71566">
            <w:pPr>
              <w:pStyle w:val="BodyText"/>
              <w:numPr>
                <w:ilvl w:val="0"/>
                <w:numId w:val="0"/>
              </w:numPr>
              <w:rPr>
                <w:szCs w:val="22"/>
              </w:rPr>
            </w:pPr>
            <w:r>
              <w:t>Comcast Cable Communications, LLC,</w:t>
            </w:r>
            <w:r>
              <w:rPr>
                <w:szCs w:val="22"/>
              </w:rPr>
              <w:t xml:space="preserve"> on behalf of its subsidiaries and affiliates</w:t>
            </w:r>
          </w:p>
          <w:p w:rsidR="00F90BE8" w:rsidRDefault="00F90BE8">
            <w:pPr>
              <w:pStyle w:val="BodyText"/>
              <w:numPr>
                <w:ilvl w:val="0"/>
                <w:numId w:val="0"/>
              </w:numPr>
              <w:rPr>
                <w:szCs w:val="22"/>
              </w:rPr>
            </w:pPr>
          </w:p>
          <w:p w:rsidR="00F90BE8" w:rsidRDefault="00595360" w:rsidP="00E71566">
            <w:pPr>
              <w:pStyle w:val="BodyText"/>
              <w:numPr>
                <w:ilvl w:val="0"/>
                <w:numId w:val="0"/>
              </w:numPr>
              <w:rPr>
                <w:b/>
                <w:szCs w:val="22"/>
              </w:rPr>
            </w:pPr>
            <w:r>
              <w:rPr>
                <w:szCs w:val="22"/>
              </w:rPr>
              <w:t xml:space="preserve">Petitions for Determination of Effective Competition in Communities in </w:t>
            </w:r>
            <w:r w:rsidR="00E71566">
              <w:t>Minnesota</w:t>
            </w:r>
          </w:p>
        </w:tc>
        <w:tc>
          <w:tcPr>
            <w:tcW w:w="630" w:type="dxa"/>
          </w:tcPr>
          <w:p w:rsidR="00F90BE8" w:rsidRDefault="00595360">
            <w:pPr>
              <w:tabs>
                <w:tab w:val="center" w:pos="4680"/>
              </w:tabs>
              <w:suppressAutoHyphens/>
              <w:rPr>
                <w:b/>
                <w:spacing w:val="-2"/>
                <w:szCs w:val="22"/>
              </w:rPr>
            </w:pPr>
            <w:r>
              <w:rPr>
                <w:b/>
                <w:spacing w:val="-2"/>
                <w:szCs w:val="22"/>
              </w:rPr>
              <w:t>)</w:t>
            </w:r>
          </w:p>
          <w:p w:rsidR="00F90BE8" w:rsidRDefault="00595360">
            <w:pPr>
              <w:tabs>
                <w:tab w:val="center" w:pos="4680"/>
              </w:tabs>
              <w:suppressAutoHyphens/>
              <w:rPr>
                <w:b/>
                <w:spacing w:val="-2"/>
                <w:szCs w:val="22"/>
              </w:rPr>
            </w:pPr>
            <w:r>
              <w:rPr>
                <w:b/>
                <w:spacing w:val="-2"/>
                <w:szCs w:val="22"/>
              </w:rPr>
              <w:t>)</w:t>
            </w:r>
          </w:p>
          <w:p w:rsidR="00F90BE8" w:rsidRDefault="00595360">
            <w:pPr>
              <w:tabs>
                <w:tab w:val="center" w:pos="4680"/>
              </w:tabs>
              <w:suppressAutoHyphens/>
              <w:rPr>
                <w:b/>
                <w:spacing w:val="-2"/>
                <w:szCs w:val="22"/>
              </w:rPr>
            </w:pPr>
            <w:r>
              <w:rPr>
                <w:b/>
                <w:spacing w:val="-2"/>
                <w:szCs w:val="22"/>
              </w:rPr>
              <w:t>)</w:t>
            </w:r>
          </w:p>
          <w:p w:rsidR="00F90BE8" w:rsidRDefault="00595360">
            <w:pPr>
              <w:tabs>
                <w:tab w:val="center" w:pos="4680"/>
              </w:tabs>
              <w:suppressAutoHyphens/>
              <w:rPr>
                <w:b/>
                <w:spacing w:val="-2"/>
                <w:szCs w:val="22"/>
              </w:rPr>
            </w:pPr>
            <w:r>
              <w:rPr>
                <w:b/>
                <w:spacing w:val="-2"/>
                <w:szCs w:val="22"/>
              </w:rPr>
              <w:t>)</w:t>
            </w:r>
          </w:p>
          <w:p w:rsidR="00F90BE8" w:rsidRDefault="00595360">
            <w:pPr>
              <w:tabs>
                <w:tab w:val="center" w:pos="4680"/>
              </w:tabs>
              <w:suppressAutoHyphens/>
              <w:rPr>
                <w:b/>
                <w:spacing w:val="-2"/>
                <w:szCs w:val="22"/>
              </w:rPr>
            </w:pPr>
            <w:r>
              <w:rPr>
                <w:b/>
                <w:spacing w:val="-2"/>
                <w:szCs w:val="22"/>
              </w:rPr>
              <w:t>)</w:t>
            </w:r>
          </w:p>
          <w:p w:rsidR="00F90BE8" w:rsidRDefault="00595360">
            <w:pPr>
              <w:tabs>
                <w:tab w:val="center" w:pos="4680"/>
              </w:tabs>
              <w:suppressAutoHyphens/>
              <w:rPr>
                <w:b/>
                <w:spacing w:val="-2"/>
                <w:szCs w:val="22"/>
              </w:rPr>
            </w:pPr>
            <w:r>
              <w:rPr>
                <w:b/>
                <w:spacing w:val="-2"/>
                <w:szCs w:val="22"/>
              </w:rPr>
              <w:t>)</w:t>
            </w:r>
          </w:p>
          <w:p w:rsidR="00F90BE8" w:rsidRDefault="00595360">
            <w:pPr>
              <w:tabs>
                <w:tab w:val="center" w:pos="4680"/>
              </w:tabs>
              <w:suppressAutoHyphens/>
              <w:rPr>
                <w:b/>
                <w:spacing w:val="-2"/>
                <w:szCs w:val="22"/>
              </w:rPr>
            </w:pPr>
            <w:r>
              <w:rPr>
                <w:b/>
                <w:spacing w:val="-2"/>
                <w:szCs w:val="22"/>
              </w:rPr>
              <w:t>)</w:t>
            </w:r>
          </w:p>
        </w:tc>
        <w:tc>
          <w:tcPr>
            <w:tcW w:w="4248" w:type="dxa"/>
          </w:tcPr>
          <w:p w:rsidR="00F90BE8" w:rsidRDefault="00595360">
            <w:pPr>
              <w:tabs>
                <w:tab w:val="center" w:pos="4680"/>
              </w:tabs>
              <w:suppressAutoHyphens/>
              <w:rPr>
                <w:spacing w:val="-2"/>
                <w:szCs w:val="22"/>
              </w:rPr>
            </w:pPr>
            <w:r>
              <w:rPr>
                <w:spacing w:val="-2"/>
                <w:szCs w:val="22"/>
              </w:rPr>
              <w:t xml:space="preserve">          </w:t>
            </w:r>
          </w:p>
          <w:p w:rsidR="00E71566" w:rsidRDefault="00595360" w:rsidP="00E71566">
            <w:pPr>
              <w:tabs>
                <w:tab w:val="center" w:pos="4680"/>
              </w:tabs>
              <w:suppressAutoHyphens/>
              <w:rPr>
                <w:spacing w:val="-2"/>
                <w:szCs w:val="22"/>
              </w:rPr>
            </w:pPr>
            <w:r>
              <w:rPr>
                <w:spacing w:val="-2"/>
                <w:szCs w:val="22"/>
              </w:rPr>
              <w:t xml:space="preserve">           </w:t>
            </w:r>
          </w:p>
          <w:p w:rsidR="00F90BE8" w:rsidRDefault="00F90BE8">
            <w:pPr>
              <w:pStyle w:val="EndnoteText"/>
              <w:tabs>
                <w:tab w:val="center" w:pos="4680"/>
              </w:tabs>
              <w:suppressAutoHyphens/>
              <w:spacing w:after="0"/>
              <w:rPr>
                <w:spacing w:val="-2"/>
                <w:szCs w:val="22"/>
              </w:rPr>
            </w:pPr>
          </w:p>
          <w:p w:rsidR="00F90BE8" w:rsidRDefault="00595360">
            <w:pPr>
              <w:pStyle w:val="EndnoteText"/>
              <w:tabs>
                <w:tab w:val="center" w:pos="4680"/>
              </w:tabs>
              <w:suppressAutoHyphens/>
              <w:spacing w:after="0"/>
              <w:rPr>
                <w:spacing w:val="-2"/>
                <w:szCs w:val="22"/>
              </w:rPr>
            </w:pPr>
            <w:r>
              <w:rPr>
                <w:spacing w:val="-2"/>
                <w:szCs w:val="22"/>
              </w:rPr>
              <w:t xml:space="preserve">  </w:t>
            </w:r>
            <w:r w:rsidR="00E71566">
              <w:rPr>
                <w:spacing w:val="-2"/>
              </w:rPr>
              <w:t>CSR 8081-E</w:t>
            </w:r>
            <w:r>
              <w:rPr>
                <w:spacing w:val="-2"/>
                <w:szCs w:val="22"/>
              </w:rPr>
              <w:t xml:space="preserve">         </w:t>
            </w:r>
          </w:p>
        </w:tc>
      </w:tr>
    </w:tbl>
    <w:p w:rsidR="00F90BE8" w:rsidRDefault="00F90BE8">
      <w:pPr>
        <w:pStyle w:val="Title"/>
        <w:rPr>
          <w:szCs w:val="22"/>
        </w:rPr>
      </w:pPr>
    </w:p>
    <w:p w:rsidR="00F90BE8" w:rsidRDefault="00595360">
      <w:pPr>
        <w:pStyle w:val="Title"/>
        <w:rPr>
          <w:szCs w:val="22"/>
        </w:rPr>
      </w:pPr>
      <w:r>
        <w:rPr>
          <w:szCs w:val="22"/>
        </w:rPr>
        <w:fldChar w:fldCharType="begin"/>
      </w:r>
      <w:r>
        <w:rPr>
          <w:szCs w:val="22"/>
        </w:rPr>
        <w:instrText xml:space="preserve"> AUTOTEXTLIST  \* MERGEFORMAT </w:instrText>
      </w:r>
      <w:r>
        <w:rPr>
          <w:szCs w:val="22"/>
        </w:rPr>
        <w:fldChar w:fldCharType="separate"/>
      </w:r>
      <w:r>
        <w:rPr>
          <w:szCs w:val="22"/>
        </w:rPr>
        <w:t>MEMORANDUM OPINION AND ORDER</w:t>
      </w:r>
      <w:r>
        <w:rPr>
          <w:szCs w:val="22"/>
        </w:rPr>
        <w:fldChar w:fldCharType="end"/>
      </w:r>
    </w:p>
    <w:p w:rsidR="00F90BE8" w:rsidRDefault="00F90BE8">
      <w:pPr>
        <w:tabs>
          <w:tab w:val="left" w:pos="720"/>
          <w:tab w:val="left" w:pos="5760"/>
        </w:tabs>
        <w:suppressAutoHyphens/>
        <w:spacing w:line="227" w:lineRule="auto"/>
        <w:rPr>
          <w:b/>
          <w:spacing w:val="-2"/>
          <w:szCs w:val="22"/>
        </w:rPr>
      </w:pPr>
    </w:p>
    <w:p w:rsidR="00F90BE8" w:rsidRDefault="00595360">
      <w:pPr>
        <w:tabs>
          <w:tab w:val="left" w:pos="720"/>
          <w:tab w:val="left" w:pos="5760"/>
        </w:tabs>
        <w:suppressAutoHyphens/>
        <w:spacing w:line="227" w:lineRule="auto"/>
        <w:rPr>
          <w:b/>
          <w:spacing w:val="-2"/>
          <w:szCs w:val="22"/>
        </w:rPr>
      </w:pPr>
      <w:r>
        <w:rPr>
          <w:b/>
          <w:spacing w:val="-2"/>
          <w:szCs w:val="22"/>
        </w:rPr>
        <w:t xml:space="preserve">Adopted:  </w:t>
      </w:r>
      <w:r w:rsidR="00E71566">
        <w:rPr>
          <w:b/>
          <w:spacing w:val="-2"/>
          <w:szCs w:val="22"/>
        </w:rPr>
        <w:t>February</w:t>
      </w:r>
      <w:r>
        <w:rPr>
          <w:b/>
          <w:spacing w:val="-2"/>
          <w:szCs w:val="22"/>
        </w:rPr>
        <w:t xml:space="preserve"> </w:t>
      </w:r>
      <w:r w:rsidR="003B4B7C">
        <w:rPr>
          <w:b/>
          <w:spacing w:val="-2"/>
          <w:szCs w:val="22"/>
        </w:rPr>
        <w:t>17</w:t>
      </w:r>
      <w:r>
        <w:rPr>
          <w:b/>
          <w:spacing w:val="-2"/>
          <w:szCs w:val="22"/>
        </w:rPr>
        <w:t xml:space="preserve">, 2016         </w:t>
      </w:r>
      <w:r w:rsidR="00FD54DD">
        <w:rPr>
          <w:b/>
          <w:spacing w:val="-2"/>
          <w:szCs w:val="22"/>
        </w:rPr>
        <w:tab/>
      </w:r>
      <w:r>
        <w:rPr>
          <w:b/>
          <w:spacing w:val="-2"/>
          <w:szCs w:val="22"/>
        </w:rPr>
        <w:t xml:space="preserve">Released:  </w:t>
      </w:r>
      <w:r w:rsidR="00E71566">
        <w:rPr>
          <w:b/>
          <w:spacing w:val="-2"/>
          <w:szCs w:val="22"/>
        </w:rPr>
        <w:t>February</w:t>
      </w:r>
      <w:r>
        <w:rPr>
          <w:b/>
          <w:spacing w:val="-2"/>
          <w:szCs w:val="22"/>
        </w:rPr>
        <w:t xml:space="preserve"> </w:t>
      </w:r>
      <w:r w:rsidR="00842B63">
        <w:rPr>
          <w:b/>
          <w:spacing w:val="-2"/>
          <w:szCs w:val="22"/>
        </w:rPr>
        <w:t>18</w:t>
      </w:r>
      <w:r>
        <w:rPr>
          <w:b/>
          <w:spacing w:val="-2"/>
          <w:szCs w:val="22"/>
        </w:rPr>
        <w:t>, 2016</w:t>
      </w:r>
    </w:p>
    <w:p w:rsidR="00F90BE8" w:rsidRDefault="00F90BE8">
      <w:pPr>
        <w:rPr>
          <w:szCs w:val="22"/>
        </w:rPr>
      </w:pPr>
    </w:p>
    <w:p w:rsidR="00F90BE8" w:rsidRDefault="00595360">
      <w:pPr>
        <w:rPr>
          <w:spacing w:val="-2"/>
          <w:szCs w:val="22"/>
        </w:rPr>
      </w:pPr>
      <w:r>
        <w:rPr>
          <w:szCs w:val="22"/>
        </w:rPr>
        <w:t xml:space="preserve">By the Senior </w:t>
      </w:r>
      <w:r>
        <w:rPr>
          <w:spacing w:val="-2"/>
          <w:szCs w:val="22"/>
        </w:rPr>
        <w:t>Deputy Chief, Policy Division, Media Bureau:</w:t>
      </w:r>
    </w:p>
    <w:p w:rsidR="00F90BE8" w:rsidRDefault="00F90BE8">
      <w:pPr>
        <w:rPr>
          <w:spacing w:val="-2"/>
          <w:szCs w:val="22"/>
        </w:rPr>
      </w:pPr>
    </w:p>
    <w:p w:rsidR="00F90BE8" w:rsidRDefault="00595360">
      <w:pPr>
        <w:pStyle w:val="Heading1"/>
        <w:jc w:val="left"/>
        <w:rPr>
          <w:szCs w:val="22"/>
        </w:rPr>
      </w:pPr>
      <w:r>
        <w:rPr>
          <w:szCs w:val="22"/>
        </w:rPr>
        <w:t>introduction and Background</w:t>
      </w:r>
    </w:p>
    <w:p w:rsidR="00F90BE8" w:rsidRDefault="00E71566" w:rsidP="001516BD">
      <w:pPr>
        <w:pStyle w:val="ParaNum"/>
        <w:jc w:val="left"/>
      </w:pPr>
      <w:r w:rsidRPr="001516BD">
        <w:rPr>
          <w:szCs w:val="22"/>
        </w:rPr>
        <w:t xml:space="preserve">Comcast Cable Communications (“Comcast” </w:t>
      </w:r>
      <w:r w:rsidR="00595360">
        <w:t xml:space="preserve">or the “Company”) has filed with the Commission </w:t>
      </w:r>
      <w:r>
        <w:t xml:space="preserve">a </w:t>
      </w:r>
      <w:r w:rsidR="00595360">
        <w:t xml:space="preserve">petition pursuant to Sections 76.7, 76.905(b)(2) and 76.907 of the Commission’s rules for a determination that the Company is subject to effective competition in </w:t>
      </w:r>
      <w:r w:rsidR="00622D95">
        <w:t xml:space="preserve">Fridley, Minnesota, </w:t>
      </w:r>
      <w:r w:rsidR="0055798C">
        <w:t>the communit</w:t>
      </w:r>
      <w:r w:rsidR="00622D95">
        <w:t>y</w:t>
      </w:r>
      <w:r w:rsidR="0055798C">
        <w:t xml:space="preserve"> listed on At</w:t>
      </w:r>
      <w:r w:rsidR="00595360">
        <w:t>tachment A (the “</w:t>
      </w:r>
      <w:r w:rsidR="001516BD">
        <w:t xml:space="preserve">Attachment A </w:t>
      </w:r>
      <w:r w:rsidR="00595360">
        <w:t>Communit</w:t>
      </w:r>
      <w:r w:rsidR="00622D95">
        <w:t>y</w:t>
      </w:r>
      <w:r w:rsidR="00595360">
        <w:t xml:space="preserve">”).  </w:t>
      </w:r>
      <w:r w:rsidRPr="001516BD">
        <w:rPr>
          <w:szCs w:val="22"/>
        </w:rPr>
        <w:t>Comcast</w:t>
      </w:r>
      <w:r w:rsidRPr="001516BD">
        <w:rPr>
          <w:b/>
          <w:szCs w:val="22"/>
        </w:rPr>
        <w:t xml:space="preserve"> </w:t>
      </w:r>
      <w:r w:rsidRPr="00C76525">
        <w:rPr>
          <w:szCs w:val="22"/>
        </w:rPr>
        <w:t>alleges t</w:t>
      </w:r>
      <w:r w:rsidRPr="0008265B">
        <w:rPr>
          <w:szCs w:val="22"/>
        </w:rPr>
        <w:t xml:space="preserve">hat its cable system serving </w:t>
      </w:r>
      <w:r w:rsidR="0055798C" w:rsidRPr="001516BD">
        <w:rPr>
          <w:szCs w:val="22"/>
        </w:rPr>
        <w:t xml:space="preserve">the </w:t>
      </w:r>
      <w:r w:rsidR="001516BD" w:rsidRPr="001516BD">
        <w:rPr>
          <w:szCs w:val="22"/>
        </w:rPr>
        <w:t xml:space="preserve">Attachment A </w:t>
      </w:r>
      <w:r w:rsidR="0055798C" w:rsidRPr="001516BD">
        <w:rPr>
          <w:szCs w:val="22"/>
        </w:rPr>
        <w:t>Communit</w:t>
      </w:r>
      <w:r w:rsidR="00622D95" w:rsidRPr="001516BD">
        <w:rPr>
          <w:szCs w:val="22"/>
        </w:rPr>
        <w:t>y is</w:t>
      </w:r>
      <w:r w:rsidRPr="001516BD">
        <w:rPr>
          <w:szCs w:val="22"/>
        </w:rPr>
        <w:t xml:space="preserve"> subject to effective competition pursuant to Section 623(l)(1)(B) of the Communications Act of 1934, as amended (“Communications Act”)</w:t>
      </w:r>
      <w:r>
        <w:rPr>
          <w:rStyle w:val="FootnoteReference"/>
          <w:szCs w:val="22"/>
        </w:rPr>
        <w:footnoteReference w:id="2"/>
      </w:r>
      <w:r w:rsidRPr="001516BD">
        <w:rPr>
          <w:szCs w:val="22"/>
        </w:rPr>
        <w:t xml:space="preserve"> and the Commission’s implementing rules,</w:t>
      </w:r>
      <w:r>
        <w:rPr>
          <w:rStyle w:val="FootnoteReference"/>
          <w:szCs w:val="22"/>
        </w:rPr>
        <w:footnoteReference w:id="3"/>
      </w:r>
      <w:r w:rsidRPr="001516BD">
        <w:rPr>
          <w:szCs w:val="22"/>
        </w:rPr>
        <w:t xml:space="preserve"> and </w:t>
      </w:r>
      <w:r w:rsidR="00366F2A" w:rsidRPr="001516BD">
        <w:rPr>
          <w:szCs w:val="22"/>
        </w:rPr>
        <w:t xml:space="preserve">that it </w:t>
      </w:r>
      <w:r w:rsidRPr="00C76525">
        <w:rPr>
          <w:szCs w:val="22"/>
        </w:rPr>
        <w:t xml:space="preserve">is therefore exempt </w:t>
      </w:r>
      <w:r w:rsidRPr="0008265B">
        <w:rPr>
          <w:szCs w:val="22"/>
        </w:rPr>
        <w:t xml:space="preserve">from cable rate regulation in </w:t>
      </w:r>
      <w:r w:rsidR="00622D95" w:rsidRPr="0008265B">
        <w:rPr>
          <w:szCs w:val="22"/>
        </w:rPr>
        <w:t xml:space="preserve">the </w:t>
      </w:r>
      <w:r w:rsidR="001516BD" w:rsidRPr="001516BD">
        <w:rPr>
          <w:szCs w:val="22"/>
        </w:rPr>
        <w:t xml:space="preserve">Attachment A </w:t>
      </w:r>
      <w:r w:rsidR="00622D95" w:rsidRPr="001516BD">
        <w:rPr>
          <w:szCs w:val="22"/>
        </w:rPr>
        <w:t>Community</w:t>
      </w:r>
      <w:r w:rsidR="0055798C" w:rsidRPr="001516BD">
        <w:rPr>
          <w:szCs w:val="22"/>
        </w:rPr>
        <w:t xml:space="preserve"> </w:t>
      </w:r>
      <w:r w:rsidRPr="001516BD">
        <w:rPr>
          <w:szCs w:val="22"/>
        </w:rPr>
        <w:t>because of the competing service provided by two direct broadcast satellite (“DBS”) providers, DIRECTV, Inc.</w:t>
      </w:r>
      <w:r w:rsidR="00366F2A" w:rsidRPr="001516BD">
        <w:rPr>
          <w:szCs w:val="22"/>
        </w:rPr>
        <w:t xml:space="preserve"> </w:t>
      </w:r>
      <w:r w:rsidR="00366F2A">
        <w:t>(“DIRECTV”)</w:t>
      </w:r>
      <w:r w:rsidRPr="001516BD">
        <w:rPr>
          <w:szCs w:val="22"/>
        </w:rPr>
        <w:t xml:space="preserve"> and DISH Network</w:t>
      </w:r>
      <w:r w:rsidR="00366F2A" w:rsidRPr="00C76525">
        <w:rPr>
          <w:szCs w:val="22"/>
        </w:rPr>
        <w:t xml:space="preserve"> </w:t>
      </w:r>
      <w:r w:rsidR="00595360">
        <w:t>(“DISH”).</w:t>
      </w:r>
      <w:r w:rsidR="00366F2A">
        <w:t xml:space="preserve">  </w:t>
      </w:r>
      <w:r w:rsidR="001516BD" w:rsidRPr="001516BD">
        <w:rPr>
          <w:szCs w:val="22"/>
        </w:rPr>
        <w:t>Comcast additionally claims that it is exempt from cable rate regulation in the communities listed on Attachment B (the “Attachment B Communities”), pursuant to Section 623(l)(1)(A) of the Communications Act</w:t>
      </w:r>
      <w:r w:rsidR="001516BD">
        <w:rPr>
          <w:rStyle w:val="FootnoteReference"/>
          <w:szCs w:val="22"/>
        </w:rPr>
        <w:footnoteReference w:id="4"/>
      </w:r>
      <w:r w:rsidR="001516BD" w:rsidRPr="001516BD">
        <w:rPr>
          <w:szCs w:val="22"/>
        </w:rPr>
        <w:t xml:space="preserve"> and Section 76.905(b)(1) of the Commission’s rules,</w:t>
      </w:r>
      <w:r w:rsidR="001516BD">
        <w:rPr>
          <w:rStyle w:val="FootnoteReference"/>
          <w:szCs w:val="22"/>
        </w:rPr>
        <w:footnoteReference w:id="5"/>
      </w:r>
      <w:r w:rsidR="001516BD" w:rsidRPr="001516BD">
        <w:rPr>
          <w:szCs w:val="22"/>
        </w:rPr>
        <w:t xml:space="preserve"> because Comcast serves fewer than 30 percent of the households in those franchise areas.  </w:t>
      </w:r>
      <w:r w:rsidR="00AF1CED" w:rsidRPr="00C76525">
        <w:rPr>
          <w:szCs w:val="22"/>
        </w:rPr>
        <w:t xml:space="preserve">Fridley </w:t>
      </w:r>
      <w:r w:rsidR="0055798C" w:rsidRPr="0008265B">
        <w:rPr>
          <w:szCs w:val="22"/>
        </w:rPr>
        <w:t xml:space="preserve">filed </w:t>
      </w:r>
      <w:r w:rsidR="00721073" w:rsidRPr="0008265B">
        <w:rPr>
          <w:szCs w:val="22"/>
        </w:rPr>
        <w:t xml:space="preserve">an </w:t>
      </w:r>
      <w:r w:rsidR="0055798C" w:rsidRPr="001516BD">
        <w:rPr>
          <w:szCs w:val="22"/>
        </w:rPr>
        <w:t>opposition</w:t>
      </w:r>
      <w:r w:rsidR="00721073" w:rsidRPr="001516BD">
        <w:rPr>
          <w:szCs w:val="22"/>
        </w:rPr>
        <w:t xml:space="preserve"> and </w:t>
      </w:r>
      <w:r w:rsidR="00366F2A" w:rsidRPr="001516BD">
        <w:rPr>
          <w:szCs w:val="22"/>
        </w:rPr>
        <w:t xml:space="preserve">Comcast </w:t>
      </w:r>
      <w:r w:rsidR="00AF1CED" w:rsidRPr="001516BD">
        <w:rPr>
          <w:szCs w:val="22"/>
        </w:rPr>
        <w:t>filed a reply.</w:t>
      </w:r>
      <w:r w:rsidR="00721073">
        <w:rPr>
          <w:rStyle w:val="FootnoteReference"/>
          <w:szCs w:val="22"/>
        </w:rPr>
        <w:footnoteReference w:id="6"/>
      </w:r>
      <w:r w:rsidR="00721073" w:rsidRPr="001516BD">
        <w:rPr>
          <w:szCs w:val="22"/>
        </w:rPr>
        <w:t xml:space="preserve">  </w:t>
      </w:r>
      <w:r w:rsidR="005C7894" w:rsidRPr="001516BD">
        <w:rPr>
          <w:szCs w:val="22"/>
        </w:rPr>
        <w:t xml:space="preserve">Comcast </w:t>
      </w:r>
      <w:r w:rsidR="00995350" w:rsidRPr="00C76525">
        <w:rPr>
          <w:szCs w:val="22"/>
        </w:rPr>
        <w:t xml:space="preserve">also </w:t>
      </w:r>
      <w:r w:rsidR="005C7894" w:rsidRPr="001516BD">
        <w:rPr>
          <w:szCs w:val="22"/>
        </w:rPr>
        <w:t xml:space="preserve">filed a Supplement </w:t>
      </w:r>
      <w:r w:rsidR="00366F2A">
        <w:t>“to update the record with new data”</w:t>
      </w:r>
      <w:r w:rsidR="005C7894">
        <w:t xml:space="preserve"> </w:t>
      </w:r>
      <w:r w:rsidR="00366F2A">
        <w:t>that</w:t>
      </w:r>
      <w:r w:rsidR="005C7894">
        <w:t xml:space="preserve"> the Company </w:t>
      </w:r>
      <w:r w:rsidR="00366F2A">
        <w:t>asserts demonstrates that the competing provider test remains satisfied in Fridley</w:t>
      </w:r>
      <w:r w:rsidR="005C7894">
        <w:t>.</w:t>
      </w:r>
      <w:r w:rsidR="005C7894">
        <w:rPr>
          <w:rStyle w:val="FootnoteReference"/>
        </w:rPr>
        <w:footnoteReference w:id="7"/>
      </w:r>
      <w:r w:rsidR="005C7894">
        <w:t xml:space="preserve">  Fridley did not file a response to the Supplement.  </w:t>
      </w:r>
      <w:r w:rsidR="00721073" w:rsidRPr="001516BD">
        <w:rPr>
          <w:szCs w:val="22"/>
        </w:rPr>
        <w:t xml:space="preserve">Comcast’s petition also included </w:t>
      </w:r>
      <w:r w:rsidR="004B0A08" w:rsidRPr="00C76525">
        <w:rPr>
          <w:szCs w:val="22"/>
        </w:rPr>
        <w:t>Bloomington,</w:t>
      </w:r>
      <w:r w:rsidR="00411E0E" w:rsidRPr="0008265B">
        <w:rPr>
          <w:szCs w:val="22"/>
        </w:rPr>
        <w:t xml:space="preserve"> Minnesota</w:t>
      </w:r>
      <w:r w:rsidR="004B0A08" w:rsidRPr="001516BD">
        <w:rPr>
          <w:szCs w:val="22"/>
        </w:rPr>
        <w:t xml:space="preserve"> but </w:t>
      </w:r>
      <w:r w:rsidR="00721073" w:rsidRPr="001516BD">
        <w:rPr>
          <w:szCs w:val="22"/>
        </w:rPr>
        <w:t xml:space="preserve">Comcast subsequently filed a motion to withdraw </w:t>
      </w:r>
      <w:r w:rsidR="00992D6C" w:rsidRPr="0008265B">
        <w:rPr>
          <w:szCs w:val="22"/>
        </w:rPr>
        <w:t>Bloomington</w:t>
      </w:r>
      <w:r w:rsidR="00721073" w:rsidRPr="0008265B">
        <w:rPr>
          <w:szCs w:val="22"/>
        </w:rPr>
        <w:t xml:space="preserve"> from the petition.</w:t>
      </w:r>
      <w:r w:rsidR="00721073">
        <w:rPr>
          <w:rStyle w:val="FootnoteReference"/>
          <w:szCs w:val="22"/>
        </w:rPr>
        <w:footnoteReference w:id="8"/>
      </w:r>
      <w:r w:rsidR="00992D6C" w:rsidRPr="001516BD">
        <w:rPr>
          <w:szCs w:val="22"/>
        </w:rPr>
        <w:t xml:space="preserve"> </w:t>
      </w:r>
      <w:r w:rsidR="00721073" w:rsidRPr="001516BD">
        <w:rPr>
          <w:szCs w:val="22"/>
        </w:rPr>
        <w:t xml:space="preserve"> We grant Comcast’s request to withdraw Bloomington</w:t>
      </w:r>
      <w:r w:rsidR="00721073" w:rsidRPr="0008265B">
        <w:rPr>
          <w:szCs w:val="22"/>
        </w:rPr>
        <w:t xml:space="preserve">.   </w:t>
      </w:r>
      <w:r w:rsidR="005C7894" w:rsidRPr="001516BD">
        <w:rPr>
          <w:szCs w:val="22"/>
        </w:rPr>
        <w:t xml:space="preserve">  </w:t>
      </w:r>
      <w:r w:rsidR="005C7894">
        <w:t xml:space="preserve"> </w:t>
      </w:r>
      <w:r w:rsidR="00366F2A">
        <w:t xml:space="preserve">  </w:t>
      </w:r>
      <w:r w:rsidR="00595360">
        <w:t xml:space="preserve">  </w:t>
      </w:r>
    </w:p>
    <w:p w:rsidR="00F90BE8" w:rsidRDefault="00595360">
      <w:pPr>
        <w:pStyle w:val="ParaNum"/>
        <w:jc w:val="left"/>
      </w:pPr>
      <w:r>
        <w:t xml:space="preserve">In June 2015, a Commission order adopted a rebuttable presumption that cable operators are subject to one type of effective competition, commonly referred to as competing provider effective </w:t>
      </w:r>
      <w:r>
        <w:lastRenderedPageBreak/>
        <w:t>competition.</w:t>
      </w:r>
      <w:r>
        <w:rPr>
          <w:rStyle w:val="FootnoteReference"/>
        </w:rPr>
        <w:footnoteReference w:id="9"/>
      </w:r>
      <w:r>
        <w:t xml:space="preserve">  Accordingly, in the absence of a demonstration to the contrary, the Commission now presumes that cable systems are subject to competing provider effective competition, and it continues to presume that cable systems are not subject to any of the other three types of effective competition, as defined by Section 623(l) of the Communications Act and Section 76.905 of the Commission’s rules.</w:t>
      </w:r>
      <w:r>
        <w:rPr>
          <w:vertAlign w:val="superscript"/>
        </w:rPr>
        <w:footnoteReference w:id="10"/>
      </w:r>
      <w:r>
        <w:t xml:space="preserve">  For the reasons set forth below, we grant </w:t>
      </w:r>
      <w:r w:rsidR="00086194">
        <w:t>Comcast</w:t>
      </w:r>
      <w:r>
        <w:t xml:space="preserve">’s petition. </w:t>
      </w:r>
    </w:p>
    <w:p w:rsidR="00F90BE8" w:rsidRDefault="00595360">
      <w:pPr>
        <w:pStyle w:val="Heading1"/>
        <w:jc w:val="left"/>
        <w:rPr>
          <w:szCs w:val="22"/>
        </w:rPr>
      </w:pPr>
      <w:r>
        <w:rPr>
          <w:caps w:val="0"/>
          <w:szCs w:val="22"/>
        </w:rPr>
        <w:t>T</w:t>
      </w:r>
      <w:r>
        <w:rPr>
          <w:szCs w:val="22"/>
        </w:rPr>
        <w:t>he COMPETING PROVIDER TEST</w:t>
      </w:r>
    </w:p>
    <w:p w:rsidR="00F90BE8" w:rsidRDefault="00595360">
      <w:pPr>
        <w:pStyle w:val="ParaNum"/>
        <w:jc w:val="left"/>
      </w:pPr>
      <w:r>
        <w:t>Section 623(l)(1)(B) of the Communications Act provides that a cable operator is subject to effective competition if the franchise area is (a) served by at least two unaffiliated multichannel video programming distributors (“MVPDs”), each of which offers comparable video programming to at least 50 percent of the households in the franchise area; and (b) the number of households subscribing to programming services offered by MVPDs other than the largest MVPD exceeds 15 percent of the households in the franchise area.</w:t>
      </w:r>
      <w:r>
        <w:rPr>
          <w:rStyle w:val="FootnoteReference"/>
          <w:szCs w:val="22"/>
        </w:rPr>
        <w:footnoteReference w:id="11"/>
      </w:r>
      <w:r>
        <w:t xml:space="preserve">  This test is referred to as the “competing provider” test.  Pursuant to the </w:t>
      </w:r>
      <w:r>
        <w:rPr>
          <w:i/>
        </w:rPr>
        <w:t>Effective Competition Order</w:t>
      </w:r>
      <w:r>
        <w:t>, absent evidence to the contrary, the Commission presumes that the competing provider test is met.</w:t>
      </w:r>
    </w:p>
    <w:p w:rsidR="00F90BE8" w:rsidRDefault="00595360">
      <w:pPr>
        <w:pStyle w:val="Heading2"/>
        <w:jc w:val="left"/>
      </w:pPr>
      <w:r>
        <w:t>The First Part</w:t>
      </w:r>
    </w:p>
    <w:p w:rsidR="00F90BE8" w:rsidRDefault="00595360">
      <w:pPr>
        <w:pStyle w:val="ParaNum"/>
        <w:jc w:val="left"/>
      </w:pPr>
      <w:r>
        <w:t>The first part of this test has three elements:  the franchise area must be “served by” at least two unaffiliated MVPDs who offer “comparable programming” to at least “50 percent” of the households in the franchise area.</w:t>
      </w:r>
      <w:r>
        <w:rPr>
          <w:rStyle w:val="FootnoteReference"/>
          <w:szCs w:val="22"/>
        </w:rPr>
        <w:footnoteReference w:id="12"/>
      </w:r>
      <w:r>
        <w:rPr>
          <w:b/>
        </w:rPr>
        <w:t xml:space="preserve">  </w:t>
      </w:r>
      <w:r>
        <w:t xml:space="preserve">As explained in the </w:t>
      </w:r>
      <w:r>
        <w:rPr>
          <w:i/>
        </w:rPr>
        <w:t>Effective Competition Order</w:t>
      </w:r>
      <w:r>
        <w:t>, “we find that the ubiquitous nationwide presence of DBS providers, DIRECTV and DISH, presumptively satisfies the” first part of the test for competing provider effective competition, absent evidence to the contrary.</w:t>
      </w:r>
      <w:r>
        <w:rPr>
          <w:rStyle w:val="FootnoteReference"/>
        </w:rPr>
        <w:footnoteReference w:id="13"/>
      </w:r>
      <w:r>
        <w:t xml:space="preserve">  </w:t>
      </w:r>
      <w:r w:rsidR="00086194">
        <w:rPr>
          <w:szCs w:val="22"/>
        </w:rPr>
        <w:t>Fridley “accepts (without conceding)” that Comcast has satisfied the first part of the competing provider test.</w:t>
      </w:r>
      <w:r w:rsidR="00086194">
        <w:rPr>
          <w:rStyle w:val="FootnoteReference"/>
          <w:szCs w:val="22"/>
        </w:rPr>
        <w:footnoteReference w:id="14"/>
      </w:r>
      <w:r w:rsidR="00086194">
        <w:rPr>
          <w:szCs w:val="22"/>
        </w:rPr>
        <w:t xml:space="preserve">  Accordingly, we find that the first part of the test is satisfied.  </w:t>
      </w:r>
    </w:p>
    <w:p w:rsidR="00F90BE8" w:rsidRDefault="00595360">
      <w:pPr>
        <w:pStyle w:val="Heading2"/>
        <w:jc w:val="left"/>
      </w:pPr>
      <w:r>
        <w:t>The Second Part</w:t>
      </w:r>
    </w:p>
    <w:p w:rsidR="00F90BE8" w:rsidRDefault="00595360">
      <w:pPr>
        <w:pStyle w:val="ParaNum"/>
        <w:jc w:val="left"/>
      </w:pPr>
      <w:r>
        <w:t>The second part of the competing provider test requires that the number of households subscribing to MVPDs, other than the largest MVPD, exceed</w:t>
      </w:r>
      <w:r w:rsidR="001516BD">
        <w:t>s</w:t>
      </w:r>
      <w:r>
        <w:t xml:space="preserve"> 15 percent of the households in a franchise area.</w:t>
      </w:r>
      <w:r>
        <w:rPr>
          <w:rStyle w:val="FootnoteReference"/>
        </w:rPr>
        <w:footnoteReference w:id="15"/>
      </w:r>
      <w:r>
        <w:t xml:space="preserve">  As explained in the </w:t>
      </w:r>
      <w:r>
        <w:rPr>
          <w:i/>
        </w:rPr>
        <w:t>Effective Competition Order</w:t>
      </w:r>
      <w:r>
        <w:t>, “[w]ith regard to the second prong of the test, we will presume that more than 15 percent of the households in a franchise area subscribe to programming services offered by MVPDs other than the largest MVPD.”</w:t>
      </w:r>
      <w:r>
        <w:rPr>
          <w:rStyle w:val="FootnoteReference"/>
        </w:rPr>
        <w:footnoteReference w:id="16"/>
      </w:r>
      <w:r>
        <w:t xml:space="preserve">  </w:t>
      </w:r>
      <w:r w:rsidR="0093371F">
        <w:t>Fridley</w:t>
      </w:r>
      <w:r>
        <w:t xml:space="preserve"> argues that </w:t>
      </w:r>
      <w:r w:rsidR="0093371F">
        <w:t xml:space="preserve">Comcast </w:t>
      </w:r>
      <w:r>
        <w:t xml:space="preserve">has not satisfied the second part of the competing provider effective competition test for several reasons.  First, </w:t>
      </w:r>
      <w:r w:rsidR="00C021C8">
        <w:t xml:space="preserve">Fridley </w:t>
      </w:r>
      <w:r>
        <w:t xml:space="preserve">argues that </w:t>
      </w:r>
      <w:r w:rsidR="0093371F">
        <w:t xml:space="preserve">the 2000 Census </w:t>
      </w:r>
      <w:r w:rsidR="003804AB">
        <w:t>d</w:t>
      </w:r>
      <w:r w:rsidR="0093371F">
        <w:t>ata used by Comcast is out of date and inaccurate</w:t>
      </w:r>
      <w:r w:rsidR="0023015A">
        <w:t>.</w:t>
      </w:r>
      <w:r>
        <w:rPr>
          <w:rStyle w:val="FootnoteReference"/>
        </w:rPr>
        <w:footnoteReference w:id="17"/>
      </w:r>
      <w:r w:rsidR="003804AB">
        <w:t xml:space="preserve">  </w:t>
      </w:r>
      <w:r w:rsidR="00C021C8">
        <w:t>This a</w:t>
      </w:r>
      <w:r w:rsidR="003804AB">
        <w:t xml:space="preserve">rgument is now </w:t>
      </w:r>
      <w:r>
        <w:t>irrelevant</w:t>
      </w:r>
      <w:r w:rsidR="003804AB">
        <w:t xml:space="preserve"> because the Supplement contains data from the 2010 Census.</w:t>
      </w:r>
      <w:r w:rsidR="00411E0E">
        <w:rPr>
          <w:rStyle w:val="FootnoteReference"/>
        </w:rPr>
        <w:footnoteReference w:id="18"/>
      </w:r>
      <w:r w:rsidR="003804AB">
        <w:t xml:space="preserve">  </w:t>
      </w:r>
      <w:r>
        <w:t xml:space="preserve">Second, </w:t>
      </w:r>
      <w:r w:rsidR="00C021C8">
        <w:lastRenderedPageBreak/>
        <w:t xml:space="preserve">Fridley </w:t>
      </w:r>
      <w:r>
        <w:t>asserts that the subscriber tracking report</w:t>
      </w:r>
      <w:r w:rsidR="00C021C8">
        <w:t xml:space="preserve"> relied upon in the petition i</w:t>
      </w:r>
      <w:r w:rsidR="003804AB">
        <w:t xml:space="preserve">s </w:t>
      </w:r>
      <w:r w:rsidR="00C76525">
        <w:t>outdated and</w:t>
      </w:r>
      <w:r w:rsidR="0074586F">
        <w:t xml:space="preserve"> based on</w:t>
      </w:r>
      <w:r w:rsidR="00C76525">
        <w:t xml:space="preserve"> inaccurate</w:t>
      </w:r>
      <w:r w:rsidR="0074586F">
        <w:t xml:space="preserve"> five digit </w:t>
      </w:r>
      <w:r w:rsidR="00C76525">
        <w:t>zip codes</w:t>
      </w:r>
      <w:r w:rsidR="003804AB">
        <w:t>.</w:t>
      </w:r>
      <w:r w:rsidR="003804AB">
        <w:rPr>
          <w:rStyle w:val="FootnoteReference"/>
        </w:rPr>
        <w:footnoteReference w:id="19"/>
      </w:r>
      <w:r w:rsidR="003804AB">
        <w:t xml:space="preserve">  </w:t>
      </w:r>
      <w:r w:rsidR="00C021C8">
        <w:t>The Supplement contains a</w:t>
      </w:r>
      <w:r w:rsidR="00C76525">
        <w:t>n updated</w:t>
      </w:r>
      <w:r w:rsidR="00C021C8">
        <w:t xml:space="preserve"> subscriber tracking report, </w:t>
      </w:r>
      <w:r w:rsidR="003804AB">
        <w:t xml:space="preserve">based on </w:t>
      </w:r>
      <w:r w:rsidR="00C76525">
        <w:t xml:space="preserve">more accurate </w:t>
      </w:r>
      <w:r w:rsidR="0074586F">
        <w:t xml:space="preserve">nine-digit </w:t>
      </w:r>
      <w:r w:rsidR="00C76525">
        <w:t xml:space="preserve">zip </w:t>
      </w:r>
      <w:r w:rsidR="0074586F">
        <w:t>code data</w:t>
      </w:r>
      <w:r w:rsidR="003804AB">
        <w:t>.</w:t>
      </w:r>
      <w:r w:rsidR="00411E0E">
        <w:rPr>
          <w:rStyle w:val="FootnoteReference"/>
        </w:rPr>
        <w:footnoteReference w:id="20"/>
      </w:r>
      <w:r w:rsidR="0074586F">
        <w:t xml:space="preserve">  Third, </w:t>
      </w:r>
      <w:r w:rsidR="00C021C8">
        <w:t xml:space="preserve">Fridley </w:t>
      </w:r>
      <w:r w:rsidR="0074586F">
        <w:t>argue</w:t>
      </w:r>
      <w:r w:rsidR="00C76525">
        <w:t>s</w:t>
      </w:r>
      <w:r w:rsidR="0074586F">
        <w:t xml:space="preserve"> that the DBS subscriber data fail</w:t>
      </w:r>
      <w:r w:rsidR="00C021C8">
        <w:t xml:space="preserve">ed </w:t>
      </w:r>
      <w:r w:rsidR="0074586F">
        <w:t xml:space="preserve">to reflect </w:t>
      </w:r>
      <w:r w:rsidR="00C021C8">
        <w:t xml:space="preserve">subscribers </w:t>
      </w:r>
      <w:r w:rsidR="002742B9">
        <w:t xml:space="preserve">that may </w:t>
      </w:r>
      <w:r w:rsidR="00C021C8">
        <w:t xml:space="preserve">return to </w:t>
      </w:r>
      <w:r w:rsidR="0074586F">
        <w:t xml:space="preserve">Comcast </w:t>
      </w:r>
      <w:r w:rsidR="00C021C8">
        <w:t>becau</w:t>
      </w:r>
      <w:r w:rsidR="0074586F">
        <w:t>se of its “triple play” bundled options</w:t>
      </w:r>
      <w:r w:rsidR="002742B9">
        <w:t>,</w:t>
      </w:r>
      <w:r w:rsidR="008F4E96">
        <w:t xml:space="preserve"> and it may include C-Band residential subscribers</w:t>
      </w:r>
      <w:r w:rsidR="002742B9">
        <w:t xml:space="preserve"> that do not satisfy the first prong of the competing provider test</w:t>
      </w:r>
      <w:r w:rsidR="00DA27A5">
        <w:t>.</w:t>
      </w:r>
      <w:r w:rsidR="00896412">
        <w:rPr>
          <w:rStyle w:val="FootnoteReference"/>
        </w:rPr>
        <w:footnoteReference w:id="21"/>
      </w:r>
      <w:r w:rsidR="00DA27A5">
        <w:t xml:space="preserve">  </w:t>
      </w:r>
      <w:r w:rsidR="008F4E96">
        <w:t xml:space="preserve">Comcast </w:t>
      </w:r>
      <w:r w:rsidR="003617DB">
        <w:t>responds</w:t>
      </w:r>
      <w:r w:rsidR="008F4E96">
        <w:t xml:space="preserve"> that C-Band subscribers do satisfy the first prong of the competing provider test, </w:t>
      </w:r>
      <w:r w:rsidR="002742B9">
        <w:t>and</w:t>
      </w:r>
      <w:r w:rsidR="008F4E96">
        <w:t xml:space="preserve"> in any event there </w:t>
      </w:r>
      <w:r w:rsidR="002742B9">
        <w:t xml:space="preserve">are </w:t>
      </w:r>
      <w:r w:rsidR="008F4E96">
        <w:t xml:space="preserve">only </w:t>
      </w:r>
      <w:r w:rsidR="002742B9">
        <w:t>12 such subscribers</w:t>
      </w:r>
      <w:r w:rsidR="008F4E96">
        <w:t xml:space="preserve">, </w:t>
      </w:r>
      <w:r w:rsidR="002742B9">
        <w:t>yielding</w:t>
      </w:r>
      <w:r w:rsidR="008F4E96">
        <w:t xml:space="preserve"> a </w:t>
      </w:r>
      <w:r w:rsidR="008F4E96" w:rsidRPr="008F4E96">
        <w:rPr>
          <w:i/>
        </w:rPr>
        <w:t>de minimis</w:t>
      </w:r>
      <w:r w:rsidR="008F4E96">
        <w:t xml:space="preserve"> impact on the subscriber total</w:t>
      </w:r>
      <w:r w:rsidR="002742B9">
        <w:t>s</w:t>
      </w:r>
      <w:r w:rsidR="008F4E96">
        <w:t>.</w:t>
      </w:r>
      <w:r w:rsidR="008F4E96">
        <w:rPr>
          <w:rStyle w:val="FootnoteReference"/>
        </w:rPr>
        <w:footnoteReference w:id="22"/>
      </w:r>
      <w:r w:rsidR="00DA27A5">
        <w:t xml:space="preserve">  </w:t>
      </w:r>
      <w:r w:rsidR="002742B9">
        <w:t xml:space="preserve">We note in addition that any concern about subscribers potentially returning to Comcast is speculative.  </w:t>
      </w:r>
      <w:r w:rsidR="00DA27A5">
        <w:t>Four</w:t>
      </w:r>
      <w:r w:rsidR="0023015A">
        <w:t>th</w:t>
      </w:r>
      <w:r w:rsidR="00DA27A5">
        <w:t xml:space="preserve">, </w:t>
      </w:r>
      <w:r w:rsidR="00C23122">
        <w:rPr>
          <w:szCs w:val="22"/>
        </w:rPr>
        <w:t xml:space="preserve">Fridley </w:t>
      </w:r>
      <w:r w:rsidR="00DA27A5">
        <w:rPr>
          <w:szCs w:val="22"/>
        </w:rPr>
        <w:t xml:space="preserve">contends that </w:t>
      </w:r>
      <w:r w:rsidR="00C23122">
        <w:rPr>
          <w:szCs w:val="22"/>
        </w:rPr>
        <w:t xml:space="preserve">Comcast </w:t>
      </w:r>
      <w:r w:rsidR="00DA27A5">
        <w:rPr>
          <w:szCs w:val="22"/>
        </w:rPr>
        <w:t xml:space="preserve">has </w:t>
      </w:r>
      <w:r w:rsidR="00C23122">
        <w:rPr>
          <w:szCs w:val="22"/>
        </w:rPr>
        <w:t>failed to demonstrate that</w:t>
      </w:r>
      <w:r w:rsidR="00DA27A5">
        <w:rPr>
          <w:szCs w:val="22"/>
        </w:rPr>
        <w:t xml:space="preserve"> a finding of effective competition </w:t>
      </w:r>
      <w:r w:rsidR="00C23122">
        <w:rPr>
          <w:szCs w:val="22"/>
        </w:rPr>
        <w:t>would be in the public interest</w:t>
      </w:r>
      <w:r w:rsidR="002742B9">
        <w:rPr>
          <w:szCs w:val="22"/>
        </w:rPr>
        <w:t>.</w:t>
      </w:r>
      <w:r w:rsidR="00C23122">
        <w:rPr>
          <w:rStyle w:val="FootnoteReference"/>
          <w:szCs w:val="22"/>
        </w:rPr>
        <w:footnoteReference w:id="23"/>
      </w:r>
      <w:r w:rsidR="00C23122">
        <w:rPr>
          <w:szCs w:val="22"/>
        </w:rPr>
        <w:t xml:space="preserve">  </w:t>
      </w:r>
      <w:r w:rsidR="002742B9">
        <w:rPr>
          <w:szCs w:val="22"/>
        </w:rPr>
        <w:t>We find that there is no “public interest” prong in the statutory test for competing provider effective competition.  For the above reasons, the arguments put forth by</w:t>
      </w:r>
      <w:r w:rsidR="00C23122">
        <w:rPr>
          <w:szCs w:val="22"/>
        </w:rPr>
        <w:t xml:space="preserve"> Fridley</w:t>
      </w:r>
      <w:r>
        <w:t xml:space="preserve"> fail to rebut the presumption of competing provider effective competition.</w:t>
      </w:r>
      <w:r>
        <w:rPr>
          <w:b/>
        </w:rPr>
        <w:t xml:space="preserve">  </w:t>
      </w:r>
      <w:r>
        <w:t xml:space="preserve">In accordance with the presumption of competing provider effective competition, and based on the information submitted by </w:t>
      </w:r>
      <w:r w:rsidR="00C23122">
        <w:t xml:space="preserve">Comcast </w:t>
      </w:r>
      <w:r>
        <w:t xml:space="preserve">and </w:t>
      </w:r>
      <w:r w:rsidR="00C23122">
        <w:t>Fridley</w:t>
      </w:r>
      <w:r>
        <w:t>, we thus find that the second prong of the test is satisfied.</w:t>
      </w:r>
    </w:p>
    <w:p w:rsidR="003617DB" w:rsidRPr="0008265B" w:rsidRDefault="003617DB" w:rsidP="00CD5F05">
      <w:pPr>
        <w:pStyle w:val="Heading1"/>
        <w:jc w:val="left"/>
        <w:rPr>
          <w:szCs w:val="22"/>
        </w:rPr>
      </w:pPr>
      <w:r>
        <w:rPr>
          <w:caps w:val="0"/>
          <w:szCs w:val="22"/>
        </w:rPr>
        <w:t>T</w:t>
      </w:r>
      <w:r>
        <w:rPr>
          <w:szCs w:val="22"/>
        </w:rPr>
        <w:t>he LOW PENETRATION TEST</w:t>
      </w:r>
    </w:p>
    <w:p w:rsidR="00C23122" w:rsidRPr="00C23122" w:rsidRDefault="00BB6627">
      <w:pPr>
        <w:pStyle w:val="ParaNum"/>
        <w:jc w:val="left"/>
      </w:pPr>
      <w:r w:rsidRPr="005A21E9">
        <w:rPr>
          <w:szCs w:val="22"/>
        </w:rPr>
        <w:t xml:space="preserve">Finally, </w:t>
      </w:r>
      <w:r w:rsidR="005D0E9A">
        <w:rPr>
          <w:szCs w:val="22"/>
        </w:rPr>
        <w:t>C</w:t>
      </w:r>
      <w:r w:rsidRPr="005A21E9">
        <w:rPr>
          <w:szCs w:val="22"/>
        </w:rPr>
        <w:t>omcast s</w:t>
      </w:r>
      <w:r w:rsidR="005D0E9A">
        <w:rPr>
          <w:szCs w:val="22"/>
        </w:rPr>
        <w:t xml:space="preserve">eeks </w:t>
      </w:r>
      <w:r w:rsidRPr="005A21E9">
        <w:rPr>
          <w:szCs w:val="22"/>
        </w:rPr>
        <w:t xml:space="preserve">a </w:t>
      </w:r>
      <w:r w:rsidR="005D0E9A">
        <w:rPr>
          <w:szCs w:val="22"/>
        </w:rPr>
        <w:t xml:space="preserve">finding of </w:t>
      </w:r>
      <w:r w:rsidRPr="005A21E9">
        <w:rPr>
          <w:szCs w:val="22"/>
        </w:rPr>
        <w:t xml:space="preserve">low penetration effective competition for the </w:t>
      </w:r>
      <w:r w:rsidR="002742B9">
        <w:rPr>
          <w:szCs w:val="22"/>
        </w:rPr>
        <w:t>Attachment B Communities</w:t>
      </w:r>
      <w:r w:rsidR="005D0E9A">
        <w:t>.  No oppositions were filed.  P</w:t>
      </w:r>
      <w:r w:rsidRPr="005A21E9">
        <w:rPr>
          <w:szCs w:val="22"/>
        </w:rPr>
        <w:t xml:space="preserve">ursuant to the </w:t>
      </w:r>
      <w:r w:rsidR="003617DB">
        <w:rPr>
          <w:i/>
          <w:szCs w:val="22"/>
        </w:rPr>
        <w:t>Effective Competition Order</w:t>
      </w:r>
      <w:r>
        <w:t>, we</w:t>
      </w:r>
      <w:r w:rsidR="005D0E9A">
        <w:t xml:space="preserve"> </w:t>
      </w:r>
      <w:r w:rsidR="003617DB">
        <w:t>now presume</w:t>
      </w:r>
      <w:r w:rsidR="005D0E9A">
        <w:t xml:space="preserve"> that Comcast is subject to </w:t>
      </w:r>
      <w:r w:rsidR="003617DB">
        <w:t xml:space="preserve">competing provider </w:t>
      </w:r>
      <w:r w:rsidR="005D0E9A">
        <w:t xml:space="preserve">effective competition in the </w:t>
      </w:r>
      <w:r w:rsidR="003617DB">
        <w:t>Attachment B Communities</w:t>
      </w:r>
      <w:r w:rsidR="005D0E9A">
        <w:t xml:space="preserve">.  </w:t>
      </w:r>
      <w:r w:rsidR="005A21E9">
        <w:t xml:space="preserve">Even if </w:t>
      </w:r>
      <w:r w:rsidR="003617DB">
        <w:t xml:space="preserve">any party attempted to rebut that presumption, which has not occurred, </w:t>
      </w:r>
      <w:r w:rsidR="005A21E9">
        <w:t xml:space="preserve">the Company </w:t>
      </w:r>
      <w:r w:rsidR="003617DB">
        <w:t xml:space="preserve">still </w:t>
      </w:r>
      <w:r w:rsidR="005A21E9">
        <w:t xml:space="preserve">would have satisfied the low penetration effective competition test based upon </w:t>
      </w:r>
      <w:r w:rsidR="00C23122" w:rsidRPr="0008265B">
        <w:rPr>
          <w:szCs w:val="22"/>
        </w:rPr>
        <w:t>the subscriber penetration level calculated by Comcast</w:t>
      </w:r>
      <w:r w:rsidR="00C23122" w:rsidRPr="003617DB">
        <w:rPr>
          <w:szCs w:val="22"/>
        </w:rPr>
        <w:t>, as reflected in Attachment B</w:t>
      </w:r>
      <w:r w:rsidR="004B0A08" w:rsidRPr="003617DB">
        <w:rPr>
          <w:szCs w:val="22"/>
        </w:rPr>
        <w:t xml:space="preserve">.  We </w:t>
      </w:r>
      <w:r w:rsidR="00C23122" w:rsidRPr="003617DB">
        <w:rPr>
          <w:szCs w:val="22"/>
        </w:rPr>
        <w:t xml:space="preserve">find that Comcast has demonstrated that the percentage of households subscribing to its cable service is less than 30 percent of the households </w:t>
      </w:r>
      <w:r w:rsidR="004B0A08" w:rsidRPr="003617DB">
        <w:rPr>
          <w:szCs w:val="22"/>
        </w:rPr>
        <w:t>in the Attachment B Communities</w:t>
      </w:r>
      <w:r w:rsidR="003617DB">
        <w:rPr>
          <w:szCs w:val="22"/>
        </w:rPr>
        <w:t>, as required by</w:t>
      </w:r>
      <w:r w:rsidR="004B0A08" w:rsidRPr="0008265B">
        <w:rPr>
          <w:szCs w:val="22"/>
        </w:rPr>
        <w:t xml:space="preserve"> the </w:t>
      </w:r>
      <w:r w:rsidR="00C23122" w:rsidRPr="0008265B">
        <w:rPr>
          <w:szCs w:val="22"/>
        </w:rPr>
        <w:t>low penetration test</w:t>
      </w:r>
      <w:r w:rsidR="00C23122" w:rsidRPr="003617DB">
        <w:rPr>
          <w:szCs w:val="22"/>
        </w:rPr>
        <w:t>.</w:t>
      </w:r>
      <w:r w:rsidR="00C23122">
        <w:t xml:space="preserve"> </w:t>
      </w:r>
    </w:p>
    <w:p w:rsidR="00F90BE8" w:rsidRDefault="00595360">
      <w:pPr>
        <w:pStyle w:val="Heading1"/>
        <w:jc w:val="left"/>
        <w:rPr>
          <w:szCs w:val="22"/>
        </w:rPr>
      </w:pPr>
      <w:r>
        <w:rPr>
          <w:szCs w:val="22"/>
        </w:rPr>
        <w:t>ordering clauses</w:t>
      </w:r>
    </w:p>
    <w:p w:rsidR="00F90BE8" w:rsidRDefault="00595360">
      <w:pPr>
        <w:pStyle w:val="ParaNum"/>
        <w:jc w:val="left"/>
      </w:pPr>
      <w:r>
        <w:t xml:space="preserve">Accordingly, </w:t>
      </w:r>
      <w:r>
        <w:rPr>
          <w:b/>
        </w:rPr>
        <w:t>IT IS ORDERED</w:t>
      </w:r>
      <w:r>
        <w:t xml:space="preserve"> that the petition for a determination of effective competition filed in the captioned proceeding by </w:t>
      </w:r>
      <w:r w:rsidR="00C23122">
        <w:t xml:space="preserve">Comcast Cable Communications, LLC </w:t>
      </w:r>
      <w:r w:rsidR="00C23122" w:rsidRPr="00C23122">
        <w:rPr>
          <w:b/>
        </w:rPr>
        <w:t>IS</w:t>
      </w:r>
      <w:r>
        <w:rPr>
          <w:b/>
        </w:rPr>
        <w:t xml:space="preserve"> GRANTED</w:t>
      </w:r>
      <w:r>
        <w:t xml:space="preserve"> as to the Communit</w:t>
      </w:r>
      <w:r w:rsidR="00C23122">
        <w:t>ies</w:t>
      </w:r>
      <w:r>
        <w:t xml:space="preserve"> listed on Attachment</w:t>
      </w:r>
      <w:r w:rsidR="00C23122">
        <w:t>s</w:t>
      </w:r>
      <w:r>
        <w:t xml:space="preserve"> A </w:t>
      </w:r>
      <w:r w:rsidR="00C23122">
        <w:t xml:space="preserve">and B </w:t>
      </w:r>
      <w:r>
        <w:t xml:space="preserve">hereto. </w:t>
      </w:r>
    </w:p>
    <w:p w:rsidR="00F90BE8" w:rsidRDefault="00595360">
      <w:pPr>
        <w:pStyle w:val="ParaNum"/>
        <w:jc w:val="left"/>
      </w:pPr>
      <w:r>
        <w:rPr>
          <w:b/>
        </w:rPr>
        <w:t>IT IS FURTHER ORDERED</w:t>
      </w:r>
      <w:r>
        <w:t xml:space="preserve"> that the certification to regulate basic cable service rates granted to or on behalf of any of the Communities set forth on Attachment</w:t>
      </w:r>
      <w:r w:rsidR="00C23122">
        <w:t>s</w:t>
      </w:r>
      <w:r>
        <w:t xml:space="preserve"> A</w:t>
      </w:r>
      <w:r w:rsidR="00C23122">
        <w:t xml:space="preserve"> and B</w:t>
      </w:r>
      <w:r>
        <w:t xml:space="preserve"> </w:t>
      </w:r>
      <w:r w:rsidR="00C23122" w:rsidRPr="00C23122">
        <w:rPr>
          <w:b/>
        </w:rPr>
        <w:t>ARE</w:t>
      </w:r>
      <w:r>
        <w:rPr>
          <w:b/>
        </w:rPr>
        <w:t xml:space="preserve"> REVOKED</w:t>
      </w:r>
      <w:r>
        <w:t xml:space="preserve">. </w:t>
      </w:r>
    </w:p>
    <w:p w:rsidR="009A4880" w:rsidRDefault="009A4880">
      <w:pPr>
        <w:rPr>
          <w:b/>
        </w:rPr>
      </w:pPr>
      <w:r>
        <w:rPr>
          <w:b/>
        </w:rPr>
        <w:br w:type="page"/>
      </w:r>
    </w:p>
    <w:p w:rsidR="00F90BE8" w:rsidRDefault="00595360">
      <w:pPr>
        <w:pStyle w:val="ParaNum"/>
        <w:jc w:val="left"/>
      </w:pPr>
      <w:r>
        <w:lastRenderedPageBreak/>
        <w:t>This action is taken pursuant to delegated authority pursuant to Section 0.283 of the Commission’s rules.</w:t>
      </w:r>
      <w:r>
        <w:rPr>
          <w:vertAlign w:val="superscript"/>
        </w:rPr>
        <w:footnoteReference w:id="24"/>
      </w:r>
    </w:p>
    <w:p w:rsidR="00F90BE8" w:rsidRDefault="00595360">
      <w:pPr>
        <w:pStyle w:val="ParaNum"/>
        <w:numPr>
          <w:ilvl w:val="0"/>
          <w:numId w:val="0"/>
        </w:numPr>
        <w:jc w:val="left"/>
        <w:rPr>
          <w:szCs w:val="22"/>
        </w:rPr>
      </w:pPr>
      <w:r>
        <w:rPr>
          <w:szCs w:val="22"/>
        </w:rPr>
        <w:tab/>
      </w:r>
      <w:r>
        <w:rPr>
          <w:szCs w:val="22"/>
        </w:rPr>
        <w:tab/>
      </w:r>
      <w:r>
        <w:rPr>
          <w:szCs w:val="22"/>
        </w:rPr>
        <w:tab/>
      </w:r>
    </w:p>
    <w:p w:rsidR="00F90BE8" w:rsidRDefault="00595360">
      <w:pPr>
        <w:pStyle w:val="ParaNum"/>
        <w:numPr>
          <w:ilvl w:val="0"/>
          <w:numId w:val="0"/>
        </w:numPr>
        <w:jc w:val="left"/>
        <w:rPr>
          <w:szCs w:val="22"/>
        </w:rPr>
      </w:pPr>
      <w:r>
        <w:rPr>
          <w:szCs w:val="22"/>
        </w:rPr>
        <w:tab/>
      </w:r>
      <w:r>
        <w:rPr>
          <w:szCs w:val="22"/>
        </w:rPr>
        <w:tab/>
      </w:r>
      <w:r>
        <w:rPr>
          <w:szCs w:val="22"/>
        </w:rPr>
        <w:tab/>
      </w:r>
      <w:r>
        <w:rPr>
          <w:szCs w:val="22"/>
        </w:rPr>
        <w:tab/>
        <w:t>FEDERAL COMMUNICATIONS COMMISSION</w:t>
      </w:r>
    </w:p>
    <w:p w:rsidR="00F90BE8" w:rsidRDefault="00F90BE8">
      <w:pPr>
        <w:pStyle w:val="DocText"/>
        <w:jc w:val="left"/>
        <w:rPr>
          <w:sz w:val="22"/>
          <w:szCs w:val="22"/>
        </w:rPr>
      </w:pPr>
    </w:p>
    <w:p w:rsidR="00F90BE8" w:rsidRDefault="00F90BE8">
      <w:pPr>
        <w:pStyle w:val="DocText"/>
        <w:ind w:left="0"/>
        <w:jc w:val="left"/>
        <w:rPr>
          <w:sz w:val="22"/>
          <w:szCs w:val="22"/>
        </w:rPr>
      </w:pPr>
    </w:p>
    <w:p w:rsidR="00F90BE8" w:rsidRDefault="00595360">
      <w:pPr>
        <w:pStyle w:val="DocText"/>
        <w:jc w:val="left"/>
        <w:rPr>
          <w:sz w:val="22"/>
          <w:szCs w:val="22"/>
        </w:rPr>
      </w:pPr>
      <w:r>
        <w:rPr>
          <w:sz w:val="22"/>
          <w:szCs w:val="22"/>
        </w:rPr>
        <w:tab/>
      </w:r>
      <w:r>
        <w:rPr>
          <w:sz w:val="22"/>
          <w:szCs w:val="22"/>
        </w:rPr>
        <w:tab/>
      </w:r>
      <w:r>
        <w:rPr>
          <w:sz w:val="22"/>
          <w:szCs w:val="22"/>
        </w:rPr>
        <w:tab/>
      </w:r>
      <w:r>
        <w:rPr>
          <w:sz w:val="22"/>
          <w:szCs w:val="22"/>
        </w:rPr>
        <w:tab/>
        <w:t>Steven A. Broeckaert</w:t>
      </w:r>
    </w:p>
    <w:p w:rsidR="00F90BE8" w:rsidRDefault="00595360">
      <w:pPr>
        <w:pStyle w:val="DocText"/>
        <w:jc w:val="left"/>
        <w:rPr>
          <w:sz w:val="22"/>
          <w:szCs w:val="22"/>
        </w:rPr>
      </w:pPr>
      <w:r>
        <w:rPr>
          <w:sz w:val="22"/>
          <w:szCs w:val="22"/>
        </w:rPr>
        <w:tab/>
      </w:r>
      <w:r>
        <w:rPr>
          <w:sz w:val="22"/>
          <w:szCs w:val="22"/>
        </w:rPr>
        <w:tab/>
      </w:r>
      <w:r>
        <w:rPr>
          <w:sz w:val="22"/>
          <w:szCs w:val="22"/>
        </w:rPr>
        <w:tab/>
      </w:r>
      <w:r>
        <w:rPr>
          <w:sz w:val="22"/>
          <w:szCs w:val="22"/>
        </w:rPr>
        <w:tab/>
        <w:t>Senior Deputy Chief, Policy Division, Media Bureau</w:t>
      </w:r>
    </w:p>
    <w:p w:rsidR="00C23122" w:rsidRDefault="00C23122">
      <w:pPr>
        <w:pStyle w:val="DocText"/>
        <w:jc w:val="left"/>
        <w:rPr>
          <w:sz w:val="22"/>
          <w:szCs w:val="22"/>
        </w:rPr>
      </w:pPr>
    </w:p>
    <w:p w:rsidR="00C23122" w:rsidRDefault="00595360">
      <w:pPr>
        <w:pStyle w:val="ParaNum"/>
        <w:numPr>
          <w:ilvl w:val="0"/>
          <w:numId w:val="0"/>
        </w:numPr>
        <w:jc w:val="center"/>
        <w:rPr>
          <w:szCs w:val="22"/>
        </w:rPr>
      </w:pPr>
      <w:r>
        <w:rPr>
          <w:szCs w:val="22"/>
        </w:rPr>
        <w:br w:type="page"/>
      </w:r>
    </w:p>
    <w:p w:rsidR="00C23122" w:rsidRDefault="00C23122" w:rsidP="00C23122">
      <w:pPr>
        <w:pStyle w:val="ParaNum"/>
        <w:numPr>
          <w:ilvl w:val="0"/>
          <w:numId w:val="0"/>
        </w:numPr>
        <w:jc w:val="center"/>
        <w:rPr>
          <w:b/>
        </w:rPr>
      </w:pPr>
      <w:r>
        <w:rPr>
          <w:b/>
        </w:rPr>
        <w:lastRenderedPageBreak/>
        <w:t>ATTACHMENT A</w:t>
      </w:r>
    </w:p>
    <w:p w:rsidR="00C23122" w:rsidRDefault="00C23122" w:rsidP="00C23122">
      <w:pPr>
        <w:pStyle w:val="ParaNum"/>
        <w:numPr>
          <w:ilvl w:val="0"/>
          <w:numId w:val="0"/>
        </w:numPr>
        <w:jc w:val="center"/>
        <w:rPr>
          <w:b/>
        </w:rPr>
      </w:pPr>
      <w:r>
        <w:rPr>
          <w:b/>
        </w:rPr>
        <w:t>CSR 8081-E</w:t>
      </w:r>
    </w:p>
    <w:p w:rsidR="00C23122" w:rsidRDefault="00C23122" w:rsidP="00C23122">
      <w:pPr>
        <w:pStyle w:val="ParaNum"/>
        <w:numPr>
          <w:ilvl w:val="0"/>
          <w:numId w:val="0"/>
        </w:numPr>
        <w:spacing w:after="0"/>
        <w:jc w:val="center"/>
      </w:pPr>
      <w:r>
        <w:rPr>
          <w:b/>
        </w:rPr>
        <w:t xml:space="preserve">                    COMMUNITY SERVED BY COMCAST CABLE COMMUNICATIONS, LLC</w:t>
      </w:r>
      <w:r>
        <w:tab/>
      </w:r>
    </w:p>
    <w:p w:rsidR="00C23122" w:rsidRDefault="00C23122" w:rsidP="00C23122">
      <w:pPr>
        <w:pStyle w:val="EndnoteText"/>
        <w:spacing w:after="0"/>
        <w:rPr>
          <w:sz w:val="20"/>
        </w:rPr>
      </w:pPr>
      <w:r>
        <w:rPr>
          <w:b/>
          <w:sz w:val="20"/>
        </w:rPr>
        <w:t xml:space="preserve">  </w:t>
      </w:r>
    </w:p>
    <w:tbl>
      <w:tblPr>
        <w:tblW w:w="900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0"/>
        <w:gridCol w:w="1350"/>
        <w:gridCol w:w="1440"/>
        <w:gridCol w:w="1800"/>
        <w:gridCol w:w="1890"/>
      </w:tblGrid>
      <w:tr w:rsidR="00C23122" w:rsidTr="005278B9">
        <w:tc>
          <w:tcPr>
            <w:tcW w:w="2520" w:type="dxa"/>
            <w:tcMar>
              <w:top w:w="28" w:type="dxa"/>
              <w:left w:w="28" w:type="dxa"/>
              <w:bottom w:w="28" w:type="dxa"/>
              <w:right w:w="28" w:type="dxa"/>
            </w:tcMar>
          </w:tcPr>
          <w:p w:rsidR="00C23122" w:rsidRDefault="00C23122" w:rsidP="005278B9">
            <w:pPr>
              <w:autoSpaceDE w:val="0"/>
              <w:autoSpaceDN w:val="0"/>
              <w:adjustRightInd w:val="0"/>
              <w:jc w:val="center"/>
              <w:rPr>
                <w:rFonts w:ascii="Times New Roman Bold" w:hAnsi="Times New Roman Bold"/>
                <w:b/>
              </w:rPr>
            </w:pPr>
          </w:p>
          <w:p w:rsidR="00C23122" w:rsidRDefault="00C23122" w:rsidP="005278B9">
            <w:pPr>
              <w:autoSpaceDE w:val="0"/>
              <w:autoSpaceDN w:val="0"/>
              <w:adjustRightInd w:val="0"/>
              <w:jc w:val="center"/>
              <w:rPr>
                <w:rFonts w:ascii="Times New Roman Bold" w:hAnsi="Times New Roman Bold"/>
                <w:b/>
              </w:rPr>
            </w:pPr>
            <w:r>
              <w:rPr>
                <w:rFonts w:ascii="Times New Roman Bold" w:hAnsi="Times New Roman Bold"/>
                <w:b/>
              </w:rPr>
              <w:t>Communities</w:t>
            </w:r>
          </w:p>
        </w:tc>
        <w:tc>
          <w:tcPr>
            <w:tcW w:w="1350" w:type="dxa"/>
            <w:tcMar>
              <w:top w:w="28" w:type="dxa"/>
              <w:left w:w="28" w:type="dxa"/>
              <w:bottom w:w="28" w:type="dxa"/>
              <w:right w:w="28" w:type="dxa"/>
            </w:tcMar>
          </w:tcPr>
          <w:p w:rsidR="00C23122" w:rsidRDefault="00C23122" w:rsidP="005278B9">
            <w:pPr>
              <w:autoSpaceDE w:val="0"/>
              <w:autoSpaceDN w:val="0"/>
              <w:adjustRightInd w:val="0"/>
              <w:jc w:val="center"/>
              <w:rPr>
                <w:rFonts w:ascii="Times New Roman Bold" w:hAnsi="Times New Roman Bold"/>
                <w:b/>
              </w:rPr>
            </w:pPr>
          </w:p>
          <w:p w:rsidR="00C23122" w:rsidRDefault="00C23122" w:rsidP="005278B9">
            <w:pPr>
              <w:autoSpaceDE w:val="0"/>
              <w:autoSpaceDN w:val="0"/>
              <w:adjustRightInd w:val="0"/>
              <w:jc w:val="center"/>
              <w:rPr>
                <w:rFonts w:ascii="Times New Roman Bold" w:hAnsi="Times New Roman Bold"/>
                <w:b/>
              </w:rPr>
            </w:pPr>
            <w:r>
              <w:rPr>
                <w:rFonts w:ascii="Times New Roman Bold" w:hAnsi="Times New Roman Bold"/>
                <w:b/>
              </w:rPr>
              <w:t xml:space="preserve">CUIDs  </w:t>
            </w:r>
          </w:p>
        </w:tc>
        <w:tc>
          <w:tcPr>
            <w:tcW w:w="1440" w:type="dxa"/>
            <w:tcMar>
              <w:top w:w="28" w:type="dxa"/>
              <w:left w:w="28" w:type="dxa"/>
              <w:bottom w:w="28" w:type="dxa"/>
              <w:right w:w="28" w:type="dxa"/>
            </w:tcMar>
          </w:tcPr>
          <w:p w:rsidR="00C23122" w:rsidRDefault="00C23122" w:rsidP="005278B9">
            <w:pPr>
              <w:autoSpaceDE w:val="0"/>
              <w:autoSpaceDN w:val="0"/>
              <w:adjustRightInd w:val="0"/>
              <w:jc w:val="center"/>
              <w:rPr>
                <w:rFonts w:ascii="Times New Roman Bold" w:hAnsi="Times New Roman Bold"/>
                <w:b/>
              </w:rPr>
            </w:pPr>
          </w:p>
          <w:p w:rsidR="00C23122" w:rsidRDefault="00C23122" w:rsidP="005278B9">
            <w:pPr>
              <w:autoSpaceDE w:val="0"/>
              <w:autoSpaceDN w:val="0"/>
              <w:adjustRightInd w:val="0"/>
              <w:jc w:val="center"/>
              <w:rPr>
                <w:rFonts w:ascii="Times New Roman Bold" w:hAnsi="Times New Roman Bold"/>
                <w:b/>
              </w:rPr>
            </w:pPr>
            <w:r>
              <w:rPr>
                <w:rFonts w:ascii="Times New Roman Bold" w:hAnsi="Times New Roman Bold"/>
                <w:b/>
              </w:rPr>
              <w:t>CPR*</w:t>
            </w:r>
          </w:p>
        </w:tc>
        <w:tc>
          <w:tcPr>
            <w:tcW w:w="1800" w:type="dxa"/>
            <w:tcMar>
              <w:top w:w="28" w:type="dxa"/>
              <w:left w:w="28" w:type="dxa"/>
              <w:bottom w:w="28" w:type="dxa"/>
              <w:right w:w="28" w:type="dxa"/>
            </w:tcMar>
          </w:tcPr>
          <w:p w:rsidR="00C23122" w:rsidRDefault="00C23122" w:rsidP="005278B9">
            <w:pPr>
              <w:autoSpaceDE w:val="0"/>
              <w:autoSpaceDN w:val="0"/>
              <w:adjustRightInd w:val="0"/>
              <w:jc w:val="center"/>
              <w:rPr>
                <w:rFonts w:ascii="Times New Roman Bold" w:hAnsi="Times New Roman Bold"/>
                <w:b/>
              </w:rPr>
            </w:pPr>
            <w:r>
              <w:rPr>
                <w:rFonts w:ascii="Times New Roman Bold" w:hAnsi="Times New Roman Bold"/>
                <w:b/>
              </w:rPr>
              <w:t>2010 Census</w:t>
            </w:r>
          </w:p>
          <w:p w:rsidR="00C23122" w:rsidRDefault="00C23122" w:rsidP="005278B9">
            <w:pPr>
              <w:autoSpaceDE w:val="0"/>
              <w:autoSpaceDN w:val="0"/>
              <w:adjustRightInd w:val="0"/>
              <w:jc w:val="center"/>
              <w:rPr>
                <w:rFonts w:ascii="Times New Roman Bold" w:hAnsi="Times New Roman Bold"/>
                <w:b/>
              </w:rPr>
            </w:pPr>
            <w:r>
              <w:rPr>
                <w:rFonts w:ascii="Times New Roman Bold" w:hAnsi="Times New Roman Bold"/>
                <w:b/>
              </w:rPr>
              <w:t>Households</w:t>
            </w:r>
          </w:p>
        </w:tc>
        <w:tc>
          <w:tcPr>
            <w:tcW w:w="1890" w:type="dxa"/>
            <w:tcMar>
              <w:top w:w="28" w:type="dxa"/>
              <w:left w:w="28" w:type="dxa"/>
              <w:bottom w:w="28" w:type="dxa"/>
              <w:right w:w="28" w:type="dxa"/>
            </w:tcMar>
          </w:tcPr>
          <w:p w:rsidR="00C23122" w:rsidRDefault="00C23122" w:rsidP="005278B9">
            <w:pPr>
              <w:autoSpaceDE w:val="0"/>
              <w:autoSpaceDN w:val="0"/>
              <w:adjustRightInd w:val="0"/>
              <w:jc w:val="center"/>
              <w:rPr>
                <w:rFonts w:ascii="Times New Roman Bold" w:hAnsi="Times New Roman Bold"/>
                <w:b/>
              </w:rPr>
            </w:pPr>
            <w:r>
              <w:rPr>
                <w:rFonts w:ascii="Times New Roman Bold" w:hAnsi="Times New Roman Bold"/>
                <w:b/>
              </w:rPr>
              <w:t>Estimated DBS Subscribers</w:t>
            </w:r>
          </w:p>
        </w:tc>
      </w:tr>
      <w:tr w:rsidR="00C23122" w:rsidTr="005278B9">
        <w:tc>
          <w:tcPr>
            <w:tcW w:w="2520" w:type="dxa"/>
            <w:tcMar>
              <w:top w:w="28" w:type="dxa"/>
              <w:left w:w="28" w:type="dxa"/>
              <w:bottom w:w="28" w:type="dxa"/>
              <w:right w:w="28" w:type="dxa"/>
            </w:tcMar>
          </w:tcPr>
          <w:p w:rsidR="00C23122" w:rsidRDefault="00C23122" w:rsidP="005278B9">
            <w:pPr>
              <w:autoSpaceDE w:val="0"/>
              <w:autoSpaceDN w:val="0"/>
              <w:adjustRightInd w:val="0"/>
              <w:jc w:val="center"/>
              <w:rPr>
                <w:sz w:val="20"/>
              </w:rPr>
            </w:pPr>
            <w:smartTag w:uri="urn:schemas-microsoft-com:office:smarttags" w:element="City">
              <w:smartTag w:uri="urn:schemas-microsoft-com:office:smarttags" w:element="place">
                <w:r>
                  <w:rPr>
                    <w:sz w:val="20"/>
                  </w:rPr>
                  <w:t>Fridley</w:t>
                </w:r>
              </w:smartTag>
            </w:smartTag>
          </w:p>
        </w:tc>
        <w:tc>
          <w:tcPr>
            <w:tcW w:w="1350" w:type="dxa"/>
            <w:tcMar>
              <w:top w:w="28" w:type="dxa"/>
              <w:left w:w="28" w:type="dxa"/>
              <w:bottom w:w="28" w:type="dxa"/>
              <w:right w:w="28" w:type="dxa"/>
            </w:tcMar>
          </w:tcPr>
          <w:p w:rsidR="00C23122" w:rsidRDefault="00C23122" w:rsidP="005278B9">
            <w:pPr>
              <w:autoSpaceDE w:val="0"/>
              <w:autoSpaceDN w:val="0"/>
              <w:adjustRightInd w:val="0"/>
              <w:jc w:val="center"/>
              <w:rPr>
                <w:sz w:val="20"/>
              </w:rPr>
            </w:pPr>
            <w:r>
              <w:rPr>
                <w:sz w:val="20"/>
              </w:rPr>
              <w:t>MN0077</w:t>
            </w:r>
          </w:p>
        </w:tc>
        <w:tc>
          <w:tcPr>
            <w:tcW w:w="1440" w:type="dxa"/>
            <w:tcMar>
              <w:top w:w="28" w:type="dxa"/>
              <w:left w:w="28" w:type="dxa"/>
              <w:bottom w:w="28" w:type="dxa"/>
              <w:right w:w="28" w:type="dxa"/>
            </w:tcMar>
          </w:tcPr>
          <w:p w:rsidR="00C23122" w:rsidRDefault="00C23122" w:rsidP="005278B9">
            <w:pPr>
              <w:autoSpaceDE w:val="0"/>
              <w:autoSpaceDN w:val="0"/>
              <w:adjustRightInd w:val="0"/>
              <w:jc w:val="center"/>
              <w:rPr>
                <w:sz w:val="20"/>
              </w:rPr>
            </w:pPr>
            <w:r>
              <w:rPr>
                <w:sz w:val="20"/>
              </w:rPr>
              <w:t>23.48%</w:t>
            </w:r>
          </w:p>
        </w:tc>
        <w:tc>
          <w:tcPr>
            <w:tcW w:w="1800" w:type="dxa"/>
            <w:tcMar>
              <w:top w:w="28" w:type="dxa"/>
              <w:left w:w="28" w:type="dxa"/>
              <w:bottom w:w="28" w:type="dxa"/>
              <w:right w:w="28" w:type="dxa"/>
            </w:tcMar>
          </w:tcPr>
          <w:p w:rsidR="00C23122" w:rsidRDefault="00C23122" w:rsidP="005278B9">
            <w:pPr>
              <w:autoSpaceDE w:val="0"/>
              <w:autoSpaceDN w:val="0"/>
              <w:adjustRightInd w:val="0"/>
              <w:jc w:val="center"/>
              <w:rPr>
                <w:sz w:val="20"/>
              </w:rPr>
            </w:pPr>
            <w:r>
              <w:rPr>
                <w:sz w:val="20"/>
              </w:rPr>
              <w:t>11110</w:t>
            </w:r>
          </w:p>
        </w:tc>
        <w:tc>
          <w:tcPr>
            <w:tcW w:w="1890" w:type="dxa"/>
            <w:tcMar>
              <w:top w:w="28" w:type="dxa"/>
              <w:left w:w="28" w:type="dxa"/>
              <w:bottom w:w="28" w:type="dxa"/>
              <w:right w:w="28" w:type="dxa"/>
            </w:tcMar>
          </w:tcPr>
          <w:p w:rsidR="00C23122" w:rsidRDefault="00C23122" w:rsidP="005278B9">
            <w:pPr>
              <w:autoSpaceDE w:val="0"/>
              <w:autoSpaceDN w:val="0"/>
              <w:adjustRightInd w:val="0"/>
              <w:jc w:val="center"/>
              <w:rPr>
                <w:sz w:val="20"/>
              </w:rPr>
            </w:pPr>
            <w:r>
              <w:rPr>
                <w:sz w:val="20"/>
              </w:rPr>
              <w:t>2609</w:t>
            </w:r>
          </w:p>
        </w:tc>
      </w:tr>
    </w:tbl>
    <w:p w:rsidR="00C23122" w:rsidRDefault="00C23122" w:rsidP="00C23122">
      <w:pPr>
        <w:pStyle w:val="EndnoteText"/>
        <w:spacing w:after="0"/>
        <w:rPr>
          <w:sz w:val="20"/>
        </w:rPr>
      </w:pPr>
    </w:p>
    <w:p w:rsidR="00C23122" w:rsidRDefault="00C23122" w:rsidP="00C23122">
      <w:pPr>
        <w:pStyle w:val="EndnoteText"/>
        <w:spacing w:after="0"/>
        <w:rPr>
          <w:sz w:val="20"/>
        </w:rPr>
      </w:pPr>
    </w:p>
    <w:p w:rsidR="00C23122" w:rsidRDefault="00C23122" w:rsidP="00C23122">
      <w:pPr>
        <w:pStyle w:val="EndnoteText"/>
        <w:spacing w:after="0"/>
        <w:rPr>
          <w:sz w:val="20"/>
        </w:rPr>
      </w:pPr>
      <w:r>
        <w:rPr>
          <w:sz w:val="20"/>
        </w:rPr>
        <w:t xml:space="preserve">      </w:t>
      </w:r>
    </w:p>
    <w:p w:rsidR="00C23122" w:rsidRDefault="00C23122" w:rsidP="00C23122">
      <w:pPr>
        <w:rPr>
          <w:sz w:val="20"/>
        </w:rPr>
      </w:pPr>
      <w:r>
        <w:rPr>
          <w:sz w:val="20"/>
        </w:rPr>
        <w:t>*CPR = Percent of competitive DBS subscribership rate.</w:t>
      </w:r>
    </w:p>
    <w:p w:rsidR="00C23122" w:rsidRDefault="00C23122">
      <w:pPr>
        <w:rPr>
          <w:sz w:val="20"/>
        </w:rPr>
      </w:pPr>
      <w:r>
        <w:rPr>
          <w:sz w:val="20"/>
        </w:rPr>
        <w:br w:type="page"/>
      </w:r>
    </w:p>
    <w:p w:rsidR="00C23122" w:rsidRDefault="00C23122" w:rsidP="00C23122">
      <w:pPr>
        <w:jc w:val="center"/>
        <w:rPr>
          <w:b/>
          <w:szCs w:val="22"/>
        </w:rPr>
      </w:pPr>
      <w:r>
        <w:rPr>
          <w:b/>
          <w:szCs w:val="22"/>
        </w:rPr>
        <w:lastRenderedPageBreak/>
        <w:t>ATTACHMENT B</w:t>
      </w:r>
    </w:p>
    <w:p w:rsidR="00C23122" w:rsidRDefault="00C23122" w:rsidP="00C23122">
      <w:pPr>
        <w:jc w:val="center"/>
        <w:rPr>
          <w:szCs w:val="22"/>
        </w:rPr>
      </w:pPr>
    </w:p>
    <w:p w:rsidR="00C23122" w:rsidRDefault="00C23122" w:rsidP="00C23122">
      <w:pPr>
        <w:pStyle w:val="ParaNum"/>
        <w:numPr>
          <w:ilvl w:val="0"/>
          <w:numId w:val="0"/>
        </w:numPr>
        <w:jc w:val="center"/>
        <w:rPr>
          <w:rFonts w:ascii="Times New Roman Bold" w:hAnsi="Times New Roman Bold"/>
          <w:b/>
        </w:rPr>
      </w:pPr>
      <w:r>
        <w:rPr>
          <w:rFonts w:ascii="Times New Roman Bold" w:hAnsi="Times New Roman Bold"/>
          <w:b/>
        </w:rPr>
        <w:t>CSR 8081-E</w:t>
      </w:r>
    </w:p>
    <w:p w:rsidR="00C23122" w:rsidRDefault="00C23122" w:rsidP="00C23122">
      <w:pPr>
        <w:pStyle w:val="ParaNum"/>
        <w:numPr>
          <w:ilvl w:val="0"/>
          <w:numId w:val="0"/>
        </w:numPr>
        <w:spacing w:after="0"/>
        <w:jc w:val="center"/>
        <w:rPr>
          <w:rFonts w:ascii="Times New Roman Bold" w:hAnsi="Times New Roman Bold"/>
        </w:rPr>
      </w:pPr>
      <w:r>
        <w:rPr>
          <w:rFonts w:ascii="Times New Roman Bold" w:hAnsi="Times New Roman Bold"/>
          <w:b/>
        </w:rPr>
        <w:t xml:space="preserve">                    COMMUNITIES SERVED BY COMCAST CABLE COMMUNICATIONS, LLC</w:t>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t xml:space="preserve"> </w:t>
      </w:r>
    </w:p>
    <w:tbl>
      <w:tblPr>
        <w:tblW w:w="837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20"/>
        <w:gridCol w:w="1440"/>
        <w:gridCol w:w="1620"/>
        <w:gridCol w:w="1440"/>
        <w:gridCol w:w="1350"/>
      </w:tblGrid>
      <w:tr w:rsidR="00C23122" w:rsidTr="005278B9">
        <w:tc>
          <w:tcPr>
            <w:tcW w:w="2520" w:type="dxa"/>
            <w:tcMar>
              <w:top w:w="28" w:type="dxa"/>
              <w:left w:w="28" w:type="dxa"/>
              <w:bottom w:w="28" w:type="dxa"/>
              <w:right w:w="28" w:type="dxa"/>
            </w:tcMar>
          </w:tcPr>
          <w:p w:rsidR="00C23122" w:rsidRDefault="00C23122" w:rsidP="005278B9">
            <w:pPr>
              <w:autoSpaceDE w:val="0"/>
              <w:autoSpaceDN w:val="0"/>
              <w:adjustRightInd w:val="0"/>
              <w:jc w:val="center"/>
              <w:rPr>
                <w:rFonts w:ascii="Times New Roman Bold" w:hAnsi="Times New Roman Bold"/>
                <w:b/>
              </w:rPr>
            </w:pPr>
          </w:p>
          <w:p w:rsidR="00C23122" w:rsidRDefault="00C23122" w:rsidP="005278B9">
            <w:pPr>
              <w:autoSpaceDE w:val="0"/>
              <w:autoSpaceDN w:val="0"/>
              <w:adjustRightInd w:val="0"/>
              <w:jc w:val="center"/>
              <w:rPr>
                <w:rFonts w:ascii="Times New Roman Bold" w:hAnsi="Times New Roman Bold"/>
                <w:b/>
              </w:rPr>
            </w:pPr>
            <w:r>
              <w:rPr>
                <w:rFonts w:ascii="Times New Roman Bold" w:hAnsi="Times New Roman Bold"/>
                <w:b/>
              </w:rPr>
              <w:t>Communities</w:t>
            </w:r>
          </w:p>
        </w:tc>
        <w:tc>
          <w:tcPr>
            <w:tcW w:w="1440" w:type="dxa"/>
            <w:tcMar>
              <w:top w:w="28" w:type="dxa"/>
              <w:left w:w="28" w:type="dxa"/>
              <w:bottom w:w="28" w:type="dxa"/>
              <w:right w:w="28" w:type="dxa"/>
            </w:tcMar>
          </w:tcPr>
          <w:p w:rsidR="00C23122" w:rsidRDefault="00C23122" w:rsidP="005278B9">
            <w:pPr>
              <w:autoSpaceDE w:val="0"/>
              <w:autoSpaceDN w:val="0"/>
              <w:adjustRightInd w:val="0"/>
              <w:jc w:val="center"/>
              <w:rPr>
                <w:rFonts w:ascii="Times New Roman Bold" w:hAnsi="Times New Roman Bold"/>
                <w:b/>
              </w:rPr>
            </w:pPr>
          </w:p>
          <w:p w:rsidR="00C23122" w:rsidRDefault="00C23122" w:rsidP="005278B9">
            <w:pPr>
              <w:autoSpaceDE w:val="0"/>
              <w:autoSpaceDN w:val="0"/>
              <w:adjustRightInd w:val="0"/>
              <w:jc w:val="center"/>
              <w:rPr>
                <w:rFonts w:ascii="Times New Roman Bold" w:hAnsi="Times New Roman Bold"/>
                <w:b/>
              </w:rPr>
            </w:pPr>
            <w:r>
              <w:rPr>
                <w:rFonts w:ascii="Times New Roman Bold" w:hAnsi="Times New Roman Bold"/>
                <w:b/>
              </w:rPr>
              <w:t xml:space="preserve">CUIDs </w:t>
            </w:r>
          </w:p>
        </w:tc>
        <w:tc>
          <w:tcPr>
            <w:tcW w:w="1620" w:type="dxa"/>
            <w:tcMar>
              <w:top w:w="28" w:type="dxa"/>
              <w:left w:w="28" w:type="dxa"/>
              <w:bottom w:w="28" w:type="dxa"/>
              <w:right w:w="28" w:type="dxa"/>
            </w:tcMar>
          </w:tcPr>
          <w:p w:rsidR="00C23122" w:rsidRDefault="00C23122" w:rsidP="005278B9">
            <w:pPr>
              <w:autoSpaceDE w:val="0"/>
              <w:autoSpaceDN w:val="0"/>
              <w:adjustRightInd w:val="0"/>
              <w:jc w:val="center"/>
              <w:rPr>
                <w:rFonts w:ascii="Times New Roman Bold" w:hAnsi="Times New Roman Bold"/>
                <w:b/>
              </w:rPr>
            </w:pPr>
            <w:r>
              <w:rPr>
                <w:rFonts w:ascii="Times New Roman Bold" w:hAnsi="Times New Roman Bold"/>
                <w:b/>
              </w:rPr>
              <w:t>Franchise Area Households</w:t>
            </w:r>
          </w:p>
        </w:tc>
        <w:tc>
          <w:tcPr>
            <w:tcW w:w="1440" w:type="dxa"/>
            <w:tcMar>
              <w:top w:w="28" w:type="dxa"/>
              <w:left w:w="28" w:type="dxa"/>
              <w:bottom w:w="28" w:type="dxa"/>
              <w:right w:w="28" w:type="dxa"/>
            </w:tcMar>
          </w:tcPr>
          <w:p w:rsidR="00C23122" w:rsidRDefault="00C23122" w:rsidP="005278B9">
            <w:pPr>
              <w:autoSpaceDE w:val="0"/>
              <w:autoSpaceDN w:val="0"/>
              <w:adjustRightInd w:val="0"/>
              <w:jc w:val="center"/>
              <w:rPr>
                <w:rFonts w:ascii="Times New Roman Bold" w:hAnsi="Times New Roman Bold"/>
                <w:b/>
              </w:rPr>
            </w:pPr>
            <w:r>
              <w:rPr>
                <w:rFonts w:ascii="Times New Roman Bold" w:hAnsi="Times New Roman Bold"/>
                <w:b/>
              </w:rPr>
              <w:t>Comcast Subscribers</w:t>
            </w:r>
          </w:p>
        </w:tc>
        <w:tc>
          <w:tcPr>
            <w:tcW w:w="1350" w:type="dxa"/>
            <w:tcMar>
              <w:top w:w="28" w:type="dxa"/>
              <w:left w:w="28" w:type="dxa"/>
              <w:bottom w:w="28" w:type="dxa"/>
              <w:right w:w="28" w:type="dxa"/>
            </w:tcMar>
          </w:tcPr>
          <w:p w:rsidR="00C23122" w:rsidRDefault="00C23122" w:rsidP="005278B9">
            <w:pPr>
              <w:autoSpaceDE w:val="0"/>
              <w:autoSpaceDN w:val="0"/>
              <w:adjustRightInd w:val="0"/>
              <w:jc w:val="center"/>
              <w:rPr>
                <w:rFonts w:ascii="Times New Roman Bold" w:hAnsi="Times New Roman Bold"/>
                <w:b/>
              </w:rPr>
            </w:pPr>
            <w:r>
              <w:rPr>
                <w:rFonts w:ascii="Times New Roman Bold" w:hAnsi="Times New Roman Bold"/>
                <w:b/>
              </w:rPr>
              <w:t>Penetration Percentage</w:t>
            </w:r>
          </w:p>
        </w:tc>
      </w:tr>
      <w:tr w:rsidR="00C23122" w:rsidTr="005278B9">
        <w:tc>
          <w:tcPr>
            <w:tcW w:w="2520" w:type="dxa"/>
            <w:tcMar>
              <w:top w:w="28" w:type="dxa"/>
              <w:left w:w="28" w:type="dxa"/>
              <w:bottom w:w="28" w:type="dxa"/>
              <w:right w:w="28" w:type="dxa"/>
            </w:tcMar>
          </w:tcPr>
          <w:p w:rsidR="00C23122" w:rsidRDefault="00C23122" w:rsidP="005278B9">
            <w:pPr>
              <w:autoSpaceDE w:val="0"/>
              <w:autoSpaceDN w:val="0"/>
              <w:adjustRightInd w:val="0"/>
              <w:jc w:val="center"/>
              <w:rPr>
                <w:sz w:val="20"/>
              </w:rPr>
            </w:pPr>
            <w:smartTag w:uri="urn:schemas-microsoft-com:office:smarttags" w:element="City">
              <w:smartTag w:uri="urn:schemas-microsoft-com:office:smarttags" w:element="place">
                <w:r>
                  <w:rPr>
                    <w:sz w:val="20"/>
                  </w:rPr>
                  <w:t>Helena</w:t>
                </w:r>
              </w:smartTag>
            </w:smartTag>
          </w:p>
        </w:tc>
        <w:tc>
          <w:tcPr>
            <w:tcW w:w="1440" w:type="dxa"/>
            <w:tcMar>
              <w:top w:w="28" w:type="dxa"/>
              <w:left w:w="28" w:type="dxa"/>
              <w:bottom w:w="28" w:type="dxa"/>
              <w:right w:w="28" w:type="dxa"/>
            </w:tcMar>
          </w:tcPr>
          <w:p w:rsidR="00C23122" w:rsidRDefault="00C23122" w:rsidP="005278B9">
            <w:pPr>
              <w:autoSpaceDE w:val="0"/>
              <w:autoSpaceDN w:val="0"/>
              <w:adjustRightInd w:val="0"/>
              <w:jc w:val="center"/>
              <w:rPr>
                <w:sz w:val="20"/>
              </w:rPr>
            </w:pPr>
            <w:r>
              <w:rPr>
                <w:sz w:val="20"/>
              </w:rPr>
              <w:t>MN1226</w:t>
            </w:r>
          </w:p>
        </w:tc>
        <w:tc>
          <w:tcPr>
            <w:tcW w:w="1620" w:type="dxa"/>
            <w:tcMar>
              <w:top w:w="28" w:type="dxa"/>
              <w:left w:w="28" w:type="dxa"/>
              <w:bottom w:w="28" w:type="dxa"/>
              <w:right w:w="28" w:type="dxa"/>
            </w:tcMar>
          </w:tcPr>
          <w:p w:rsidR="00C23122" w:rsidRDefault="00C23122" w:rsidP="005278B9">
            <w:pPr>
              <w:autoSpaceDE w:val="0"/>
              <w:autoSpaceDN w:val="0"/>
              <w:adjustRightInd w:val="0"/>
              <w:jc w:val="center"/>
              <w:rPr>
                <w:sz w:val="20"/>
              </w:rPr>
            </w:pPr>
            <w:r>
              <w:rPr>
                <w:sz w:val="20"/>
              </w:rPr>
              <w:t>548</w:t>
            </w:r>
          </w:p>
        </w:tc>
        <w:tc>
          <w:tcPr>
            <w:tcW w:w="1440" w:type="dxa"/>
            <w:tcMar>
              <w:top w:w="28" w:type="dxa"/>
              <w:left w:w="28" w:type="dxa"/>
              <w:bottom w:w="28" w:type="dxa"/>
              <w:right w:w="28" w:type="dxa"/>
            </w:tcMar>
          </w:tcPr>
          <w:p w:rsidR="00C23122" w:rsidRDefault="00C23122" w:rsidP="005278B9">
            <w:pPr>
              <w:autoSpaceDE w:val="0"/>
              <w:autoSpaceDN w:val="0"/>
              <w:adjustRightInd w:val="0"/>
              <w:jc w:val="center"/>
              <w:rPr>
                <w:sz w:val="20"/>
              </w:rPr>
            </w:pPr>
            <w:r>
              <w:rPr>
                <w:sz w:val="20"/>
              </w:rPr>
              <w:t>24</w:t>
            </w:r>
          </w:p>
        </w:tc>
        <w:tc>
          <w:tcPr>
            <w:tcW w:w="1350" w:type="dxa"/>
            <w:tcMar>
              <w:top w:w="28" w:type="dxa"/>
              <w:left w:w="28" w:type="dxa"/>
              <w:bottom w:w="28" w:type="dxa"/>
              <w:right w:w="28" w:type="dxa"/>
            </w:tcMar>
          </w:tcPr>
          <w:p w:rsidR="00C23122" w:rsidRDefault="00C23122" w:rsidP="005278B9">
            <w:pPr>
              <w:autoSpaceDE w:val="0"/>
              <w:autoSpaceDN w:val="0"/>
              <w:adjustRightInd w:val="0"/>
              <w:jc w:val="center"/>
              <w:rPr>
                <w:sz w:val="20"/>
              </w:rPr>
            </w:pPr>
            <w:r>
              <w:rPr>
                <w:sz w:val="20"/>
              </w:rPr>
              <w:t>4.38%</w:t>
            </w:r>
          </w:p>
        </w:tc>
      </w:tr>
      <w:tr w:rsidR="00C23122" w:rsidTr="005278B9">
        <w:trPr>
          <w:trHeight w:val="42"/>
        </w:trPr>
        <w:tc>
          <w:tcPr>
            <w:tcW w:w="2520" w:type="dxa"/>
            <w:tcMar>
              <w:top w:w="28" w:type="dxa"/>
              <w:left w:w="28" w:type="dxa"/>
              <w:bottom w:w="28" w:type="dxa"/>
              <w:right w:w="28" w:type="dxa"/>
            </w:tcMar>
          </w:tcPr>
          <w:p w:rsidR="00C23122" w:rsidRDefault="00C23122" w:rsidP="005278B9">
            <w:pPr>
              <w:autoSpaceDE w:val="0"/>
              <w:autoSpaceDN w:val="0"/>
              <w:adjustRightInd w:val="0"/>
              <w:jc w:val="center"/>
              <w:rPr>
                <w:sz w:val="20"/>
              </w:rPr>
            </w:pPr>
            <w:r>
              <w:rPr>
                <w:sz w:val="20"/>
              </w:rPr>
              <w:t>Landsburgh</w:t>
            </w:r>
          </w:p>
        </w:tc>
        <w:tc>
          <w:tcPr>
            <w:tcW w:w="1440" w:type="dxa"/>
            <w:tcMar>
              <w:top w:w="28" w:type="dxa"/>
              <w:left w:w="28" w:type="dxa"/>
              <w:bottom w:w="28" w:type="dxa"/>
              <w:right w:w="28" w:type="dxa"/>
            </w:tcMar>
          </w:tcPr>
          <w:p w:rsidR="00C23122" w:rsidRDefault="00C23122" w:rsidP="005278B9">
            <w:pPr>
              <w:autoSpaceDE w:val="0"/>
              <w:autoSpaceDN w:val="0"/>
              <w:adjustRightInd w:val="0"/>
              <w:jc w:val="center"/>
              <w:rPr>
                <w:sz w:val="20"/>
              </w:rPr>
            </w:pPr>
            <w:r>
              <w:rPr>
                <w:sz w:val="20"/>
              </w:rPr>
              <w:t>MN1225</w:t>
            </w:r>
          </w:p>
        </w:tc>
        <w:tc>
          <w:tcPr>
            <w:tcW w:w="1620" w:type="dxa"/>
            <w:tcMar>
              <w:top w:w="28" w:type="dxa"/>
              <w:left w:w="28" w:type="dxa"/>
              <w:bottom w:w="28" w:type="dxa"/>
              <w:right w:w="28" w:type="dxa"/>
            </w:tcMar>
          </w:tcPr>
          <w:p w:rsidR="00C23122" w:rsidRDefault="00C23122" w:rsidP="005278B9">
            <w:pPr>
              <w:autoSpaceDE w:val="0"/>
              <w:autoSpaceDN w:val="0"/>
              <w:adjustRightInd w:val="0"/>
              <w:jc w:val="center"/>
              <w:rPr>
                <w:sz w:val="20"/>
              </w:rPr>
            </w:pPr>
            <w:r>
              <w:rPr>
                <w:sz w:val="20"/>
              </w:rPr>
              <w:t>682</w:t>
            </w:r>
          </w:p>
        </w:tc>
        <w:tc>
          <w:tcPr>
            <w:tcW w:w="1440" w:type="dxa"/>
            <w:tcMar>
              <w:top w:w="28" w:type="dxa"/>
              <w:left w:w="28" w:type="dxa"/>
              <w:bottom w:w="28" w:type="dxa"/>
              <w:right w:w="28" w:type="dxa"/>
            </w:tcMar>
          </w:tcPr>
          <w:p w:rsidR="00C23122" w:rsidRDefault="00C23122" w:rsidP="005278B9">
            <w:pPr>
              <w:autoSpaceDE w:val="0"/>
              <w:autoSpaceDN w:val="0"/>
              <w:adjustRightInd w:val="0"/>
              <w:jc w:val="center"/>
              <w:rPr>
                <w:sz w:val="20"/>
              </w:rPr>
            </w:pPr>
            <w:r>
              <w:rPr>
                <w:sz w:val="20"/>
              </w:rPr>
              <w:t>36</w:t>
            </w:r>
          </w:p>
        </w:tc>
        <w:tc>
          <w:tcPr>
            <w:tcW w:w="1350" w:type="dxa"/>
            <w:tcMar>
              <w:top w:w="28" w:type="dxa"/>
              <w:left w:w="28" w:type="dxa"/>
              <w:bottom w:w="28" w:type="dxa"/>
              <w:right w:w="28" w:type="dxa"/>
            </w:tcMar>
          </w:tcPr>
          <w:p w:rsidR="00C23122" w:rsidRDefault="00C23122" w:rsidP="005278B9">
            <w:pPr>
              <w:autoSpaceDE w:val="0"/>
              <w:autoSpaceDN w:val="0"/>
              <w:adjustRightInd w:val="0"/>
              <w:jc w:val="center"/>
              <w:rPr>
                <w:sz w:val="20"/>
              </w:rPr>
            </w:pPr>
            <w:r>
              <w:rPr>
                <w:sz w:val="20"/>
              </w:rPr>
              <w:t>5.28%</w:t>
            </w:r>
          </w:p>
        </w:tc>
      </w:tr>
      <w:tr w:rsidR="00C23122" w:rsidTr="005278B9">
        <w:tc>
          <w:tcPr>
            <w:tcW w:w="2520" w:type="dxa"/>
            <w:tcMar>
              <w:top w:w="28" w:type="dxa"/>
              <w:left w:w="28" w:type="dxa"/>
              <w:bottom w:w="28" w:type="dxa"/>
              <w:right w:w="28" w:type="dxa"/>
            </w:tcMar>
          </w:tcPr>
          <w:p w:rsidR="00C23122" w:rsidRDefault="00C23122" w:rsidP="005278B9">
            <w:pPr>
              <w:autoSpaceDE w:val="0"/>
              <w:autoSpaceDN w:val="0"/>
              <w:adjustRightInd w:val="0"/>
              <w:jc w:val="center"/>
              <w:rPr>
                <w:sz w:val="20"/>
              </w:rPr>
            </w:pPr>
            <w:r>
              <w:rPr>
                <w:sz w:val="20"/>
              </w:rPr>
              <w:t>Sand Creek</w:t>
            </w:r>
          </w:p>
        </w:tc>
        <w:tc>
          <w:tcPr>
            <w:tcW w:w="1440" w:type="dxa"/>
            <w:tcMar>
              <w:top w:w="28" w:type="dxa"/>
              <w:left w:w="28" w:type="dxa"/>
              <w:bottom w:w="28" w:type="dxa"/>
              <w:right w:w="28" w:type="dxa"/>
            </w:tcMar>
          </w:tcPr>
          <w:p w:rsidR="00C23122" w:rsidRDefault="00C23122" w:rsidP="005278B9">
            <w:pPr>
              <w:autoSpaceDE w:val="0"/>
              <w:autoSpaceDN w:val="0"/>
              <w:adjustRightInd w:val="0"/>
              <w:jc w:val="center"/>
              <w:rPr>
                <w:sz w:val="20"/>
              </w:rPr>
            </w:pPr>
            <w:r>
              <w:rPr>
                <w:sz w:val="20"/>
              </w:rPr>
              <w:t>MN1224</w:t>
            </w:r>
          </w:p>
        </w:tc>
        <w:tc>
          <w:tcPr>
            <w:tcW w:w="1620" w:type="dxa"/>
            <w:tcMar>
              <w:top w:w="28" w:type="dxa"/>
              <w:left w:w="28" w:type="dxa"/>
              <w:bottom w:w="28" w:type="dxa"/>
              <w:right w:w="28" w:type="dxa"/>
            </w:tcMar>
          </w:tcPr>
          <w:p w:rsidR="00C23122" w:rsidRDefault="00C23122" w:rsidP="005278B9">
            <w:pPr>
              <w:autoSpaceDE w:val="0"/>
              <w:autoSpaceDN w:val="0"/>
              <w:adjustRightInd w:val="0"/>
              <w:jc w:val="center"/>
              <w:rPr>
                <w:sz w:val="20"/>
              </w:rPr>
            </w:pPr>
            <w:r>
              <w:rPr>
                <w:sz w:val="20"/>
              </w:rPr>
              <w:t>554</w:t>
            </w:r>
          </w:p>
        </w:tc>
        <w:tc>
          <w:tcPr>
            <w:tcW w:w="1440" w:type="dxa"/>
            <w:tcMar>
              <w:top w:w="28" w:type="dxa"/>
              <w:left w:w="28" w:type="dxa"/>
              <w:bottom w:w="28" w:type="dxa"/>
              <w:right w:w="28" w:type="dxa"/>
            </w:tcMar>
          </w:tcPr>
          <w:p w:rsidR="00C23122" w:rsidRDefault="00C23122" w:rsidP="005278B9">
            <w:pPr>
              <w:autoSpaceDE w:val="0"/>
              <w:autoSpaceDN w:val="0"/>
              <w:adjustRightInd w:val="0"/>
              <w:jc w:val="center"/>
              <w:rPr>
                <w:sz w:val="20"/>
              </w:rPr>
            </w:pPr>
            <w:r>
              <w:rPr>
                <w:sz w:val="20"/>
              </w:rPr>
              <w:t>51</w:t>
            </w:r>
          </w:p>
        </w:tc>
        <w:tc>
          <w:tcPr>
            <w:tcW w:w="1350" w:type="dxa"/>
            <w:tcMar>
              <w:top w:w="28" w:type="dxa"/>
              <w:left w:w="28" w:type="dxa"/>
              <w:bottom w:w="28" w:type="dxa"/>
              <w:right w:w="28" w:type="dxa"/>
            </w:tcMar>
          </w:tcPr>
          <w:p w:rsidR="00C23122" w:rsidRDefault="00C23122" w:rsidP="005278B9">
            <w:pPr>
              <w:autoSpaceDE w:val="0"/>
              <w:autoSpaceDN w:val="0"/>
              <w:adjustRightInd w:val="0"/>
              <w:jc w:val="center"/>
              <w:rPr>
                <w:sz w:val="20"/>
              </w:rPr>
            </w:pPr>
            <w:r>
              <w:rPr>
                <w:sz w:val="20"/>
              </w:rPr>
              <w:t>9.21%</w:t>
            </w:r>
          </w:p>
        </w:tc>
      </w:tr>
    </w:tbl>
    <w:p w:rsidR="00C23122" w:rsidRDefault="00C23122">
      <w:pPr>
        <w:pStyle w:val="ParaNum"/>
        <w:numPr>
          <w:ilvl w:val="0"/>
          <w:numId w:val="0"/>
        </w:numPr>
        <w:jc w:val="center"/>
        <w:rPr>
          <w:szCs w:val="22"/>
        </w:rPr>
      </w:pPr>
    </w:p>
    <w:p w:rsidR="005D0E9A" w:rsidRDefault="005D0E9A" w:rsidP="005D0E9A">
      <w:pPr>
        <w:pStyle w:val="ParaNum"/>
        <w:numPr>
          <w:ilvl w:val="0"/>
          <w:numId w:val="0"/>
        </w:numPr>
        <w:jc w:val="left"/>
        <w:rPr>
          <w:szCs w:val="22"/>
        </w:rPr>
      </w:pPr>
    </w:p>
    <w:sectPr w:rsidR="005D0E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74E" w:rsidRDefault="0097374E">
      <w:r>
        <w:separator/>
      </w:r>
    </w:p>
  </w:endnote>
  <w:endnote w:type="continuationSeparator" w:id="0">
    <w:p w:rsidR="0097374E" w:rsidRDefault="0097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20" w:rsidRDefault="00FB4F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BE8" w:rsidRDefault="00595360">
    <w:pPr>
      <w:pStyle w:val="Footer"/>
      <w:jc w:val="center"/>
    </w:pPr>
    <w:r>
      <w:rPr>
        <w:rStyle w:val="PageNumber"/>
      </w:rPr>
      <w:fldChar w:fldCharType="begin"/>
    </w:r>
    <w:r>
      <w:rPr>
        <w:rStyle w:val="PageNumber"/>
      </w:rPr>
      <w:instrText xml:space="preserve"> PAGE </w:instrText>
    </w:r>
    <w:r>
      <w:rPr>
        <w:rStyle w:val="PageNumber"/>
      </w:rPr>
      <w:fldChar w:fldCharType="separate"/>
    </w:r>
    <w:r w:rsidR="001234AE">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20" w:rsidRDefault="00FB4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74E" w:rsidRDefault="0097374E">
      <w:pPr>
        <w:rPr>
          <w:sz w:val="20"/>
        </w:rPr>
      </w:pPr>
      <w:r>
        <w:rPr>
          <w:sz w:val="20"/>
        </w:rPr>
        <w:separator/>
      </w:r>
    </w:p>
  </w:footnote>
  <w:footnote w:type="continuationSeparator" w:id="0">
    <w:p w:rsidR="0097374E" w:rsidRDefault="0097374E">
      <w:pPr>
        <w:rPr>
          <w:sz w:val="20"/>
        </w:rPr>
      </w:pPr>
      <w:r>
        <w:rPr>
          <w:sz w:val="20"/>
        </w:rPr>
        <w:separator/>
      </w:r>
    </w:p>
    <w:p w:rsidR="0097374E" w:rsidRDefault="0097374E">
      <w:pPr>
        <w:rPr>
          <w:sz w:val="20"/>
        </w:rPr>
      </w:pPr>
      <w:r>
        <w:rPr>
          <w:sz w:val="20"/>
        </w:rPr>
        <w:t>(...continued from previous page)</w:t>
      </w:r>
    </w:p>
  </w:footnote>
  <w:footnote w:type="continuationNotice" w:id="1">
    <w:p w:rsidR="0097374E" w:rsidRDefault="0097374E">
      <w:pPr>
        <w:jc w:val="right"/>
        <w:rPr>
          <w:sz w:val="20"/>
        </w:rPr>
      </w:pPr>
      <w:r>
        <w:rPr>
          <w:sz w:val="20"/>
        </w:rPr>
        <w:t>(continued....)</w:t>
      </w:r>
    </w:p>
  </w:footnote>
  <w:footnote w:id="2">
    <w:p w:rsidR="00E71566" w:rsidRDefault="00E71566" w:rsidP="00C76525">
      <w:pPr>
        <w:pStyle w:val="FootnoteText"/>
        <w:jc w:val="left"/>
      </w:pPr>
      <w:r>
        <w:rPr>
          <w:rStyle w:val="FootnoteReference"/>
        </w:rPr>
        <w:footnoteRef/>
      </w:r>
      <w:r>
        <w:rPr>
          <w:i/>
        </w:rPr>
        <w:t xml:space="preserve"> See</w:t>
      </w:r>
      <w:r>
        <w:t xml:space="preserve"> 47 U.S.C. § 543(l)(1)(B).</w:t>
      </w:r>
    </w:p>
  </w:footnote>
  <w:footnote w:id="3">
    <w:p w:rsidR="00E71566" w:rsidRDefault="00E71566" w:rsidP="00C76525">
      <w:pPr>
        <w:pStyle w:val="FootnoteText"/>
        <w:jc w:val="left"/>
      </w:pPr>
      <w:r>
        <w:rPr>
          <w:rStyle w:val="FootnoteReference"/>
        </w:rPr>
        <w:footnoteRef/>
      </w:r>
      <w:r>
        <w:t xml:space="preserve"> 47 C.F.R. § 76.905(b)(2).</w:t>
      </w:r>
    </w:p>
  </w:footnote>
  <w:footnote w:id="4">
    <w:p w:rsidR="001516BD" w:rsidRDefault="001516BD" w:rsidP="00C76525">
      <w:pPr>
        <w:pStyle w:val="FootnoteText"/>
        <w:jc w:val="left"/>
      </w:pPr>
      <w:r>
        <w:rPr>
          <w:rStyle w:val="FootnoteReference"/>
        </w:rPr>
        <w:footnoteRef/>
      </w:r>
      <w:r>
        <w:t xml:space="preserve"> </w:t>
      </w:r>
      <w:r>
        <w:rPr>
          <w:i/>
        </w:rPr>
        <w:t>See</w:t>
      </w:r>
      <w:r>
        <w:t xml:space="preserve"> 47 U.S.C. § 543(l)(1)(A).</w:t>
      </w:r>
    </w:p>
  </w:footnote>
  <w:footnote w:id="5">
    <w:p w:rsidR="001516BD" w:rsidRDefault="001516BD" w:rsidP="00C76525">
      <w:pPr>
        <w:pStyle w:val="FootnoteText"/>
        <w:jc w:val="left"/>
      </w:pPr>
      <w:r>
        <w:rPr>
          <w:rStyle w:val="FootnoteReference"/>
        </w:rPr>
        <w:footnoteRef/>
      </w:r>
      <w:r>
        <w:t xml:space="preserve"> 47 C.F.R. § 76.905(b)(1).</w:t>
      </w:r>
    </w:p>
  </w:footnote>
  <w:footnote w:id="6">
    <w:p w:rsidR="00721073" w:rsidRDefault="00721073">
      <w:pPr>
        <w:pStyle w:val="FootnoteText"/>
        <w:jc w:val="left"/>
      </w:pPr>
      <w:r>
        <w:rPr>
          <w:rStyle w:val="FootnoteReference"/>
        </w:rPr>
        <w:footnoteRef/>
      </w:r>
      <w:r>
        <w:t xml:space="preserve"> Opposition to Petition for Special Relief by the City of Fridley, Minnesota</w:t>
      </w:r>
      <w:r w:rsidR="00992D6C">
        <w:t xml:space="preserve">, filed </w:t>
      </w:r>
      <w:r w:rsidR="00AA45A1">
        <w:t xml:space="preserve">December 1, 2008 </w:t>
      </w:r>
      <w:r>
        <w:t xml:space="preserve">(“Opposition”); </w:t>
      </w:r>
      <w:r w:rsidR="00C021C8">
        <w:t>Reply to Opposition of the City of Fridley, Minnesota</w:t>
      </w:r>
      <w:r w:rsidR="00992D6C">
        <w:t xml:space="preserve">, filed </w:t>
      </w:r>
      <w:r w:rsidR="00AA45A1">
        <w:t>December 18, 2008</w:t>
      </w:r>
      <w:r w:rsidR="00C021C8">
        <w:t xml:space="preserve"> (“Reply”).</w:t>
      </w:r>
    </w:p>
  </w:footnote>
  <w:footnote w:id="7">
    <w:p w:rsidR="005C7894" w:rsidRPr="006002E5" w:rsidRDefault="005C7894" w:rsidP="00CD5F05">
      <w:pPr>
        <w:pStyle w:val="FootnoteText"/>
        <w:jc w:val="left"/>
      </w:pPr>
      <w:r>
        <w:rPr>
          <w:rStyle w:val="FootnoteReference"/>
        </w:rPr>
        <w:footnoteRef/>
      </w:r>
      <w:r>
        <w:t xml:space="preserve"> </w:t>
      </w:r>
      <w:r>
        <w:rPr>
          <w:i/>
        </w:rPr>
        <w:t xml:space="preserve">See </w:t>
      </w:r>
      <w:r>
        <w:t>Supplement of Comcast Cable Communications, LLC at 1</w:t>
      </w:r>
      <w:r w:rsidR="00992D6C">
        <w:t xml:space="preserve">, filed </w:t>
      </w:r>
      <w:r w:rsidR="00AA45A1">
        <w:t>October 9, 2012</w:t>
      </w:r>
      <w:r>
        <w:t xml:space="preserve"> (“Supplement”).</w:t>
      </w:r>
    </w:p>
  </w:footnote>
  <w:footnote w:id="8">
    <w:p w:rsidR="00721073" w:rsidRDefault="00721073" w:rsidP="00C76525">
      <w:pPr>
        <w:pStyle w:val="FootnoteText"/>
        <w:jc w:val="left"/>
      </w:pPr>
      <w:r>
        <w:rPr>
          <w:rStyle w:val="FootnoteReference"/>
        </w:rPr>
        <w:footnoteRef/>
      </w:r>
      <w:r>
        <w:t xml:space="preserve"> Motion to Withdraw Bloomington, Minnesota, from Petition for Special Relief</w:t>
      </w:r>
      <w:r w:rsidR="00992D6C">
        <w:t>, filed</w:t>
      </w:r>
      <w:r w:rsidR="00AA45A1">
        <w:t xml:space="preserve"> December 18, 2008</w:t>
      </w:r>
      <w:r>
        <w:t>.</w:t>
      </w:r>
    </w:p>
  </w:footnote>
  <w:footnote w:id="9">
    <w:p w:rsidR="00F90BE8" w:rsidRDefault="00595360">
      <w:pPr>
        <w:pStyle w:val="FootnoteText"/>
        <w:jc w:val="left"/>
      </w:pPr>
      <w:r>
        <w:rPr>
          <w:rStyle w:val="FootnoteReference"/>
        </w:rPr>
        <w:footnoteRef/>
      </w:r>
      <w:r>
        <w:t xml:space="preserve"> </w:t>
      </w:r>
      <w:r>
        <w:rPr>
          <w:i/>
          <w:spacing w:val="-2"/>
        </w:rPr>
        <w:t>See Amendment to the Commission’s Rules Concerning Effective Competition; Implementation of Section 111 of the STELA Reauthorization Act</w:t>
      </w:r>
      <w:r>
        <w:rPr>
          <w:spacing w:val="-2"/>
        </w:rPr>
        <w:t>, Report and Order, 30 FCC Rcd 6574 (2015) (“</w:t>
      </w:r>
      <w:r>
        <w:rPr>
          <w:i/>
          <w:spacing w:val="-2"/>
        </w:rPr>
        <w:t>Effective Competition Order</w:t>
      </w:r>
      <w:r>
        <w:rPr>
          <w:spacing w:val="-2"/>
        </w:rPr>
        <w:t>”).</w:t>
      </w:r>
    </w:p>
  </w:footnote>
  <w:footnote w:id="10">
    <w:p w:rsidR="00F90BE8" w:rsidRDefault="00595360">
      <w:pPr>
        <w:pStyle w:val="FootnoteText"/>
        <w:tabs>
          <w:tab w:val="left" w:pos="-720"/>
        </w:tabs>
        <w:jc w:val="left"/>
        <w:rPr>
          <w:spacing w:val="-2"/>
        </w:rPr>
      </w:pPr>
      <w:r>
        <w:rPr>
          <w:rStyle w:val="FootnoteReference"/>
          <w:spacing w:val="-2"/>
        </w:rPr>
        <w:footnoteRef/>
      </w:r>
      <w:r>
        <w:rPr>
          <w:i/>
          <w:spacing w:val="-2"/>
        </w:rPr>
        <w:t xml:space="preserve"> See</w:t>
      </w:r>
      <w:r>
        <w:rPr>
          <w:spacing w:val="-2"/>
        </w:rPr>
        <w:t xml:space="preserve"> 47 U.S.C. § 543(l)(1); 47 C.F.R. §§ 76.905(b), 76.906.</w:t>
      </w:r>
    </w:p>
  </w:footnote>
  <w:footnote w:id="11">
    <w:p w:rsidR="00F90BE8" w:rsidRDefault="00595360">
      <w:pPr>
        <w:pStyle w:val="FootnoteText"/>
        <w:jc w:val="left"/>
        <w:rPr>
          <w:i/>
        </w:rPr>
      </w:pPr>
      <w:r>
        <w:rPr>
          <w:rStyle w:val="FootnoteReference"/>
        </w:rPr>
        <w:footnoteRef/>
      </w:r>
      <w:r>
        <w:t xml:space="preserve"> 47 U.S.C. § 543(</w:t>
      </w:r>
      <w:r w:rsidR="001516BD">
        <w:t>l</w:t>
      </w:r>
      <w:r>
        <w:t xml:space="preserve">)(1)(B); </w:t>
      </w:r>
      <w:r>
        <w:rPr>
          <w:i/>
        </w:rPr>
        <w:t>see</w:t>
      </w:r>
      <w:r>
        <w:t xml:space="preserve"> </w:t>
      </w:r>
      <w:r>
        <w:rPr>
          <w:i/>
        </w:rPr>
        <w:t>also</w:t>
      </w:r>
      <w:r>
        <w:t xml:space="preserve"> 47 C.F.R. § 76.905(b)(2).</w:t>
      </w:r>
    </w:p>
  </w:footnote>
  <w:footnote w:id="12">
    <w:p w:rsidR="00F90BE8" w:rsidRDefault="00595360">
      <w:pPr>
        <w:pStyle w:val="FootnoteText"/>
        <w:jc w:val="left"/>
      </w:pPr>
      <w:r>
        <w:rPr>
          <w:rStyle w:val="FootnoteReference"/>
        </w:rPr>
        <w:footnoteRef/>
      </w:r>
      <w:r>
        <w:t xml:space="preserve"> 47 C.F.R. § 76.905(b)(2)(i).</w:t>
      </w:r>
    </w:p>
  </w:footnote>
  <w:footnote w:id="13">
    <w:p w:rsidR="00F90BE8" w:rsidRDefault="00595360">
      <w:pPr>
        <w:pStyle w:val="FootnoteText"/>
        <w:jc w:val="left"/>
      </w:pPr>
      <w:r>
        <w:rPr>
          <w:rStyle w:val="FootnoteReference"/>
        </w:rPr>
        <w:footnoteRef/>
      </w:r>
      <w:r>
        <w:t xml:space="preserve"> </w:t>
      </w:r>
      <w:r>
        <w:rPr>
          <w:i/>
        </w:rPr>
        <w:t>Effective Competition Order</w:t>
      </w:r>
      <w:r>
        <w:t>, 30 FCC Rcd at 6580-81, ¶ 8.</w:t>
      </w:r>
    </w:p>
  </w:footnote>
  <w:footnote w:id="14">
    <w:p w:rsidR="00086194" w:rsidRDefault="00086194">
      <w:pPr>
        <w:pStyle w:val="FootnoteText"/>
        <w:jc w:val="left"/>
      </w:pPr>
      <w:r>
        <w:rPr>
          <w:rStyle w:val="FootnoteReference"/>
        </w:rPr>
        <w:footnoteRef/>
      </w:r>
      <w:r>
        <w:t xml:space="preserve"> Opposition at 4.</w:t>
      </w:r>
    </w:p>
  </w:footnote>
  <w:footnote w:id="15">
    <w:p w:rsidR="00F90BE8" w:rsidRDefault="00595360">
      <w:pPr>
        <w:pStyle w:val="FootnoteText"/>
        <w:jc w:val="left"/>
      </w:pPr>
      <w:r>
        <w:rPr>
          <w:rStyle w:val="FootnoteReference"/>
        </w:rPr>
        <w:footnoteRef/>
      </w:r>
      <w:r>
        <w:t xml:space="preserve"> 47 C.F.R. § 76.905(b)(2)(ii).</w:t>
      </w:r>
    </w:p>
  </w:footnote>
  <w:footnote w:id="16">
    <w:p w:rsidR="00F90BE8" w:rsidRDefault="00595360">
      <w:pPr>
        <w:pStyle w:val="FootnoteText"/>
        <w:jc w:val="left"/>
      </w:pPr>
      <w:r>
        <w:rPr>
          <w:rStyle w:val="FootnoteReference"/>
        </w:rPr>
        <w:footnoteRef/>
      </w:r>
      <w:r>
        <w:t xml:space="preserve"> </w:t>
      </w:r>
      <w:r>
        <w:rPr>
          <w:i/>
        </w:rPr>
        <w:t>Effective Competition Order</w:t>
      </w:r>
      <w:r>
        <w:t>, 30 FCC Rcd at 6581-82, ¶ 9.</w:t>
      </w:r>
    </w:p>
  </w:footnote>
  <w:footnote w:id="17">
    <w:p w:rsidR="00F90BE8" w:rsidRDefault="00595360">
      <w:pPr>
        <w:pStyle w:val="FootnoteText"/>
        <w:jc w:val="left"/>
      </w:pPr>
      <w:r>
        <w:rPr>
          <w:rStyle w:val="FootnoteReference"/>
        </w:rPr>
        <w:footnoteRef/>
      </w:r>
      <w:r>
        <w:t xml:space="preserve"> </w:t>
      </w:r>
      <w:r w:rsidR="0093371F">
        <w:t>Opposition at 4</w:t>
      </w:r>
      <w:r>
        <w:t>.</w:t>
      </w:r>
    </w:p>
  </w:footnote>
  <w:footnote w:id="18">
    <w:p w:rsidR="00411E0E" w:rsidRDefault="00411E0E" w:rsidP="00CD5F05">
      <w:pPr>
        <w:pStyle w:val="FootnoteText"/>
        <w:jc w:val="left"/>
      </w:pPr>
      <w:r>
        <w:rPr>
          <w:rStyle w:val="FootnoteReference"/>
        </w:rPr>
        <w:footnoteRef/>
      </w:r>
      <w:r>
        <w:t xml:space="preserve"> Supplement at </w:t>
      </w:r>
      <w:r w:rsidR="005D0E9A">
        <w:t>2.</w:t>
      </w:r>
    </w:p>
  </w:footnote>
  <w:footnote w:id="19">
    <w:p w:rsidR="003804AB" w:rsidRDefault="003804AB" w:rsidP="00CD5F05">
      <w:pPr>
        <w:pStyle w:val="FootnoteText"/>
        <w:jc w:val="left"/>
      </w:pPr>
      <w:r>
        <w:rPr>
          <w:rStyle w:val="FootnoteReference"/>
        </w:rPr>
        <w:footnoteRef/>
      </w:r>
      <w:r>
        <w:t xml:space="preserve"> </w:t>
      </w:r>
      <w:r w:rsidR="00411E0E">
        <w:t>Opposition</w:t>
      </w:r>
      <w:r>
        <w:t xml:space="preserve"> at 5.</w:t>
      </w:r>
    </w:p>
  </w:footnote>
  <w:footnote w:id="20">
    <w:p w:rsidR="00411E0E" w:rsidRPr="00C76525" w:rsidRDefault="00411E0E" w:rsidP="00CD5F05">
      <w:pPr>
        <w:pStyle w:val="FootnoteText"/>
        <w:jc w:val="left"/>
      </w:pPr>
      <w:r>
        <w:rPr>
          <w:rStyle w:val="FootnoteReference"/>
        </w:rPr>
        <w:footnoteRef/>
      </w:r>
      <w:r>
        <w:t xml:space="preserve"> Supplement at </w:t>
      </w:r>
      <w:r w:rsidR="005D0E9A">
        <w:t>2.</w:t>
      </w:r>
      <w:r w:rsidR="00C76525">
        <w:t xml:space="preserve">  We note, however, that we</w:t>
      </w:r>
      <w:r w:rsidR="00C76525">
        <w:rPr>
          <w:szCs w:val="22"/>
        </w:rPr>
        <w:t xml:space="preserve"> do not require cable operators to use nine-digit zip code-based DBS subscriber numbers in effective competition petitions</w:t>
      </w:r>
      <w:r w:rsidR="00C76525">
        <w:t xml:space="preserve">.  </w:t>
      </w:r>
      <w:r w:rsidR="00C76525">
        <w:rPr>
          <w:i/>
        </w:rPr>
        <w:t xml:space="preserve">See </w:t>
      </w:r>
      <w:r w:rsidR="00C76525" w:rsidRPr="002D5A42">
        <w:rPr>
          <w:i/>
        </w:rPr>
        <w:t>Comcast Cable Commc’ns, LLC</w:t>
      </w:r>
      <w:r w:rsidR="00C76525" w:rsidRPr="002D5A42">
        <w:t xml:space="preserve">, Memorandum Opinion and Order, DA 11-496, 26 FCC Rcd 3850, 3854, </w:t>
      </w:r>
      <w:r w:rsidR="002742B9">
        <w:t>¶</w:t>
      </w:r>
      <w:r w:rsidR="00C76525">
        <w:t> </w:t>
      </w:r>
      <w:r w:rsidR="00C76525" w:rsidRPr="002D5A42">
        <w:t>18 (</w:t>
      </w:r>
      <w:r w:rsidR="00C76525">
        <w:t xml:space="preserve">MB </w:t>
      </w:r>
      <w:r w:rsidR="00C76525" w:rsidRPr="002D5A42">
        <w:t>2011);</w:t>
      </w:r>
      <w:r w:rsidR="00C76525">
        <w:t xml:space="preserve"> </w:t>
      </w:r>
      <w:r w:rsidR="00C76525" w:rsidRPr="003A6C67">
        <w:rPr>
          <w:i/>
        </w:rPr>
        <w:t>Commission Clarifies Standards for Evidence of Competing Provider Effective Competition for Cable Service</w:t>
      </w:r>
      <w:r w:rsidR="00C76525" w:rsidRPr="00EC70BD">
        <w:t xml:space="preserve">, </w:t>
      </w:r>
      <w:r w:rsidR="00C76525">
        <w:t xml:space="preserve">Public Notice, </w:t>
      </w:r>
      <w:r w:rsidR="00C76525" w:rsidRPr="00EC70BD">
        <w:t>DA 09-1361, 24 FCC Rcd 8198 (</w:t>
      </w:r>
      <w:r w:rsidR="00C76525">
        <w:t xml:space="preserve">MB </w:t>
      </w:r>
      <w:r w:rsidR="00C76525" w:rsidRPr="00EC70BD">
        <w:t xml:space="preserve">2009); </w:t>
      </w:r>
      <w:r w:rsidR="00C76525" w:rsidRPr="003A6C67">
        <w:rPr>
          <w:i/>
        </w:rPr>
        <w:t xml:space="preserve">Comcast Cable </w:t>
      </w:r>
      <w:r w:rsidR="00C76525" w:rsidRPr="002D5A42">
        <w:rPr>
          <w:i/>
        </w:rPr>
        <w:t>Commc’n</w:t>
      </w:r>
      <w:r w:rsidR="00C76525">
        <w:rPr>
          <w:i/>
        </w:rPr>
        <w:t xml:space="preserve">s, </w:t>
      </w:r>
      <w:r w:rsidR="00C76525" w:rsidRPr="003A6C67">
        <w:rPr>
          <w:i/>
        </w:rPr>
        <w:t>LLC</w:t>
      </w:r>
      <w:r w:rsidR="00C76525" w:rsidRPr="00EC70BD">
        <w:t xml:space="preserve">, </w:t>
      </w:r>
      <w:r w:rsidR="00C76525">
        <w:t xml:space="preserve">Memorandum Opinion and Order, DA 07-160, 22 FCC Rcd 694, 699, </w:t>
      </w:r>
      <w:r w:rsidR="002742B9">
        <w:t>¶</w:t>
      </w:r>
      <w:r w:rsidR="00C76525" w:rsidRPr="00EC70BD">
        <w:t xml:space="preserve"> 12 (</w:t>
      </w:r>
      <w:r w:rsidR="00C76525">
        <w:t xml:space="preserve">MB </w:t>
      </w:r>
      <w:r w:rsidR="00C76525" w:rsidRPr="00EC70BD">
        <w:t>2007)</w:t>
      </w:r>
      <w:r w:rsidR="00C76525">
        <w:t>.</w:t>
      </w:r>
    </w:p>
  </w:footnote>
  <w:footnote w:id="21">
    <w:p w:rsidR="00896412" w:rsidRDefault="00896412" w:rsidP="00CD5F05">
      <w:pPr>
        <w:pStyle w:val="FootnoteText"/>
        <w:jc w:val="left"/>
      </w:pPr>
      <w:r>
        <w:rPr>
          <w:rStyle w:val="FootnoteReference"/>
        </w:rPr>
        <w:footnoteRef/>
      </w:r>
      <w:r>
        <w:t xml:space="preserve"> Opposition at </w:t>
      </w:r>
      <w:r w:rsidR="005D0E9A">
        <w:t>7</w:t>
      </w:r>
      <w:r w:rsidR="002742B9">
        <w:t>-8.</w:t>
      </w:r>
    </w:p>
  </w:footnote>
  <w:footnote w:id="22">
    <w:p w:rsidR="008F4E96" w:rsidRDefault="008F4E96" w:rsidP="00CD5F05">
      <w:pPr>
        <w:pStyle w:val="FootnoteText"/>
        <w:jc w:val="left"/>
      </w:pPr>
      <w:r>
        <w:rPr>
          <w:rStyle w:val="FootnoteReference"/>
        </w:rPr>
        <w:footnoteRef/>
      </w:r>
      <w:r>
        <w:t xml:space="preserve"> Reply at 7.</w:t>
      </w:r>
    </w:p>
  </w:footnote>
  <w:footnote w:id="23">
    <w:p w:rsidR="00C23122" w:rsidRDefault="00C23122" w:rsidP="00C76525">
      <w:pPr>
        <w:pStyle w:val="FootnoteText"/>
        <w:jc w:val="left"/>
      </w:pPr>
      <w:r>
        <w:rPr>
          <w:rStyle w:val="FootnoteReference"/>
        </w:rPr>
        <w:footnoteRef/>
      </w:r>
      <w:r>
        <w:t xml:space="preserve"> Opposition at 9-1</w:t>
      </w:r>
      <w:r w:rsidR="002742B9">
        <w:t>2</w:t>
      </w:r>
      <w:r>
        <w:t>.</w:t>
      </w:r>
    </w:p>
  </w:footnote>
  <w:footnote w:id="24">
    <w:p w:rsidR="00F90BE8" w:rsidRDefault="00595360">
      <w:pPr>
        <w:pStyle w:val="FootnoteText"/>
        <w:jc w:val="left"/>
      </w:pPr>
      <w:r>
        <w:rPr>
          <w:rStyle w:val="FootnoteReference"/>
        </w:rPr>
        <w:footnoteRef/>
      </w:r>
      <w:r>
        <w:t xml:space="preserve"> 47 C.F.R. §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F20" w:rsidRDefault="00FB4F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BE8" w:rsidRDefault="00595360">
    <w:pPr>
      <w:pStyle w:val="Header"/>
      <w:tabs>
        <w:tab w:val="clear" w:pos="4320"/>
        <w:tab w:val="clear" w:pos="8640"/>
        <w:tab w:val="center" w:pos="4680"/>
        <w:tab w:val="right" w:pos="9360"/>
      </w:tabs>
      <w:rPr>
        <w:b/>
      </w:rPr>
    </w:pPr>
    <w:r>
      <w:rPr>
        <w:b/>
      </w:rPr>
      <w:tab/>
      <w:t>Federal Communications Commission</w:t>
    </w:r>
    <w:r>
      <w:rPr>
        <w:b/>
      </w:rPr>
      <w:tab/>
      <w:t>DA 16-</w:t>
    </w:r>
    <w:r w:rsidR="00842B63">
      <w:rPr>
        <w:b/>
      </w:rPr>
      <w:t>170</w:t>
    </w:r>
    <w:r>
      <w:rPr>
        <w:b/>
      </w:rPr>
      <w:t xml:space="preserve"> </w:t>
    </w:r>
  </w:p>
  <w:p w:rsidR="00F90BE8" w:rsidRDefault="005F21A2">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8827024" wp14:editId="0F14CC74">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E40836"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F90BE8" w:rsidRDefault="00F90B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D79" w:rsidRDefault="004E5D79" w:rsidP="004E5D79">
    <w:pPr>
      <w:pStyle w:val="Header"/>
      <w:tabs>
        <w:tab w:val="clear" w:pos="4320"/>
        <w:tab w:val="clear" w:pos="8640"/>
        <w:tab w:val="center" w:pos="4680"/>
        <w:tab w:val="right" w:pos="9360"/>
      </w:tabs>
      <w:rPr>
        <w:b/>
      </w:rPr>
    </w:pPr>
    <w:r>
      <w:rPr>
        <w:b/>
      </w:rPr>
      <w:tab/>
      <w:t>Federal Communications Commission</w:t>
    </w:r>
    <w:r>
      <w:rPr>
        <w:b/>
      </w:rPr>
      <w:tab/>
      <w:t>DA 16-</w:t>
    </w:r>
    <w:r w:rsidR="00842B63">
      <w:rPr>
        <w:b/>
      </w:rPr>
      <w:t>170</w:t>
    </w:r>
    <w:r>
      <w:rPr>
        <w:b/>
      </w:rPr>
      <w:t xml:space="preserve"> </w:t>
    </w:r>
  </w:p>
  <w:p w:rsidR="00F90BE8" w:rsidRPr="004E5D79" w:rsidRDefault="004E5D79" w:rsidP="004E5D79">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14:anchorId="7ECE60EA" wp14:editId="4E68EBD1">
              <wp:simplePos x="0" y="0"/>
              <wp:positionH relativeFrom="column">
                <wp:posOffset>0</wp:posOffset>
              </wp:positionH>
              <wp:positionV relativeFrom="paragraph">
                <wp:posOffset>22225</wp:posOffset>
              </wp:positionV>
              <wp:extent cx="59436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4A0E31"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Ti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AWtpOI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A52053E0"/>
    <w:lvl w:ilvl="0">
      <w:start w:val="1"/>
      <w:numFmt w:val="decimal"/>
      <w:pStyle w:val="BodyText"/>
      <w:lvlText w:val="%1."/>
      <w:lvlJc w:val="left"/>
      <w:pPr>
        <w:tabs>
          <w:tab w:val="num" w:pos="1080"/>
        </w:tabs>
        <w:ind w:left="0" w:firstLine="720"/>
      </w:pPr>
      <w:rPr>
        <w:b w:val="0"/>
        <w:i w:val="0"/>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20886EB0"/>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4"/>
  </w:num>
  <w:num w:numId="4">
    <w:abstractNumId w:val="16"/>
  </w:num>
  <w:num w:numId="5">
    <w:abstractNumId w:val="5"/>
  </w:num>
  <w:num w:numId="6">
    <w:abstractNumId w:val="19"/>
  </w:num>
  <w:num w:numId="7">
    <w:abstractNumId w:val="13"/>
  </w:num>
  <w:num w:numId="8">
    <w:abstractNumId w:val="6"/>
  </w:num>
  <w:num w:numId="9">
    <w:abstractNumId w:val="18"/>
  </w:num>
  <w:num w:numId="10">
    <w:abstractNumId w:val="11"/>
  </w:num>
  <w:num w:numId="11">
    <w:abstractNumId w:val="10"/>
  </w:num>
  <w:num w:numId="12">
    <w:abstractNumId w:val="7"/>
  </w:num>
  <w:num w:numId="13">
    <w:abstractNumId w:val="12"/>
  </w:num>
  <w:num w:numId="14">
    <w:abstractNumId w:val="17"/>
  </w:num>
  <w:num w:numId="15">
    <w:abstractNumId w:val="2"/>
  </w:num>
  <w:num w:numId="16">
    <w:abstractNumId w:val="3"/>
  </w:num>
  <w:num w:numId="17">
    <w:abstractNumId w:val="8"/>
  </w:num>
  <w:num w:numId="18">
    <w:abstractNumId w:val="1"/>
  </w:num>
  <w:num w:numId="19">
    <w:abstractNumId w:val="9"/>
  </w:num>
  <w:num w:numId="20">
    <w:abstractNumId w:val="14"/>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A2"/>
    <w:rsid w:val="00045FA1"/>
    <w:rsid w:val="0008265B"/>
    <w:rsid w:val="00086194"/>
    <w:rsid w:val="000B778F"/>
    <w:rsid w:val="001234AE"/>
    <w:rsid w:val="00132845"/>
    <w:rsid w:val="001516BD"/>
    <w:rsid w:val="0022494C"/>
    <w:rsid w:val="0023015A"/>
    <w:rsid w:val="002742B9"/>
    <w:rsid w:val="003617DB"/>
    <w:rsid w:val="00366F2A"/>
    <w:rsid w:val="003804AB"/>
    <w:rsid w:val="00381BAC"/>
    <w:rsid w:val="003B4B7C"/>
    <w:rsid w:val="003E0BC9"/>
    <w:rsid w:val="00411E0E"/>
    <w:rsid w:val="004B0A08"/>
    <w:rsid w:val="004E5D79"/>
    <w:rsid w:val="00517198"/>
    <w:rsid w:val="0055798C"/>
    <w:rsid w:val="00595360"/>
    <w:rsid w:val="005A21E9"/>
    <w:rsid w:val="005C7894"/>
    <w:rsid w:val="005D0E9A"/>
    <w:rsid w:val="005E37A0"/>
    <w:rsid w:val="005F21A2"/>
    <w:rsid w:val="00622D95"/>
    <w:rsid w:val="00721073"/>
    <w:rsid w:val="0074586F"/>
    <w:rsid w:val="00770E57"/>
    <w:rsid w:val="00842B63"/>
    <w:rsid w:val="00896412"/>
    <w:rsid w:val="008D6406"/>
    <w:rsid w:val="008F4E96"/>
    <w:rsid w:val="009036E7"/>
    <w:rsid w:val="0093371F"/>
    <w:rsid w:val="0097374E"/>
    <w:rsid w:val="00992D6C"/>
    <w:rsid w:val="00995350"/>
    <w:rsid w:val="009A4880"/>
    <w:rsid w:val="009E7269"/>
    <w:rsid w:val="00A61F9A"/>
    <w:rsid w:val="00AA45A1"/>
    <w:rsid w:val="00AA661E"/>
    <w:rsid w:val="00AD59F4"/>
    <w:rsid w:val="00AF1CED"/>
    <w:rsid w:val="00BB6627"/>
    <w:rsid w:val="00BD6242"/>
    <w:rsid w:val="00BE0BB4"/>
    <w:rsid w:val="00C021C8"/>
    <w:rsid w:val="00C23122"/>
    <w:rsid w:val="00C76525"/>
    <w:rsid w:val="00C7655A"/>
    <w:rsid w:val="00CD5F05"/>
    <w:rsid w:val="00DA27A5"/>
    <w:rsid w:val="00E10E64"/>
    <w:rsid w:val="00E71566"/>
    <w:rsid w:val="00F90BE8"/>
    <w:rsid w:val="00FB4F20"/>
    <w:rsid w:val="00FD5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EndnoteText">
    <w:name w:val="endnote text"/>
    <w:basedOn w:val="Normal"/>
    <w:semiHidden/>
    <w:pPr>
      <w:widowControl w:val="0"/>
      <w:spacing w:after="120"/>
      <w:jc w:val="both"/>
    </w:pPr>
    <w:rPr>
      <w:snapToGrid w:val="0"/>
      <w:kern w:val="28"/>
    </w:rPr>
  </w:style>
  <w:style w:type="paragraph" w:customStyle="1" w:styleId="DocText">
    <w:name w:val="DocText"/>
    <w:autoRedefine/>
    <w:pPr>
      <w:tabs>
        <w:tab w:val="left" w:pos="1440"/>
      </w:tabs>
      <w:ind w:left="360"/>
      <w:jc w:val="both"/>
    </w:pPr>
    <w:rPr>
      <w:spacing w:val="-2"/>
      <w:sz w:val="24"/>
    </w:rPr>
  </w:style>
  <w:style w:type="paragraph" w:styleId="BodyText">
    <w:name w:val="Body Text"/>
    <w:basedOn w:val="Normal"/>
    <w:pPr>
      <w:widowControl w:val="0"/>
      <w:numPr>
        <w:numId w:val="22"/>
      </w:numPr>
      <w:tabs>
        <w:tab w:val="clear" w:pos="1080"/>
        <w:tab w:val="center" w:pos="4680"/>
      </w:tabs>
      <w:suppressAutoHyphens/>
      <w:ind w:firstLine="0"/>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italics1">
    <w:name w:val="italics1"/>
    <w:rPr>
      <w:i/>
      <w:iCs/>
    </w:rPr>
  </w:style>
  <w:style w:type="paragraph" w:styleId="Revision">
    <w:name w:val="Revision"/>
    <w:hidden/>
    <w:uiPriority w:val="99"/>
    <w:semiHidden/>
    <w:rPr>
      <w:sz w:val="22"/>
    </w:rPr>
  </w:style>
  <w:style w:type="character" w:customStyle="1" w:styleId="FootnoteTextChar">
    <w:name w:val="Footnote Text Char"/>
    <w:basedOn w:val="DefaultParagraphFont"/>
    <w:link w:val="FootnoteText"/>
    <w:semiHidden/>
    <w:rsid w:val="00E71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EndnoteText">
    <w:name w:val="endnote text"/>
    <w:basedOn w:val="Normal"/>
    <w:semiHidden/>
    <w:pPr>
      <w:widowControl w:val="0"/>
      <w:spacing w:after="120"/>
      <w:jc w:val="both"/>
    </w:pPr>
    <w:rPr>
      <w:snapToGrid w:val="0"/>
      <w:kern w:val="28"/>
    </w:rPr>
  </w:style>
  <w:style w:type="paragraph" w:customStyle="1" w:styleId="DocText">
    <w:name w:val="DocText"/>
    <w:autoRedefine/>
    <w:pPr>
      <w:tabs>
        <w:tab w:val="left" w:pos="1440"/>
      </w:tabs>
      <w:ind w:left="360"/>
      <w:jc w:val="both"/>
    </w:pPr>
    <w:rPr>
      <w:spacing w:val="-2"/>
      <w:sz w:val="24"/>
    </w:rPr>
  </w:style>
  <w:style w:type="paragraph" w:styleId="BodyText">
    <w:name w:val="Body Text"/>
    <w:basedOn w:val="Normal"/>
    <w:pPr>
      <w:widowControl w:val="0"/>
      <w:numPr>
        <w:numId w:val="22"/>
      </w:numPr>
      <w:tabs>
        <w:tab w:val="clear" w:pos="1080"/>
        <w:tab w:val="center" w:pos="4680"/>
      </w:tabs>
      <w:suppressAutoHyphens/>
      <w:ind w:firstLine="0"/>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italics1">
    <w:name w:val="italics1"/>
    <w:rPr>
      <w:i/>
      <w:iCs/>
    </w:rPr>
  </w:style>
  <w:style w:type="paragraph" w:styleId="Revision">
    <w:name w:val="Revision"/>
    <w:hidden/>
    <w:uiPriority w:val="99"/>
    <w:semiHidden/>
    <w:rPr>
      <w:sz w:val="22"/>
    </w:rPr>
  </w:style>
  <w:style w:type="character" w:customStyle="1" w:styleId="FootnoteTextChar">
    <w:name w:val="Footnote Text Char"/>
    <w:basedOn w:val="DefaultParagraphFont"/>
    <w:link w:val="FootnoteText"/>
    <w:semiHidden/>
    <w:rsid w:val="00E71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6</Pages>
  <Words>1311</Words>
  <Characters>7292</Characters>
  <Application>Microsoft Office Word</Application>
  <DocSecurity>0</DocSecurity>
  <Lines>182</Lines>
  <Paragraphs>87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8516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2016-02-18T17:47:00Z</cp:lastPrinted>
  <dcterms:created xsi:type="dcterms:W3CDTF">2016-02-18T18:18:00Z</dcterms:created>
  <dcterms:modified xsi:type="dcterms:W3CDTF">2016-02-18T18:18:00Z</dcterms:modified>
  <cp:category> </cp:category>
  <cp:contentStatus> </cp:contentStatus>
</cp:coreProperties>
</file>