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8686" w14:textId="77777777" w:rsidR="000E0C4E" w:rsidRPr="00FF3D17" w:rsidRDefault="000E0C4E" w:rsidP="00D66BD5">
      <w:pPr>
        <w:jc w:val="center"/>
        <w:rPr>
          <w:b/>
          <w:szCs w:val="22"/>
        </w:rPr>
      </w:pPr>
      <w:bookmarkStart w:id="0" w:name="_GoBack"/>
      <w:bookmarkEnd w:id="0"/>
      <w:r w:rsidRPr="00FF3D17">
        <w:rPr>
          <w:b/>
          <w:szCs w:val="22"/>
        </w:rPr>
        <w:t>Before the</w:t>
      </w:r>
    </w:p>
    <w:p w14:paraId="35A59673" w14:textId="77777777" w:rsidR="000E0C4E" w:rsidRPr="00FF3D17" w:rsidRDefault="000E0C4E" w:rsidP="00D66BD5">
      <w:pPr>
        <w:jc w:val="center"/>
        <w:rPr>
          <w:b/>
          <w:szCs w:val="22"/>
        </w:rPr>
      </w:pPr>
      <w:r w:rsidRPr="00FF3D17">
        <w:rPr>
          <w:b/>
          <w:szCs w:val="22"/>
        </w:rPr>
        <w:t>Federal Communications Commission</w:t>
      </w:r>
    </w:p>
    <w:p w14:paraId="2C899677" w14:textId="77777777" w:rsidR="000E0C4E" w:rsidRPr="00FF3D17" w:rsidRDefault="000E0C4E" w:rsidP="00D66BD5">
      <w:pPr>
        <w:jc w:val="center"/>
        <w:rPr>
          <w:b/>
          <w:szCs w:val="22"/>
        </w:rPr>
      </w:pPr>
      <w:r w:rsidRPr="00FF3D17">
        <w:rPr>
          <w:b/>
          <w:szCs w:val="22"/>
        </w:rPr>
        <w:t>Washington, D.C. 20554</w:t>
      </w:r>
    </w:p>
    <w:p w14:paraId="772AD1C5" w14:textId="77777777" w:rsidR="000E0C4E" w:rsidRPr="00FF3D17" w:rsidRDefault="000E0C4E" w:rsidP="002F054B">
      <w:pPr>
        <w:rPr>
          <w:szCs w:val="22"/>
        </w:rPr>
      </w:pPr>
    </w:p>
    <w:tbl>
      <w:tblPr>
        <w:tblW w:w="9611" w:type="dxa"/>
        <w:tblLayout w:type="fixed"/>
        <w:tblLook w:val="0000" w:firstRow="0" w:lastRow="0" w:firstColumn="0" w:lastColumn="0" w:noHBand="0" w:noVBand="0"/>
      </w:tblPr>
      <w:tblGrid>
        <w:gridCol w:w="4680"/>
        <w:gridCol w:w="717"/>
        <w:gridCol w:w="4214"/>
      </w:tblGrid>
      <w:tr w:rsidR="000E0C4E" w:rsidRPr="00FF3D17" w14:paraId="601082A6" w14:textId="77777777" w:rsidTr="003E662F">
        <w:trPr>
          <w:trHeight w:val="1395"/>
        </w:trPr>
        <w:tc>
          <w:tcPr>
            <w:tcW w:w="4680" w:type="dxa"/>
          </w:tcPr>
          <w:p w14:paraId="40BE7564" w14:textId="12B127CB" w:rsidR="000E0C4E" w:rsidRPr="00FF3D17" w:rsidRDefault="000E0C4E" w:rsidP="002F054B">
            <w:pPr>
              <w:ind w:right="-18"/>
              <w:rPr>
                <w:szCs w:val="22"/>
              </w:rPr>
            </w:pPr>
            <w:r w:rsidRPr="00FF3D17">
              <w:rPr>
                <w:szCs w:val="22"/>
              </w:rPr>
              <w:t xml:space="preserve">In the </w:t>
            </w:r>
            <w:r w:rsidR="00017621">
              <w:rPr>
                <w:szCs w:val="22"/>
              </w:rPr>
              <w:t>M</w:t>
            </w:r>
            <w:r w:rsidRPr="00FF3D17">
              <w:rPr>
                <w:szCs w:val="22"/>
              </w:rPr>
              <w:t>atter of</w:t>
            </w:r>
          </w:p>
          <w:p w14:paraId="65AA5CDC" w14:textId="77777777" w:rsidR="000E0C4E" w:rsidRPr="00FF3D17" w:rsidRDefault="000E0C4E" w:rsidP="002F054B">
            <w:pPr>
              <w:ind w:right="-18"/>
              <w:rPr>
                <w:szCs w:val="22"/>
              </w:rPr>
            </w:pPr>
          </w:p>
          <w:p w14:paraId="53B95477" w14:textId="77777777" w:rsidR="000E0C4E" w:rsidRPr="00FF3D17" w:rsidRDefault="000E0C4E" w:rsidP="002F054B">
            <w:pPr>
              <w:ind w:right="-18"/>
              <w:rPr>
                <w:szCs w:val="22"/>
              </w:rPr>
            </w:pPr>
            <w:r w:rsidRPr="00FF3D17">
              <w:rPr>
                <w:szCs w:val="22"/>
              </w:rPr>
              <w:t>Petition for Protection from Anticompetitive Behavior and Stop Settlement Payment Order on the U.S.-Pakistan Route</w:t>
            </w:r>
          </w:p>
        </w:tc>
        <w:tc>
          <w:tcPr>
            <w:tcW w:w="717" w:type="dxa"/>
          </w:tcPr>
          <w:p w14:paraId="07EA2C54" w14:textId="77777777" w:rsidR="000E0C4E" w:rsidRPr="00FF3D17" w:rsidRDefault="000E0C4E" w:rsidP="002F054B">
            <w:pPr>
              <w:rPr>
                <w:b/>
                <w:szCs w:val="22"/>
              </w:rPr>
            </w:pPr>
            <w:r w:rsidRPr="00FF3D17">
              <w:rPr>
                <w:b/>
                <w:szCs w:val="22"/>
              </w:rPr>
              <w:t>)</w:t>
            </w:r>
          </w:p>
          <w:p w14:paraId="3DB356DA" w14:textId="77777777" w:rsidR="000E0C4E" w:rsidRPr="00FF3D17" w:rsidRDefault="000E0C4E" w:rsidP="002F054B">
            <w:pPr>
              <w:rPr>
                <w:b/>
                <w:szCs w:val="22"/>
              </w:rPr>
            </w:pPr>
            <w:r w:rsidRPr="00FF3D17">
              <w:rPr>
                <w:b/>
                <w:szCs w:val="22"/>
              </w:rPr>
              <w:t>)</w:t>
            </w:r>
          </w:p>
          <w:p w14:paraId="2417B5D9" w14:textId="77777777" w:rsidR="000E0C4E" w:rsidRPr="00FF3D17" w:rsidRDefault="000E0C4E" w:rsidP="002F054B">
            <w:pPr>
              <w:rPr>
                <w:b/>
                <w:szCs w:val="22"/>
              </w:rPr>
            </w:pPr>
            <w:r w:rsidRPr="00FF3D17">
              <w:rPr>
                <w:b/>
                <w:szCs w:val="22"/>
              </w:rPr>
              <w:t>)</w:t>
            </w:r>
          </w:p>
          <w:p w14:paraId="3CA818B4" w14:textId="77777777" w:rsidR="000E0C4E" w:rsidRPr="00FF3D17" w:rsidRDefault="000E0C4E" w:rsidP="002F054B">
            <w:pPr>
              <w:rPr>
                <w:b/>
                <w:szCs w:val="22"/>
              </w:rPr>
            </w:pPr>
            <w:r w:rsidRPr="00FF3D17">
              <w:rPr>
                <w:b/>
                <w:szCs w:val="22"/>
              </w:rPr>
              <w:t>)</w:t>
            </w:r>
          </w:p>
          <w:p w14:paraId="17C88730" w14:textId="77777777" w:rsidR="000E0C4E" w:rsidRPr="00FF3D17" w:rsidRDefault="000E0C4E" w:rsidP="002F054B">
            <w:pPr>
              <w:rPr>
                <w:b/>
                <w:szCs w:val="22"/>
              </w:rPr>
            </w:pPr>
            <w:r w:rsidRPr="00FF3D17">
              <w:rPr>
                <w:b/>
                <w:szCs w:val="22"/>
              </w:rPr>
              <w:t>)</w:t>
            </w:r>
          </w:p>
          <w:p w14:paraId="02F6EF18" w14:textId="77777777" w:rsidR="000E0C4E" w:rsidRPr="00FF3D17" w:rsidRDefault="000E0C4E" w:rsidP="002F054B">
            <w:pPr>
              <w:rPr>
                <w:b/>
                <w:szCs w:val="22"/>
              </w:rPr>
            </w:pPr>
          </w:p>
        </w:tc>
        <w:tc>
          <w:tcPr>
            <w:tcW w:w="4214" w:type="dxa"/>
          </w:tcPr>
          <w:p w14:paraId="563F171A" w14:textId="77777777" w:rsidR="000E0C4E" w:rsidRPr="00FF3D17" w:rsidRDefault="000E0C4E" w:rsidP="002F054B">
            <w:pPr>
              <w:rPr>
                <w:szCs w:val="22"/>
              </w:rPr>
            </w:pPr>
          </w:p>
          <w:p w14:paraId="4D6620CE" w14:textId="77777777" w:rsidR="000E0C4E" w:rsidRPr="00FF3D17" w:rsidRDefault="000E0C4E" w:rsidP="002F054B">
            <w:pPr>
              <w:rPr>
                <w:szCs w:val="22"/>
              </w:rPr>
            </w:pPr>
          </w:p>
          <w:p w14:paraId="62055FF1" w14:textId="77777777" w:rsidR="00F80343" w:rsidRPr="00F80343" w:rsidRDefault="00F80343" w:rsidP="00F80343">
            <w:pPr>
              <w:rPr>
                <w:szCs w:val="22"/>
              </w:rPr>
            </w:pPr>
            <w:r w:rsidRPr="00F80343">
              <w:rPr>
                <w:szCs w:val="22"/>
              </w:rPr>
              <w:t>IB Docket No. 12-324</w:t>
            </w:r>
          </w:p>
          <w:p w14:paraId="033E89FB" w14:textId="77777777" w:rsidR="000E0C4E" w:rsidRPr="00FF3D17" w:rsidRDefault="000E0C4E" w:rsidP="002F054B">
            <w:pPr>
              <w:rPr>
                <w:szCs w:val="22"/>
              </w:rPr>
            </w:pPr>
          </w:p>
          <w:p w14:paraId="1140051A" w14:textId="77777777" w:rsidR="000E0C4E" w:rsidRPr="00FF3D17" w:rsidRDefault="000E0C4E" w:rsidP="008863FF">
            <w:pPr>
              <w:rPr>
                <w:szCs w:val="22"/>
              </w:rPr>
            </w:pPr>
          </w:p>
        </w:tc>
      </w:tr>
    </w:tbl>
    <w:p w14:paraId="2E35EB63" w14:textId="77777777" w:rsidR="000E0C4E" w:rsidRPr="00FF3D17" w:rsidRDefault="003346A5" w:rsidP="0084697C">
      <w:pPr>
        <w:spacing w:before="120"/>
        <w:jc w:val="center"/>
        <w:rPr>
          <w:b/>
          <w:szCs w:val="22"/>
        </w:rPr>
      </w:pPr>
      <w:r>
        <w:rPr>
          <w:b/>
          <w:spacing w:val="-2"/>
          <w:szCs w:val="22"/>
        </w:rPr>
        <w:t xml:space="preserve">SECOND </w:t>
      </w:r>
      <w:r w:rsidR="000E0C4E" w:rsidRPr="00FF3D17">
        <w:rPr>
          <w:b/>
          <w:spacing w:val="-2"/>
          <w:szCs w:val="22"/>
        </w:rPr>
        <w:t>MEMORANDUM OPINION AND ORDER</w:t>
      </w:r>
    </w:p>
    <w:p w14:paraId="65940CB4" w14:textId="77777777" w:rsidR="000E0C4E" w:rsidRPr="00FF3D17" w:rsidRDefault="000E0C4E" w:rsidP="002F054B">
      <w:pPr>
        <w:rPr>
          <w:szCs w:val="22"/>
        </w:rPr>
      </w:pPr>
    </w:p>
    <w:p w14:paraId="7BB84A20" w14:textId="215EA238" w:rsidR="000E0C4E" w:rsidRPr="00FF3D17" w:rsidRDefault="00EE55C2" w:rsidP="002F054B">
      <w:pPr>
        <w:rPr>
          <w:b/>
          <w:szCs w:val="22"/>
        </w:rPr>
      </w:pPr>
      <w:r>
        <w:rPr>
          <w:b/>
          <w:szCs w:val="22"/>
        </w:rPr>
        <w:t xml:space="preserve">Adopted:  February </w:t>
      </w:r>
      <w:r w:rsidR="00C13CED">
        <w:rPr>
          <w:b/>
          <w:szCs w:val="22"/>
        </w:rPr>
        <w:t>18</w:t>
      </w:r>
      <w:r>
        <w:rPr>
          <w:b/>
          <w:szCs w:val="22"/>
        </w:rPr>
        <w:t>, 2016</w:t>
      </w:r>
      <w:r w:rsidR="0066384C">
        <w:rPr>
          <w:b/>
          <w:szCs w:val="22"/>
        </w:rPr>
        <w:tab/>
      </w:r>
      <w:r w:rsidR="0066384C">
        <w:rPr>
          <w:b/>
          <w:szCs w:val="22"/>
        </w:rPr>
        <w:tab/>
      </w:r>
      <w:r w:rsidR="0066384C">
        <w:rPr>
          <w:b/>
          <w:szCs w:val="22"/>
        </w:rPr>
        <w:tab/>
      </w:r>
      <w:r>
        <w:rPr>
          <w:b/>
          <w:szCs w:val="22"/>
        </w:rPr>
        <w:tab/>
      </w:r>
      <w:r>
        <w:rPr>
          <w:b/>
          <w:szCs w:val="22"/>
        </w:rPr>
        <w:tab/>
      </w:r>
      <w:r>
        <w:rPr>
          <w:b/>
          <w:szCs w:val="22"/>
        </w:rPr>
        <w:tab/>
        <w:t xml:space="preserve">Released:  February </w:t>
      </w:r>
      <w:r w:rsidR="00C13CED">
        <w:rPr>
          <w:b/>
          <w:szCs w:val="22"/>
        </w:rPr>
        <w:t>18</w:t>
      </w:r>
      <w:r>
        <w:rPr>
          <w:b/>
          <w:szCs w:val="22"/>
        </w:rPr>
        <w:t>, 2016</w:t>
      </w:r>
    </w:p>
    <w:p w14:paraId="7D13B005" w14:textId="77777777" w:rsidR="000E0C4E" w:rsidRPr="00FF3D17" w:rsidRDefault="000E0C4E" w:rsidP="002F054B">
      <w:pPr>
        <w:tabs>
          <w:tab w:val="left" w:pos="5760"/>
        </w:tabs>
        <w:rPr>
          <w:szCs w:val="22"/>
        </w:rPr>
      </w:pPr>
    </w:p>
    <w:p w14:paraId="7754986A" w14:textId="77777777" w:rsidR="000E0C4E" w:rsidRPr="00FF3D17" w:rsidRDefault="000E0C4E" w:rsidP="002F054B">
      <w:pPr>
        <w:tabs>
          <w:tab w:val="left" w:pos="5760"/>
        </w:tabs>
        <w:rPr>
          <w:szCs w:val="22"/>
        </w:rPr>
      </w:pPr>
      <w:r w:rsidRPr="00FF3D17">
        <w:rPr>
          <w:szCs w:val="22"/>
        </w:rPr>
        <w:t>By the</w:t>
      </w:r>
      <w:r w:rsidRPr="00FF3D17">
        <w:rPr>
          <w:spacing w:val="-2"/>
          <w:szCs w:val="22"/>
        </w:rPr>
        <w:t xml:space="preserve"> </w:t>
      </w:r>
      <w:r>
        <w:rPr>
          <w:szCs w:val="22"/>
        </w:rPr>
        <w:t>Chief, International Bureau</w:t>
      </w:r>
      <w:r w:rsidRPr="00FF3D17">
        <w:rPr>
          <w:spacing w:val="-2"/>
          <w:szCs w:val="22"/>
        </w:rPr>
        <w:t>:</w:t>
      </w:r>
    </w:p>
    <w:p w14:paraId="495D2651" w14:textId="77777777" w:rsidR="000E0C4E" w:rsidRPr="00E932CF" w:rsidRDefault="000E0C4E" w:rsidP="00E932CF">
      <w:pPr>
        <w:rPr>
          <w:sz w:val="24"/>
        </w:rPr>
      </w:pPr>
    </w:p>
    <w:p w14:paraId="1593C3B3" w14:textId="77777777" w:rsidR="000E0C4E" w:rsidRPr="00705EFC" w:rsidRDefault="000E0C4E" w:rsidP="00131FCD">
      <w:pPr>
        <w:pStyle w:val="Heading1"/>
        <w:rPr>
          <w:szCs w:val="22"/>
        </w:rPr>
      </w:pPr>
      <w:r w:rsidRPr="00705EFC">
        <w:rPr>
          <w:szCs w:val="22"/>
        </w:rPr>
        <w:t>INTRODUCTION</w:t>
      </w:r>
    </w:p>
    <w:p w14:paraId="60C76E6F" w14:textId="51B249CC" w:rsidR="0025742F" w:rsidRDefault="00722BCC" w:rsidP="00552DBE">
      <w:pPr>
        <w:pStyle w:val="ParaNum"/>
      </w:pPr>
      <w:r>
        <w:t>In</w:t>
      </w:r>
      <w:r w:rsidRPr="0084697C">
        <w:t xml:space="preserve"> </w:t>
      </w:r>
      <w:r w:rsidR="000E0C4E" w:rsidRPr="00AF1ABD">
        <w:t>this</w:t>
      </w:r>
      <w:r w:rsidR="000E0C4E" w:rsidRPr="0084697C">
        <w:t xml:space="preserve"> </w:t>
      </w:r>
      <w:r w:rsidR="003E0732">
        <w:t xml:space="preserve">Second </w:t>
      </w:r>
      <w:r w:rsidR="000E0C4E">
        <w:t>Memorandum Opinion and O</w:t>
      </w:r>
      <w:r w:rsidR="000E0C4E" w:rsidRPr="0084697C">
        <w:t>rder, we</w:t>
      </w:r>
      <w:r w:rsidR="00A332A2">
        <w:t xml:space="preserve"> find that</w:t>
      </w:r>
      <w:r w:rsidR="000472B4">
        <w:t xml:space="preserve"> competitive conditions on the U.S.-Pakistan route have improved</w:t>
      </w:r>
      <w:r w:rsidR="00515430">
        <w:t xml:space="preserve"> sufficiently</w:t>
      </w:r>
      <w:r w:rsidR="000472B4">
        <w:t xml:space="preserve"> </w:t>
      </w:r>
      <w:r w:rsidR="00515430">
        <w:t xml:space="preserve">enough </w:t>
      </w:r>
      <w:r w:rsidR="000472B4">
        <w:t>since</w:t>
      </w:r>
      <w:r w:rsidR="008B2E44">
        <w:t xml:space="preserve"> release</w:t>
      </w:r>
      <w:r w:rsidR="000472B4">
        <w:t xml:space="preserve"> of the </w:t>
      </w:r>
      <w:r w:rsidR="000472B4" w:rsidRPr="00E932CF">
        <w:rPr>
          <w:i/>
        </w:rPr>
        <w:t>2013 Pakistan Order</w:t>
      </w:r>
      <w:r w:rsidR="0004534B">
        <w:rPr>
          <w:i/>
        </w:rPr>
        <w:t xml:space="preserve"> </w:t>
      </w:r>
      <w:r w:rsidR="00515430">
        <w:t>t</w:t>
      </w:r>
      <w:r w:rsidR="002E7FA0">
        <w:t xml:space="preserve">o allow us to modify </w:t>
      </w:r>
      <w:r w:rsidR="00460DA4">
        <w:t xml:space="preserve">and remove </w:t>
      </w:r>
      <w:r w:rsidR="00515430">
        <w:t xml:space="preserve">certain requirements of that </w:t>
      </w:r>
      <w:r w:rsidR="000D6C60" w:rsidRPr="006073C4">
        <w:rPr>
          <w:i/>
        </w:rPr>
        <w:t>O</w:t>
      </w:r>
      <w:r w:rsidR="00515430" w:rsidRPr="006073C4">
        <w:rPr>
          <w:i/>
        </w:rPr>
        <w:t>rder</w:t>
      </w:r>
      <w:r w:rsidR="00515430">
        <w:t>.</w:t>
      </w:r>
      <w:r w:rsidR="000472B4">
        <w:rPr>
          <w:rStyle w:val="FootnoteReference"/>
        </w:rPr>
        <w:footnoteReference w:id="2"/>
      </w:r>
      <w:r w:rsidR="008C327E">
        <w:t xml:space="preserve"> </w:t>
      </w:r>
      <w:r w:rsidR="00DD0103">
        <w:t xml:space="preserve"> </w:t>
      </w:r>
      <w:r w:rsidR="008C327E">
        <w:t xml:space="preserve">U.S. carriers </w:t>
      </w:r>
      <w:r w:rsidR="00515430">
        <w:t xml:space="preserve">are now able to </w:t>
      </w:r>
      <w:r w:rsidR="00B939D5">
        <w:t>exchange t</w:t>
      </w:r>
      <w:r w:rsidR="008C327E">
        <w:t>raffic on the U.S.-Pakistan route at</w:t>
      </w:r>
      <w:r w:rsidR="00B939D5">
        <w:t xml:space="preserve"> settlement </w:t>
      </w:r>
      <w:r w:rsidR="008C327E">
        <w:t xml:space="preserve">rates that are lower than the negotiated rates in </w:t>
      </w:r>
      <w:r w:rsidR="00B939D5">
        <w:t>effect</w:t>
      </w:r>
      <w:r w:rsidR="008C327E">
        <w:t xml:space="preserve"> prior to October 1, 2012.  </w:t>
      </w:r>
      <w:r w:rsidR="000472B4">
        <w:t>As discussed below</w:t>
      </w:r>
      <w:r w:rsidR="00A332A2">
        <w:t xml:space="preserve">, </w:t>
      </w:r>
      <w:r w:rsidR="002E7FA0">
        <w:t>t</w:t>
      </w:r>
      <w:r w:rsidR="008C327E">
        <w:t>o provide for an order</w:t>
      </w:r>
      <w:r w:rsidR="001E0B2C">
        <w:t>ly</w:t>
      </w:r>
      <w:r w:rsidR="008C327E">
        <w:t xml:space="preserve"> transition in the settlement of traffic balances</w:t>
      </w:r>
      <w:r w:rsidR="002E7FA0">
        <w:t xml:space="preserve">, </w:t>
      </w:r>
      <w:r w:rsidR="008C327E">
        <w:t>w</w:t>
      </w:r>
      <w:r w:rsidR="00AF4A5C">
        <w:t>e</w:t>
      </w:r>
      <w:r w:rsidR="008B2E44">
        <w:t xml:space="preserve"> </w:t>
      </w:r>
      <w:r w:rsidR="002E7FA0">
        <w:t xml:space="preserve">modify the </w:t>
      </w:r>
      <w:r w:rsidR="002E7FA0" w:rsidRPr="0090334F">
        <w:rPr>
          <w:i/>
        </w:rPr>
        <w:t xml:space="preserve">2013 </w:t>
      </w:r>
      <w:r w:rsidR="002E7FA0">
        <w:rPr>
          <w:i/>
        </w:rPr>
        <w:t xml:space="preserve">Pakistan Order </w:t>
      </w:r>
      <w:r w:rsidR="002E7FA0">
        <w:t xml:space="preserve">to </w:t>
      </w:r>
      <w:r w:rsidR="008B2E44" w:rsidRPr="00B939D5">
        <w:t>allow</w:t>
      </w:r>
      <w:r w:rsidR="008B2E44">
        <w:t xml:space="preserve"> U.S. carriers to </w:t>
      </w:r>
      <w:r w:rsidR="00246F5E">
        <w:t>settle traffic balances at</w:t>
      </w:r>
      <w:r w:rsidR="008B2E44">
        <w:t xml:space="preserve"> </w:t>
      </w:r>
      <w:r w:rsidR="001E025B">
        <w:t xml:space="preserve">the </w:t>
      </w:r>
      <w:r w:rsidR="00170C80">
        <w:t xml:space="preserve">higher </w:t>
      </w:r>
      <w:r w:rsidR="008B2E44">
        <w:t>termination rate</w:t>
      </w:r>
      <w:r w:rsidR="00185E05">
        <w:t xml:space="preserve"> </w:t>
      </w:r>
      <w:r w:rsidR="002A669C">
        <w:t xml:space="preserve">floor </w:t>
      </w:r>
      <w:r w:rsidR="00870414">
        <w:t xml:space="preserve">set </w:t>
      </w:r>
      <w:r w:rsidR="00185E05">
        <w:t>on or around October 1, 2012</w:t>
      </w:r>
      <w:r w:rsidR="008B2E44">
        <w:t xml:space="preserve"> for </w:t>
      </w:r>
      <w:r w:rsidR="00F82FB5">
        <w:t>the</w:t>
      </w:r>
      <w:r w:rsidR="00A10A34">
        <w:t xml:space="preserve"> </w:t>
      </w:r>
      <w:r w:rsidR="008B2E44">
        <w:t xml:space="preserve">one-week </w:t>
      </w:r>
      <w:r w:rsidR="00DD597D">
        <w:t>period following</w:t>
      </w:r>
      <w:r w:rsidR="008B2E44">
        <w:t xml:space="preserve"> the effective date of the </w:t>
      </w:r>
      <w:r w:rsidR="008B2E44" w:rsidRPr="00BB3688">
        <w:rPr>
          <w:i/>
        </w:rPr>
        <w:t>2013 Pakistan Order</w:t>
      </w:r>
      <w:r w:rsidR="00DD597D">
        <w:t xml:space="preserve">, </w:t>
      </w:r>
      <w:r w:rsidR="00F82FB5">
        <w:t>that is</w:t>
      </w:r>
      <w:r w:rsidR="00DD0103">
        <w:t>,</w:t>
      </w:r>
      <w:r w:rsidR="00F82FB5">
        <w:t xml:space="preserve"> </w:t>
      </w:r>
      <w:r w:rsidR="00DD597D">
        <w:t>from March 5, 2013 to March 12, 2013</w:t>
      </w:r>
      <w:r w:rsidR="008B2E44" w:rsidRPr="008863FF">
        <w:t>.</w:t>
      </w:r>
      <w:r w:rsidR="0025742F">
        <w:t xml:space="preserve">  </w:t>
      </w:r>
      <w:r w:rsidR="00DA3112">
        <w:t>Further, we remove</w:t>
      </w:r>
      <w:r w:rsidR="00DA3112" w:rsidRPr="00872DCB">
        <w:t xml:space="preserve"> </w:t>
      </w:r>
      <w:r w:rsidR="00DA3112">
        <w:t>on a going-forward basis the</w:t>
      </w:r>
      <w:r w:rsidR="00DA3112" w:rsidRPr="00872DCB">
        <w:t xml:space="preserve"> prohibition on U.S. facilities-based carriers paying </w:t>
      </w:r>
      <w:r w:rsidR="00DA3112">
        <w:t>a</w:t>
      </w:r>
      <w:r w:rsidR="00DA3112" w:rsidRPr="00872DCB">
        <w:t xml:space="preserve"> </w:t>
      </w:r>
      <w:r w:rsidR="00DA3112">
        <w:t xml:space="preserve">higher rate than the negotiated rates in effect prior to </w:t>
      </w:r>
      <w:r w:rsidR="00DA3112" w:rsidRPr="00872DCB">
        <w:t xml:space="preserve">October 1, 2012. </w:t>
      </w:r>
      <w:r w:rsidR="00DA3112">
        <w:t xml:space="preserve"> </w:t>
      </w:r>
      <w:r w:rsidR="00460DA4">
        <w:t>We also remove the no</w:t>
      </w:r>
      <w:r w:rsidR="000D6C60">
        <w:t xml:space="preserve">tification requirements of the </w:t>
      </w:r>
      <w:r w:rsidR="000D6C60" w:rsidRPr="000913B2">
        <w:rPr>
          <w:i/>
        </w:rPr>
        <w:t>O</w:t>
      </w:r>
      <w:r w:rsidR="00460DA4" w:rsidRPr="000913B2">
        <w:rPr>
          <w:i/>
        </w:rPr>
        <w:t>rder</w:t>
      </w:r>
      <w:r w:rsidR="00460DA4">
        <w:t xml:space="preserve"> that are no longer necessary. </w:t>
      </w:r>
      <w:r w:rsidR="009B5663" w:rsidRPr="009B5663">
        <w:t>We find that our actions will</w:t>
      </w:r>
      <w:r w:rsidR="0042095D">
        <w:t xml:space="preserve"> encourage direct service on the U.S.-Pakistan route </w:t>
      </w:r>
      <w:r w:rsidR="004F04EF">
        <w:t xml:space="preserve">at commercially negotiated rates </w:t>
      </w:r>
      <w:r w:rsidR="0042095D">
        <w:t xml:space="preserve">and </w:t>
      </w:r>
      <w:r w:rsidR="009B5663" w:rsidRPr="009B5663">
        <w:t xml:space="preserve">protect U.S. consumers by promoting lower, more </w:t>
      </w:r>
      <w:r w:rsidR="00185E05" w:rsidRPr="009B5663">
        <w:t>co</w:t>
      </w:r>
      <w:r w:rsidR="00185E05">
        <w:t>st-based</w:t>
      </w:r>
      <w:r w:rsidR="00185E05" w:rsidRPr="009B5663">
        <w:t xml:space="preserve"> </w:t>
      </w:r>
      <w:r w:rsidR="009B5663" w:rsidRPr="009B5663">
        <w:t>termination rates</w:t>
      </w:r>
      <w:r w:rsidR="0042095D">
        <w:t>.</w:t>
      </w:r>
    </w:p>
    <w:p w14:paraId="5DE4924E" w14:textId="77777777" w:rsidR="000E0C4E" w:rsidRPr="00DE1079" w:rsidRDefault="000E0C4E" w:rsidP="00E932CF">
      <w:pPr>
        <w:pStyle w:val="Heading1"/>
        <w:rPr>
          <w:szCs w:val="22"/>
        </w:rPr>
      </w:pPr>
      <w:r w:rsidRPr="00DE1079">
        <w:rPr>
          <w:szCs w:val="22"/>
        </w:rPr>
        <w:t>Background</w:t>
      </w:r>
    </w:p>
    <w:p w14:paraId="1F889F6F" w14:textId="1E7D9E51" w:rsidR="00D06D3A" w:rsidRDefault="00671A5F" w:rsidP="00F82FB5">
      <w:pPr>
        <w:pStyle w:val="ParaNum"/>
      </w:pPr>
      <w:r>
        <w:t>The Commission maintains safeguards designed to protect U.S. consumers from anticompetitive conduct by foreign carriers and other types of market failures.</w:t>
      </w:r>
      <w:r>
        <w:rPr>
          <w:rStyle w:val="FootnoteReference"/>
        </w:rPr>
        <w:footnoteReference w:id="3"/>
      </w:r>
      <w:r>
        <w:t xml:space="preserve">  </w:t>
      </w:r>
      <w:r w:rsidRPr="000A0081">
        <w:t xml:space="preserve">Included among the safeguards is a process </w:t>
      </w:r>
      <w:r>
        <w:t xml:space="preserve">by which the Commission may consider </w:t>
      </w:r>
      <w:r w:rsidRPr="000A0081">
        <w:t>petitions</w:t>
      </w:r>
      <w:r>
        <w:t xml:space="preserve"> </w:t>
      </w:r>
      <w:r w:rsidRPr="000A0081">
        <w:t>alleging anticompetitive</w:t>
      </w:r>
      <w:r>
        <w:t xml:space="preserve"> </w:t>
      </w:r>
      <w:r w:rsidRPr="000A0081">
        <w:t>harm</w:t>
      </w:r>
      <w:r>
        <w:t>.</w:t>
      </w:r>
      <w:r>
        <w:rPr>
          <w:rStyle w:val="FootnoteReference"/>
        </w:rPr>
        <w:footnoteReference w:id="4"/>
      </w:r>
      <w:r w:rsidRPr="000A0081">
        <w:t xml:space="preserve"> </w:t>
      </w:r>
      <w:r>
        <w:t xml:space="preserve"> T</w:t>
      </w:r>
      <w:r w:rsidRPr="000A0081">
        <w:t>he Commission</w:t>
      </w:r>
      <w:r>
        <w:t xml:space="preserve"> has recognized that, under certain circumstances, “</w:t>
      </w:r>
      <w:r w:rsidRPr="000A0081">
        <w:t>carriers with market power might be free to act anticompetitively, ultimately harming U.S.</w:t>
      </w:r>
      <w:r>
        <w:t xml:space="preserve"> </w:t>
      </w:r>
      <w:r w:rsidRPr="000A0081">
        <w:t>customers through artificially inflat</w:t>
      </w:r>
      <w:r>
        <w:t>ed costs for call termination.”</w:t>
      </w:r>
      <w:r>
        <w:rPr>
          <w:rStyle w:val="FootnoteReference"/>
        </w:rPr>
        <w:footnoteReference w:id="5"/>
      </w:r>
      <w:r>
        <w:t xml:space="preserve">  T</w:t>
      </w:r>
      <w:r w:rsidRPr="00BE4503">
        <w:t xml:space="preserve">he Commission </w:t>
      </w:r>
      <w:r>
        <w:t xml:space="preserve">regards </w:t>
      </w:r>
      <w:r w:rsidRPr="00BE4503">
        <w:t xml:space="preserve">certain actions as indicia of potential anticompetitive conduct by foreign carriers, </w:t>
      </w:r>
      <w:r w:rsidR="00A10A34">
        <w:t xml:space="preserve">including </w:t>
      </w:r>
      <w:r w:rsidRPr="00BE4503">
        <w:t>establishing rate floors</w:t>
      </w:r>
      <w:r w:rsidR="00F82FB5" w:rsidRPr="00F82FB5">
        <w:t xml:space="preserve"> that are above previously negotiated rates</w:t>
      </w:r>
      <w:r w:rsidRPr="00BE4503">
        <w:t xml:space="preserve">, even if </w:t>
      </w:r>
      <w:r w:rsidR="00F82FB5">
        <w:t xml:space="preserve">those </w:t>
      </w:r>
      <w:r w:rsidR="00F82FB5">
        <w:lastRenderedPageBreak/>
        <w:t xml:space="preserve">rate floors are </w:t>
      </w:r>
      <w:r w:rsidRPr="00BE4503">
        <w:t>below</w:t>
      </w:r>
      <w:r>
        <w:t xml:space="preserve"> </w:t>
      </w:r>
      <w:r w:rsidR="00F82FB5">
        <w:t xml:space="preserve">the Commission’s accounting rate </w:t>
      </w:r>
      <w:r w:rsidRPr="00BE4503">
        <w:t>benchmarks</w:t>
      </w:r>
      <w:r>
        <w:t>.</w:t>
      </w:r>
      <w:r>
        <w:rPr>
          <w:rStyle w:val="FootnoteReference"/>
        </w:rPr>
        <w:footnoteReference w:id="6"/>
      </w:r>
      <w:r w:rsidR="009E1581">
        <w:t xml:space="preserve">  </w:t>
      </w:r>
    </w:p>
    <w:p w14:paraId="437AA5AA" w14:textId="36AAF0D5" w:rsidR="005A461E" w:rsidRDefault="00F82FB5" w:rsidP="00872DCB">
      <w:pPr>
        <w:pStyle w:val="ParaNum"/>
        <w:widowControl/>
      </w:pPr>
      <w:r>
        <w:t>I</w:t>
      </w:r>
      <w:r w:rsidR="00671A5F" w:rsidRPr="009B5663">
        <w:t xml:space="preserve">n the </w:t>
      </w:r>
      <w:r w:rsidR="00671A5F" w:rsidRPr="00817EE9">
        <w:rPr>
          <w:i/>
        </w:rPr>
        <w:t>2013 Pakistan Order</w:t>
      </w:r>
      <w:r w:rsidR="0099775D">
        <w:t>,</w:t>
      </w:r>
      <w:r w:rsidR="00671A5F">
        <w:t xml:space="preserve"> </w:t>
      </w:r>
      <w:r w:rsidR="00671A5F" w:rsidRPr="009B5663">
        <w:t xml:space="preserve">the International Bureau (Bureau) found that </w:t>
      </w:r>
      <w:r w:rsidR="003E0EDE">
        <w:t xml:space="preserve">on or around October 1, 2012 </w:t>
      </w:r>
      <w:r w:rsidR="00671A5F" w:rsidRPr="009B5663">
        <w:t>certain Pakistan</w:t>
      </w:r>
      <w:r w:rsidR="00B65496">
        <w:t>i</w:t>
      </w:r>
      <w:r w:rsidR="00671A5F" w:rsidRPr="009B5663">
        <w:t xml:space="preserve"> long distance international carriers (LDI carriers) </w:t>
      </w:r>
      <w:r w:rsidR="00535DA2">
        <w:t xml:space="preserve">had </w:t>
      </w:r>
      <w:r w:rsidR="00671A5F" w:rsidRPr="009B5663">
        <w:t xml:space="preserve">set </w:t>
      </w:r>
      <w:r w:rsidR="00671A5F">
        <w:t xml:space="preserve">a </w:t>
      </w:r>
      <w:r w:rsidR="00671A5F" w:rsidRPr="009B5663">
        <w:t>rate floor</w:t>
      </w:r>
      <w:r w:rsidR="00671A5F">
        <w:t xml:space="preserve"> above previously negotiated rates</w:t>
      </w:r>
      <w:r w:rsidR="00671A5F" w:rsidRPr="009B5663">
        <w:t xml:space="preserve"> for termination of international</w:t>
      </w:r>
      <w:r w:rsidR="00671A5F">
        <w:t xml:space="preserve"> telephone calls to Pakistan.</w:t>
      </w:r>
      <w:r w:rsidR="00671A5F">
        <w:rPr>
          <w:rStyle w:val="FootnoteReference"/>
        </w:rPr>
        <w:footnoteReference w:id="7"/>
      </w:r>
      <w:r w:rsidR="00671A5F">
        <w:t xml:space="preserve"> </w:t>
      </w:r>
      <w:r w:rsidR="005A461E">
        <w:t xml:space="preserve"> </w:t>
      </w:r>
      <w:r w:rsidR="00535DA2">
        <w:t xml:space="preserve">Specifically, these </w:t>
      </w:r>
      <w:r w:rsidR="005A461E">
        <w:t>Pakistan</w:t>
      </w:r>
      <w:r w:rsidR="004959A2">
        <w:t>i</w:t>
      </w:r>
      <w:r w:rsidR="005A461E">
        <w:t xml:space="preserve"> </w:t>
      </w:r>
      <w:r w:rsidR="005A461E" w:rsidRPr="005A461E">
        <w:t xml:space="preserve">LDI carriers established a new International Clearing House (ICH) exchange for all </w:t>
      </w:r>
      <w:r w:rsidR="00064335" w:rsidRPr="005A461E">
        <w:t xml:space="preserve">incoming </w:t>
      </w:r>
      <w:r w:rsidR="005A461E" w:rsidRPr="005A461E">
        <w:t>international calls to Pakistan</w:t>
      </w:r>
      <w:r w:rsidR="005A461E">
        <w:t xml:space="preserve"> and established a</w:t>
      </w:r>
      <w:r w:rsidR="009E1581">
        <w:t xml:space="preserve"> $0.088 per minute rate, the minimum settlement rate for all inbound international telephone traffic </w:t>
      </w:r>
      <w:r w:rsidR="003E0EDE">
        <w:t xml:space="preserve">to </w:t>
      </w:r>
      <w:r w:rsidR="009E1581">
        <w:t xml:space="preserve">Pakistan, </w:t>
      </w:r>
      <w:r w:rsidR="008B2E44">
        <w:t xml:space="preserve">which was </w:t>
      </w:r>
      <w:r w:rsidR="009E1581">
        <w:t>above the previous levels of approximately $0.02 per minute</w:t>
      </w:r>
      <w:r w:rsidR="005A461E">
        <w:t>.</w:t>
      </w:r>
      <w:r w:rsidR="005A461E">
        <w:rPr>
          <w:rStyle w:val="FootnoteReference"/>
        </w:rPr>
        <w:footnoteReference w:id="8"/>
      </w:r>
      <w:r w:rsidR="005A461E">
        <w:t xml:space="preserve"> </w:t>
      </w:r>
      <w:r w:rsidR="009E1581">
        <w:t xml:space="preserve"> </w:t>
      </w:r>
      <w:r w:rsidR="005A461E">
        <w:t xml:space="preserve">The Bureau </w:t>
      </w:r>
      <w:r w:rsidR="00A10A34">
        <w:t>found</w:t>
      </w:r>
      <w:r w:rsidR="00CB597A">
        <w:t xml:space="preserve"> </w:t>
      </w:r>
      <w:r w:rsidR="005A461E">
        <w:t>that, “[b]</w:t>
      </w:r>
      <w:r w:rsidR="005A461E" w:rsidRPr="005A461E">
        <w:t>y establishing the ICH Plan, the Pakistani LDI carriers acted in concert to impose unilaterally this rate floor without engaging in meaningful negotiations with U.S. carriers and foreclosing future separate negotiations between U.S. and individual LDI correspondent carriers</w:t>
      </w:r>
      <w:r w:rsidR="005A461E">
        <w:t>.”</w:t>
      </w:r>
      <w:r w:rsidR="005A461E">
        <w:rPr>
          <w:rStyle w:val="FootnoteReference"/>
        </w:rPr>
        <w:footnoteReference w:id="9"/>
      </w:r>
      <w:r w:rsidR="005A461E">
        <w:t xml:space="preserve">  </w:t>
      </w:r>
      <w:r w:rsidR="00CB597A">
        <w:t xml:space="preserve">The Bureau </w:t>
      </w:r>
      <w:r w:rsidR="00A10A34">
        <w:t>added</w:t>
      </w:r>
      <w:r w:rsidR="00CB597A">
        <w:t xml:space="preserve"> that the joint action of the Pakistani LDI carriers met one </w:t>
      </w:r>
      <w:r w:rsidR="00183700">
        <w:t>of the “</w:t>
      </w:r>
      <w:r w:rsidR="00CB597A">
        <w:t xml:space="preserve">criteria of anticompetitive behavior listed in the Commission’s </w:t>
      </w:r>
      <w:r w:rsidR="00CB597A" w:rsidRPr="003E504F">
        <w:t>2004</w:t>
      </w:r>
      <w:r w:rsidR="00CB597A" w:rsidRPr="00974C08">
        <w:rPr>
          <w:i/>
        </w:rPr>
        <w:t xml:space="preserve"> ISP Reform Order</w:t>
      </w:r>
      <w:r w:rsidR="00CB597A">
        <w:t xml:space="preserve">, </w:t>
      </w:r>
      <w:r w:rsidR="00CB597A" w:rsidRPr="003E504F">
        <w:rPr>
          <w:i/>
        </w:rPr>
        <w:t>i.e.</w:t>
      </w:r>
      <w:r w:rsidR="00CB597A">
        <w:t>, the establishment of a rate floor, even if below benchmarks, above previously negotiated rates.”</w:t>
      </w:r>
      <w:r w:rsidR="00CB597A">
        <w:rPr>
          <w:rStyle w:val="FootnoteReference"/>
        </w:rPr>
        <w:footnoteReference w:id="10"/>
      </w:r>
      <w:r w:rsidR="00CB597A">
        <w:t xml:space="preserve">  </w:t>
      </w:r>
    </w:p>
    <w:p w14:paraId="37704F22" w14:textId="56E5FCA2" w:rsidR="00D06D3A" w:rsidRDefault="003E0EDE" w:rsidP="00416886">
      <w:pPr>
        <w:pStyle w:val="ParaNum"/>
      </w:pPr>
      <w:r>
        <w:t>T</w:t>
      </w:r>
      <w:r w:rsidR="005A461E">
        <w:t xml:space="preserve">he Bureau </w:t>
      </w:r>
      <w:r w:rsidR="00671A5F" w:rsidRPr="009B5663">
        <w:t xml:space="preserve">ordered all </w:t>
      </w:r>
      <w:r w:rsidR="00DF34CB">
        <w:t xml:space="preserve">facilities-based </w:t>
      </w:r>
      <w:r w:rsidR="00671A5F" w:rsidRPr="009B5663">
        <w:t>U.S. carriers to</w:t>
      </w:r>
      <w:r w:rsidR="00A21501">
        <w:t xml:space="preserve"> not pay the increment above the negotiated settlement or termination rate</w:t>
      </w:r>
      <w:r w:rsidR="00DF34CB">
        <w:t xml:space="preserve"> in existence prior to the establishment of the rate floor on or about October 1, 2012.</w:t>
      </w:r>
      <w:r w:rsidR="00671A5F">
        <w:rPr>
          <w:rStyle w:val="FootnoteReference"/>
        </w:rPr>
        <w:footnoteReference w:id="11"/>
      </w:r>
      <w:r w:rsidR="00671A5F">
        <w:t xml:space="preserve">  </w:t>
      </w:r>
      <w:r w:rsidR="00D06D3A">
        <w:t>T</w:t>
      </w:r>
      <w:r w:rsidR="003E3468">
        <w:t xml:space="preserve">he Bureau </w:t>
      </w:r>
      <w:r w:rsidR="00F80343">
        <w:t xml:space="preserve">required </w:t>
      </w:r>
      <w:r w:rsidR="003E3468">
        <w:t>all U.S. carriers to notify it immediately of any termination rate increase effective on or around October 1, 2012 on the U.S.-Pakistan route.</w:t>
      </w:r>
      <w:r w:rsidR="003E3468">
        <w:rPr>
          <w:rStyle w:val="FootnoteReference"/>
        </w:rPr>
        <w:footnoteReference w:id="12"/>
      </w:r>
      <w:r w:rsidR="003E3468">
        <w:t xml:space="preserve">  </w:t>
      </w:r>
      <w:r w:rsidR="00817EE9">
        <w:t>T</w:t>
      </w:r>
      <w:r w:rsidR="00B534E5">
        <w:t xml:space="preserve">he Bureau </w:t>
      </w:r>
      <w:r w:rsidR="004A0E91">
        <w:t xml:space="preserve">also </w:t>
      </w:r>
      <w:r w:rsidR="00B534E5">
        <w:t xml:space="preserve">required U.S. carriers to notify the Commission immediately if they are informed by any or all of the Pakistani </w:t>
      </w:r>
      <w:r w:rsidR="006B5A77">
        <w:t xml:space="preserve">LDI </w:t>
      </w:r>
      <w:r w:rsidR="00B534E5">
        <w:t>carriers that they are no longer required to pay a termination rate above those in effect on or around October 1, 2012.</w:t>
      </w:r>
      <w:r w:rsidR="00B534E5">
        <w:rPr>
          <w:rStyle w:val="FootnoteReference"/>
        </w:rPr>
        <w:footnoteReference w:id="13"/>
      </w:r>
      <w:r w:rsidR="00B534E5">
        <w:t xml:space="preserve"> </w:t>
      </w:r>
      <w:r w:rsidR="00F0528D">
        <w:t xml:space="preserve"> </w:t>
      </w:r>
      <w:r w:rsidR="00374B5C">
        <w:t xml:space="preserve">The </w:t>
      </w:r>
      <w:r w:rsidR="00DF34CB">
        <w:t xml:space="preserve">prohibition on paying the increased termination rate was to </w:t>
      </w:r>
      <w:r w:rsidR="000B5065">
        <w:t xml:space="preserve">remain in place until such time as the Commission or </w:t>
      </w:r>
      <w:r w:rsidR="00F80343">
        <w:t xml:space="preserve">the </w:t>
      </w:r>
      <w:r w:rsidR="000B5065">
        <w:t>International Bureau, on delegated authority, issue</w:t>
      </w:r>
      <w:r w:rsidR="00DF34CB">
        <w:t>d</w:t>
      </w:r>
      <w:r w:rsidR="000B5065">
        <w:t xml:space="preserve"> a notice </w:t>
      </w:r>
      <w:r w:rsidR="00DD7A26">
        <w:t xml:space="preserve">removing </w:t>
      </w:r>
      <w:r w:rsidR="000B5065">
        <w:t xml:space="preserve">the </w:t>
      </w:r>
      <w:r w:rsidR="00A21501">
        <w:t>prohibition</w:t>
      </w:r>
      <w:r w:rsidR="00DF34CB">
        <w:t>.</w:t>
      </w:r>
      <w:r w:rsidR="00900F81">
        <w:rPr>
          <w:rStyle w:val="FootnoteReference"/>
        </w:rPr>
        <w:footnoteReference w:id="14"/>
      </w:r>
    </w:p>
    <w:p w14:paraId="3C54AD68" w14:textId="3BB5561B" w:rsidR="000E0C4E" w:rsidRPr="004A0E91" w:rsidRDefault="00D06D3A" w:rsidP="00732594">
      <w:pPr>
        <w:pStyle w:val="ParaNum"/>
        <w:widowControl/>
        <w:rPr>
          <w:sz w:val="24"/>
          <w:szCs w:val="24"/>
        </w:rPr>
      </w:pPr>
      <w:r>
        <w:t xml:space="preserve">As required by the </w:t>
      </w:r>
      <w:r w:rsidRPr="004A0E91">
        <w:rPr>
          <w:i/>
        </w:rPr>
        <w:t>2013 Pakistan Order</w:t>
      </w:r>
      <w:r>
        <w:t>, t</w:t>
      </w:r>
      <w:r w:rsidRPr="009B5663">
        <w:t>wo U.S. carriers, AT&amp;T and Verizon, notified the Bureau that the Pakistan</w:t>
      </w:r>
      <w:r w:rsidR="002D55F7">
        <w:t>i</w:t>
      </w:r>
      <w:r w:rsidRPr="009B5663">
        <w:t xml:space="preserve"> LDI carriers no longer require</w:t>
      </w:r>
      <w:r w:rsidR="006A0798">
        <w:t xml:space="preserve"> </w:t>
      </w:r>
      <w:r w:rsidR="00597029">
        <w:t xml:space="preserve">U.S. </w:t>
      </w:r>
      <w:r w:rsidRPr="009B5663">
        <w:t>carriers to pay the increase</w:t>
      </w:r>
      <w:r>
        <w:t>d</w:t>
      </w:r>
      <w:r w:rsidRPr="009B5663">
        <w:t xml:space="preserve"> </w:t>
      </w:r>
      <w:r>
        <w:t xml:space="preserve">October 1, 2012 </w:t>
      </w:r>
      <w:r w:rsidRPr="009B5663">
        <w:t>rate</w:t>
      </w:r>
      <w:r w:rsidR="006A0798">
        <w:t xml:space="preserve">, and instead offer a reduced rate </w:t>
      </w:r>
      <w:r>
        <w:t xml:space="preserve">on the condition </w:t>
      </w:r>
      <w:r w:rsidR="00F36E70">
        <w:t>AT&amp;T and Verizon</w:t>
      </w:r>
      <w:r>
        <w:t xml:space="preserve"> settle outstanding traffic balances</w:t>
      </w:r>
      <w:r w:rsidRPr="009B5663">
        <w:t>.</w:t>
      </w:r>
      <w:r>
        <w:rPr>
          <w:rStyle w:val="FootnoteReference"/>
        </w:rPr>
        <w:footnoteReference w:id="15"/>
      </w:r>
      <w:r w:rsidRPr="009B5663">
        <w:t xml:space="preserve"> </w:t>
      </w:r>
      <w:r w:rsidR="000B5065">
        <w:t xml:space="preserve"> </w:t>
      </w:r>
      <w:r w:rsidR="004E12A5">
        <w:t xml:space="preserve">On </w:t>
      </w:r>
      <w:r w:rsidR="00F66972">
        <w:t>November 12, 2015</w:t>
      </w:r>
      <w:r w:rsidR="004E12A5">
        <w:t xml:space="preserve">, AT&amp;T </w:t>
      </w:r>
      <w:r w:rsidR="006A0798">
        <w:t xml:space="preserve">informed the Commission that </w:t>
      </w:r>
      <w:r w:rsidR="00F66972">
        <w:t xml:space="preserve">a </w:t>
      </w:r>
      <w:r w:rsidR="00A8372B">
        <w:t xml:space="preserve">Pakistani </w:t>
      </w:r>
      <w:r w:rsidR="00F66972">
        <w:t xml:space="preserve">LDI carrier </w:t>
      </w:r>
      <w:r w:rsidR="006A0798">
        <w:t xml:space="preserve">offered to </w:t>
      </w:r>
      <w:r w:rsidR="00F66972">
        <w:t>terminate</w:t>
      </w:r>
      <w:r w:rsidR="006A0798">
        <w:t xml:space="preserve"> AT&amp;T’s</w:t>
      </w:r>
      <w:r w:rsidR="00F66972">
        <w:t xml:space="preserve"> direct traffic </w:t>
      </w:r>
      <w:r w:rsidR="006A0798">
        <w:t>to</w:t>
      </w:r>
      <w:r w:rsidR="00F66972">
        <w:t xml:space="preserve"> Pakist</w:t>
      </w:r>
      <w:r w:rsidR="00274E6D">
        <w:t xml:space="preserve">an below </w:t>
      </w:r>
      <w:r w:rsidR="00A8372B">
        <w:t>the rates</w:t>
      </w:r>
      <w:r w:rsidR="00F66972">
        <w:t xml:space="preserve"> AT&amp;T </w:t>
      </w:r>
      <w:r w:rsidR="00A8372B">
        <w:t xml:space="preserve">paid </w:t>
      </w:r>
      <w:r w:rsidR="00F66972">
        <w:t>prior to the rate increase</w:t>
      </w:r>
      <w:r w:rsidR="006A0798">
        <w:t xml:space="preserve">, provided </w:t>
      </w:r>
      <w:r w:rsidR="00274E6D">
        <w:t>AT&amp;T settl</w:t>
      </w:r>
      <w:r w:rsidR="006A0798">
        <w:t>ed its</w:t>
      </w:r>
      <w:r w:rsidR="00274E6D">
        <w:t xml:space="preserve"> outstanding traffic balances</w:t>
      </w:r>
      <w:r w:rsidR="005C66F5">
        <w:t>,</w:t>
      </w:r>
      <w:r w:rsidR="00274E6D">
        <w:t xml:space="preserve"> for the </w:t>
      </w:r>
      <w:r w:rsidR="005F0799">
        <w:t>period January 1, 20</w:t>
      </w:r>
      <w:r w:rsidR="00274E6D">
        <w:t>1</w:t>
      </w:r>
      <w:r w:rsidR="00654491">
        <w:t>3</w:t>
      </w:r>
      <w:r w:rsidR="00274E6D">
        <w:t xml:space="preserve"> through March 9, 2013</w:t>
      </w:r>
      <w:r w:rsidR="00911181">
        <w:t>,</w:t>
      </w:r>
      <w:r w:rsidR="00274E6D">
        <w:t xml:space="preserve"> at the increased settlement rate imposed effective in early October 2012.</w:t>
      </w:r>
      <w:r w:rsidR="006A0798">
        <w:rPr>
          <w:rStyle w:val="FootnoteReference"/>
        </w:rPr>
        <w:footnoteReference w:id="16"/>
      </w:r>
      <w:r w:rsidR="006A0798">
        <w:t xml:space="preserve">  </w:t>
      </w:r>
      <w:r w:rsidR="00274E6D">
        <w:t xml:space="preserve"> </w:t>
      </w:r>
      <w:r w:rsidR="007F00C6">
        <w:t xml:space="preserve">AT&amp;T </w:t>
      </w:r>
      <w:r w:rsidR="00191C2D">
        <w:t xml:space="preserve">advises </w:t>
      </w:r>
      <w:r w:rsidR="007F00C6">
        <w:t xml:space="preserve">that it </w:t>
      </w:r>
      <w:r w:rsidR="007F00C6">
        <w:lastRenderedPageBreak/>
        <w:t xml:space="preserve">incurred </w:t>
      </w:r>
      <w:r w:rsidR="00EB0FF2">
        <w:t xml:space="preserve">these </w:t>
      </w:r>
      <w:r w:rsidR="007F00C6">
        <w:t>traffic charges</w:t>
      </w:r>
      <w:r w:rsidR="00EB0FF2">
        <w:t xml:space="preserve"> “</w:t>
      </w:r>
      <w:r w:rsidR="007F00C6">
        <w:t xml:space="preserve">while </w:t>
      </w:r>
      <w:r w:rsidR="000B5065">
        <w:t xml:space="preserve">it inquired whether the correspondent </w:t>
      </w:r>
      <w:r w:rsidR="00A8372B">
        <w:t xml:space="preserve">Pakistani </w:t>
      </w:r>
      <w:r w:rsidR="000B5065">
        <w:t xml:space="preserve">LDI </w:t>
      </w:r>
      <w:r w:rsidR="005F0799">
        <w:t xml:space="preserve">carrier </w:t>
      </w:r>
      <w:r w:rsidR="000B5065">
        <w:t xml:space="preserve">would accept the lower rate required by the </w:t>
      </w:r>
      <w:r w:rsidR="000B5065" w:rsidRPr="000913B2">
        <w:rPr>
          <w:i/>
        </w:rPr>
        <w:t>Order</w:t>
      </w:r>
      <w:r w:rsidR="000B5065">
        <w:t>.</w:t>
      </w:r>
      <w:r w:rsidR="00EB0FF2">
        <w:t>”</w:t>
      </w:r>
      <w:r w:rsidR="000B5065">
        <w:rPr>
          <w:rStyle w:val="FootnoteReference"/>
        </w:rPr>
        <w:footnoteReference w:id="17"/>
      </w:r>
      <w:r w:rsidR="000B5065">
        <w:t xml:space="preserve">  </w:t>
      </w:r>
      <w:r w:rsidR="00547D49">
        <w:t>AT&amp;T states that w</w:t>
      </w:r>
      <w:r w:rsidR="000B5065">
        <w:t>hen the corresponde</w:t>
      </w:r>
      <w:r w:rsidR="00CC3B85">
        <w:t>nt</w:t>
      </w:r>
      <w:r w:rsidR="000B5065">
        <w:t xml:space="preserve"> </w:t>
      </w:r>
      <w:r w:rsidR="00A8372B">
        <w:t xml:space="preserve">Pakistani </w:t>
      </w:r>
      <w:r w:rsidR="000B5065">
        <w:t xml:space="preserve">LDI </w:t>
      </w:r>
      <w:r w:rsidR="005F0799">
        <w:t xml:space="preserve">carrier </w:t>
      </w:r>
      <w:r w:rsidR="000B5065">
        <w:t>declined to accept the lower rate, AT&amp;T promptly moved traffic to third</w:t>
      </w:r>
      <w:r w:rsidR="00191C2D">
        <w:t>-</w:t>
      </w:r>
      <w:r w:rsidR="000B5065">
        <w:t>country indirect routes.</w:t>
      </w:r>
      <w:r w:rsidR="005F0799">
        <w:rPr>
          <w:rStyle w:val="FootnoteReference"/>
        </w:rPr>
        <w:footnoteReference w:id="18"/>
      </w:r>
      <w:r w:rsidR="000B5065">
        <w:t xml:space="preserve">  AT&amp;T requests that the Bureau clarify whether AT&amp;T may settle its outstanding traffic balances in the event that the Bureau </w:t>
      </w:r>
      <w:r w:rsidR="00DD7A26">
        <w:t>remove</w:t>
      </w:r>
      <w:r w:rsidR="000B5065">
        <w:t xml:space="preserve">s the requirements in the </w:t>
      </w:r>
      <w:r w:rsidR="000B5065" w:rsidRPr="004A0E91">
        <w:rPr>
          <w:i/>
        </w:rPr>
        <w:t>2013 Pakistan Order</w:t>
      </w:r>
      <w:r w:rsidR="000B5065">
        <w:t>.</w:t>
      </w:r>
      <w:r w:rsidR="00B80903">
        <w:rPr>
          <w:rStyle w:val="FootnoteReference"/>
        </w:rPr>
        <w:footnoteReference w:id="19"/>
      </w:r>
    </w:p>
    <w:p w14:paraId="178D524B" w14:textId="7A097ADD" w:rsidR="007D34C4" w:rsidRPr="007D34C4" w:rsidRDefault="007D34C4">
      <w:pPr>
        <w:pStyle w:val="ParaNum"/>
      </w:pPr>
      <w:r>
        <w:t xml:space="preserve">On December 10, 2015, Verizon filed a letter stating that it </w:t>
      </w:r>
      <w:r w:rsidR="00EB0FF2">
        <w:t>“</w:t>
      </w:r>
      <w:r>
        <w:t xml:space="preserve">has an informal offer from a correspondent </w:t>
      </w:r>
      <w:r w:rsidR="00005E50">
        <w:t xml:space="preserve">Pakistani </w:t>
      </w:r>
      <w:r>
        <w:t xml:space="preserve">LDI carrier </w:t>
      </w:r>
      <w:r w:rsidR="00005E50">
        <w:t xml:space="preserve">stating </w:t>
      </w:r>
      <w:r>
        <w:t xml:space="preserve">that it may terminate traffic at a rate less than </w:t>
      </w:r>
      <w:r w:rsidR="00005E50">
        <w:t xml:space="preserve">the rates Verizon </w:t>
      </w:r>
      <w:r>
        <w:t>paid prior to the rate increase of October 1, 2012.</w:t>
      </w:r>
      <w:r w:rsidR="00EB0FF2">
        <w:t>”</w:t>
      </w:r>
      <w:r>
        <w:rPr>
          <w:rStyle w:val="FootnoteReference"/>
        </w:rPr>
        <w:footnoteReference w:id="20"/>
      </w:r>
      <w:r>
        <w:t xml:space="preserve">  </w:t>
      </w:r>
      <w:r w:rsidR="00C575EF">
        <w:t xml:space="preserve">Verizon </w:t>
      </w:r>
      <w:r w:rsidR="00005E50">
        <w:t xml:space="preserve">states </w:t>
      </w:r>
      <w:r w:rsidR="00C575EF">
        <w:t>that</w:t>
      </w:r>
      <w:r w:rsidR="00EB0FF2">
        <w:t xml:space="preserve"> “[t]</w:t>
      </w:r>
      <w:r w:rsidR="00C575EF">
        <w:t>he offered rate is contingent upon the settlement of outstanding balances for traffic exchanged between March 5, 2013 and July 31, 201</w:t>
      </w:r>
      <w:r w:rsidR="00560D58">
        <w:t>3</w:t>
      </w:r>
      <w:r w:rsidR="00C575EF">
        <w:t xml:space="preserve"> at rates higher than those in effect prior to October 1, 2012.</w:t>
      </w:r>
      <w:r w:rsidR="00EB0FF2">
        <w:t>”</w:t>
      </w:r>
      <w:r w:rsidR="00C575EF">
        <w:rPr>
          <w:rStyle w:val="FootnoteReference"/>
        </w:rPr>
        <w:footnoteReference w:id="21"/>
      </w:r>
    </w:p>
    <w:p w14:paraId="239AB3C1" w14:textId="77777777" w:rsidR="000E0C4E" w:rsidRPr="00DE1079" w:rsidRDefault="000E0C4E">
      <w:pPr>
        <w:pStyle w:val="Heading1"/>
        <w:rPr>
          <w:szCs w:val="22"/>
        </w:rPr>
      </w:pPr>
      <w:r w:rsidRPr="00DE1079">
        <w:rPr>
          <w:szCs w:val="22"/>
        </w:rPr>
        <w:t>DISCUSSION</w:t>
      </w:r>
    </w:p>
    <w:p w14:paraId="0D5DF4BA" w14:textId="54F0EB2C" w:rsidR="00B427E3" w:rsidRDefault="003C7865" w:rsidP="008E2B47">
      <w:pPr>
        <w:pStyle w:val="ParaNum"/>
      </w:pPr>
      <w:r w:rsidRPr="003C7865">
        <w:t xml:space="preserve">The recent action by Pakistani LDI carriers to negotiate lower termination rates with U.S. carriers, below the negotiated rates in effect prior to October 1, 2012, is a positive step toward reducing rates closer to cost.  </w:t>
      </w:r>
      <w:r w:rsidR="00553A25">
        <w:t>As explained below, w</w:t>
      </w:r>
      <w:r w:rsidR="005D2785" w:rsidRPr="0084697C">
        <w:t>e</w:t>
      </w:r>
      <w:r w:rsidR="005D2785">
        <w:t xml:space="preserve"> </w:t>
      </w:r>
      <w:r w:rsidR="003C1291">
        <w:t xml:space="preserve">find that the new termination rates AT&amp;T and Verizon have </w:t>
      </w:r>
      <w:r w:rsidR="002D6EBF">
        <w:t>been offered by</w:t>
      </w:r>
      <w:r w:rsidR="003C1291">
        <w:t xml:space="preserve"> their Pakistani correspondent carriers</w:t>
      </w:r>
      <w:r w:rsidR="002D6EBF">
        <w:t xml:space="preserve"> –</w:t>
      </w:r>
      <w:r w:rsidR="007D6E7A">
        <w:t xml:space="preserve"> specifically the</w:t>
      </w:r>
      <w:r w:rsidR="002D6EBF">
        <w:t xml:space="preserve"> removal of the October 1, 2012 rate floor and </w:t>
      </w:r>
      <w:r w:rsidR="007D6E7A">
        <w:t xml:space="preserve">the offer of </w:t>
      </w:r>
      <w:r w:rsidR="002D6EBF">
        <w:t xml:space="preserve">new rates that are lower than the pre-October 1, 2012 negotiated rates </w:t>
      </w:r>
      <w:r w:rsidR="00DD0103">
        <w:t>–</w:t>
      </w:r>
      <w:r w:rsidR="003C1291">
        <w:t xml:space="preserve"> will help</w:t>
      </w:r>
      <w:r w:rsidR="00C5266D">
        <w:t xml:space="preserve"> </w:t>
      </w:r>
      <w:r w:rsidR="003C1291">
        <w:t xml:space="preserve">protect U.S. consumers by promoting lower, more </w:t>
      </w:r>
      <w:r w:rsidR="0068637F">
        <w:t>cost-based</w:t>
      </w:r>
      <w:r w:rsidR="003C1291">
        <w:t xml:space="preserve"> rates on the U.S.-Pakistan route.  </w:t>
      </w:r>
      <w:r w:rsidR="0083346B">
        <w:t>To facilitate</w:t>
      </w:r>
      <w:r w:rsidR="00C5266D">
        <w:t xml:space="preserve"> the initial transition away from the higher termination rates in effect at the time of the </w:t>
      </w:r>
      <w:r w:rsidR="00C5266D">
        <w:rPr>
          <w:i/>
        </w:rPr>
        <w:t>2013 Pakistan Order</w:t>
      </w:r>
      <w:r w:rsidR="00C5266D">
        <w:t>, w</w:t>
      </w:r>
      <w:r w:rsidR="003C1291">
        <w:t>e</w:t>
      </w:r>
      <w:r w:rsidR="0089105B">
        <w:t xml:space="preserve"> </w:t>
      </w:r>
      <w:r w:rsidR="00E6799C">
        <w:t>modify th</w:t>
      </w:r>
      <w:r w:rsidR="00A10A34">
        <w:t>e</w:t>
      </w:r>
      <w:r w:rsidR="004D3E37">
        <w:t xml:space="preserve"> </w:t>
      </w:r>
      <w:r w:rsidR="004D3E37" w:rsidRPr="000913B2">
        <w:rPr>
          <w:i/>
        </w:rPr>
        <w:t>O</w:t>
      </w:r>
      <w:r w:rsidR="00C5266D" w:rsidRPr="000913B2">
        <w:rPr>
          <w:i/>
        </w:rPr>
        <w:t>rder</w:t>
      </w:r>
      <w:r w:rsidR="004F04EF">
        <w:t xml:space="preserve"> </w:t>
      </w:r>
      <w:r w:rsidR="00900064">
        <w:t xml:space="preserve">to allow </w:t>
      </w:r>
      <w:r w:rsidR="003C1291">
        <w:t xml:space="preserve">U.S. </w:t>
      </w:r>
      <w:r w:rsidR="00900064">
        <w:t>carriers</w:t>
      </w:r>
      <w:r w:rsidR="003C1291">
        <w:t xml:space="preserve"> </w:t>
      </w:r>
      <w:r w:rsidR="00E6799C">
        <w:t>to</w:t>
      </w:r>
      <w:r w:rsidR="00900064">
        <w:t xml:space="preserve"> </w:t>
      </w:r>
      <w:r w:rsidR="00993069">
        <w:t xml:space="preserve">settle outstanding traffic balances from March 5, 2013 through March 12, 2013 </w:t>
      </w:r>
      <w:r w:rsidR="003C1291">
        <w:t>at the higher</w:t>
      </w:r>
      <w:r w:rsidR="00CE037E">
        <w:t xml:space="preserve"> termination rate</w:t>
      </w:r>
      <w:r w:rsidR="00993069">
        <w:t xml:space="preserve"> </w:t>
      </w:r>
      <w:r w:rsidR="00D77752">
        <w:t>set</w:t>
      </w:r>
      <w:r w:rsidR="00993069">
        <w:t xml:space="preserve"> on or around</w:t>
      </w:r>
      <w:r w:rsidR="00681E0E">
        <w:t xml:space="preserve"> October 1, 2012</w:t>
      </w:r>
      <w:r w:rsidR="00993069">
        <w:t xml:space="preserve">.  We find that a </w:t>
      </w:r>
      <w:r w:rsidR="00CE037E">
        <w:t xml:space="preserve">one-week </w:t>
      </w:r>
      <w:r w:rsidR="00993069">
        <w:t xml:space="preserve">extension of </w:t>
      </w:r>
      <w:r w:rsidR="00554E36">
        <w:t xml:space="preserve">settlement payments at </w:t>
      </w:r>
      <w:r w:rsidR="00993069">
        <w:t>this</w:t>
      </w:r>
      <w:r w:rsidR="009A464B">
        <w:t xml:space="preserve"> higher</w:t>
      </w:r>
      <w:r w:rsidR="00993069">
        <w:t xml:space="preserve"> </w:t>
      </w:r>
      <w:r w:rsidR="009A464B">
        <w:t xml:space="preserve">rate </w:t>
      </w:r>
      <w:r w:rsidR="00C5266D">
        <w:t xml:space="preserve">gives U.S. carriers sufficient time to work with their Pakistani correspondents to comply with the terms of the </w:t>
      </w:r>
      <w:r w:rsidR="004D3E37" w:rsidRPr="000913B2">
        <w:rPr>
          <w:i/>
        </w:rPr>
        <w:t>O</w:t>
      </w:r>
      <w:r w:rsidR="00C5266D" w:rsidRPr="000913B2">
        <w:rPr>
          <w:i/>
        </w:rPr>
        <w:t>rder</w:t>
      </w:r>
      <w:r w:rsidR="00C5266D">
        <w:t>.</w:t>
      </w:r>
    </w:p>
    <w:p w14:paraId="4C670A68" w14:textId="3762238F" w:rsidR="00E16A22" w:rsidRDefault="00480782" w:rsidP="00E16A22">
      <w:pPr>
        <w:pStyle w:val="ParaNum"/>
      </w:pPr>
      <w:r>
        <w:t xml:space="preserve">The </w:t>
      </w:r>
      <w:r w:rsidRPr="00B427E3">
        <w:rPr>
          <w:i/>
        </w:rPr>
        <w:t>2013 Pakistan Order</w:t>
      </w:r>
      <w:r w:rsidR="00A72B5F">
        <w:t xml:space="preserve"> </w:t>
      </w:r>
      <w:r w:rsidR="00B81ED3">
        <w:t>prohibit</w:t>
      </w:r>
      <w:r w:rsidR="00553A25">
        <w:t>s</w:t>
      </w:r>
      <w:r w:rsidR="00B81ED3">
        <w:t xml:space="preserve"> the payment of increased rates</w:t>
      </w:r>
      <w:r w:rsidR="00D7186D">
        <w:t>,</w:t>
      </w:r>
      <w:r w:rsidR="00E16A22">
        <w:t xml:space="preserve"> </w:t>
      </w:r>
      <w:r w:rsidR="00B81ED3">
        <w:t xml:space="preserve">as opposed to </w:t>
      </w:r>
      <w:r w:rsidR="00553A25">
        <w:t xml:space="preserve">requiring </w:t>
      </w:r>
      <w:r w:rsidR="00B81ED3">
        <w:t>a full stop payment in response to anticompetitive behavior on a U.S.-international route</w:t>
      </w:r>
      <w:r w:rsidR="002C71CF">
        <w:t>.</w:t>
      </w:r>
      <w:r w:rsidR="001A4E10">
        <w:rPr>
          <w:rStyle w:val="FootnoteReference"/>
        </w:rPr>
        <w:footnoteReference w:id="22"/>
      </w:r>
      <w:r w:rsidR="002C71CF">
        <w:t xml:space="preserve">  </w:t>
      </w:r>
      <w:r w:rsidR="00310581">
        <w:t xml:space="preserve">Specifically, </w:t>
      </w:r>
      <w:r w:rsidR="00553A25">
        <w:t>i</w:t>
      </w:r>
      <w:r w:rsidR="006020FA">
        <w:t xml:space="preserve">t </w:t>
      </w:r>
      <w:r w:rsidR="00E16A22">
        <w:t>prohibit</w:t>
      </w:r>
      <w:r w:rsidR="006020FA">
        <w:t>s</w:t>
      </w:r>
      <w:r w:rsidR="00B53677">
        <w:t>, effective March 5, 2013,</w:t>
      </w:r>
      <w:r w:rsidR="00E16A22">
        <w:t xml:space="preserve"> increased payments above the </w:t>
      </w:r>
      <w:r w:rsidR="003D04DD">
        <w:t xml:space="preserve">negotiated </w:t>
      </w:r>
      <w:r w:rsidR="00E16A22">
        <w:t>rates that existed before October 1, 2012</w:t>
      </w:r>
      <w:r w:rsidR="00B427E3">
        <w:t xml:space="preserve">.  </w:t>
      </w:r>
      <w:r w:rsidR="009C07A6">
        <w:t>T</w:t>
      </w:r>
      <w:r w:rsidR="00E16A22" w:rsidRPr="008863FF">
        <w:t xml:space="preserve">he </w:t>
      </w:r>
      <w:r w:rsidR="00C8347A">
        <w:t>prohibition against</w:t>
      </w:r>
      <w:r w:rsidR="00E16A22" w:rsidRPr="008863FF">
        <w:t xml:space="preserve"> pay</w:t>
      </w:r>
      <w:r w:rsidR="00C8347A">
        <w:t>ing</w:t>
      </w:r>
      <w:r w:rsidR="00E16A22" w:rsidRPr="008863FF">
        <w:t xml:space="preserve"> the </w:t>
      </w:r>
      <w:r w:rsidR="0018673A">
        <w:t xml:space="preserve">October 1, 2012 </w:t>
      </w:r>
      <w:r w:rsidR="00E16A22" w:rsidRPr="008863FF">
        <w:t xml:space="preserve">increment above the </w:t>
      </w:r>
      <w:r w:rsidR="0018673A">
        <w:t xml:space="preserve">prior </w:t>
      </w:r>
      <w:r w:rsidR="00E16A22" w:rsidRPr="008863FF">
        <w:t>negotiated termination rate</w:t>
      </w:r>
      <w:r w:rsidR="0018673A">
        <w:t>s</w:t>
      </w:r>
      <w:r w:rsidR="00E16A22" w:rsidRPr="008863FF">
        <w:t xml:space="preserve"> was not retroactive in nature.  Thus, </w:t>
      </w:r>
      <w:r w:rsidR="003D04DD">
        <w:t xml:space="preserve">for the period of October 1, 2012 to March 5, 2013, </w:t>
      </w:r>
      <w:r w:rsidR="004D3E37">
        <w:t xml:space="preserve">the </w:t>
      </w:r>
      <w:r w:rsidR="004D3E37" w:rsidRPr="000913B2">
        <w:rPr>
          <w:i/>
        </w:rPr>
        <w:t>O</w:t>
      </w:r>
      <w:r w:rsidR="00553A25" w:rsidRPr="000913B2">
        <w:rPr>
          <w:i/>
        </w:rPr>
        <w:t>rder</w:t>
      </w:r>
      <w:r w:rsidR="00553A25">
        <w:t xml:space="preserve"> did not affect payment of outstanding traffic balances by </w:t>
      </w:r>
      <w:r w:rsidR="002C71CF">
        <w:t>U.S. carriers</w:t>
      </w:r>
      <w:r w:rsidR="00E16A22" w:rsidRPr="008863FF">
        <w:t xml:space="preserve"> </w:t>
      </w:r>
      <w:r w:rsidR="00D7186D">
        <w:t xml:space="preserve">at the higher </w:t>
      </w:r>
      <w:r w:rsidR="000E3C9A">
        <w:t xml:space="preserve">termination </w:t>
      </w:r>
      <w:r w:rsidR="00D7186D">
        <w:t>rate</w:t>
      </w:r>
      <w:r w:rsidR="00E16A22" w:rsidRPr="008863FF">
        <w:t>.</w:t>
      </w:r>
      <w:r w:rsidR="00D7186D">
        <w:t xml:space="preserve">  </w:t>
      </w:r>
      <w:r w:rsidR="00310581">
        <w:t>In response to the AT&amp;T and Verizon filings, we now look at the period following March 5, 2013.</w:t>
      </w:r>
    </w:p>
    <w:p w14:paraId="0AD9D1AD" w14:textId="1CFD3F52" w:rsidR="00310581" w:rsidRDefault="00310581" w:rsidP="00065D97">
      <w:pPr>
        <w:pStyle w:val="ParaNum"/>
      </w:pPr>
      <w:r>
        <w:t xml:space="preserve">AT&amp;T and Verizon advise that they no longer will be required to pay the increased rates that went into effect on or around October 1, 2012, but instead would pay rates that are lower than the negotiated rates that existed prior to the imposed rate increase, subject to the settlement of outstanding balances.  </w:t>
      </w:r>
      <w:r w:rsidRPr="000056AA">
        <w:t xml:space="preserve">AT&amp;T </w:t>
      </w:r>
      <w:r w:rsidRPr="0072182E">
        <w:t>requests that the Bureau clarify whether AT&amp;T may settle its outstanding traffic balances for the period of March 5 through March 9, 2013 at the higher rates.</w:t>
      </w:r>
      <w:r w:rsidRPr="0072182E">
        <w:rPr>
          <w:vertAlign w:val="superscript"/>
        </w:rPr>
        <w:footnoteReference w:id="23"/>
      </w:r>
      <w:r w:rsidRPr="0072182E">
        <w:t xml:space="preserve"> </w:t>
      </w:r>
      <w:r>
        <w:t xml:space="preserve"> </w:t>
      </w:r>
      <w:r w:rsidRPr="00310581">
        <w:t xml:space="preserve">To the extent clarification is needed, we confirm that the prohibition on paying the higher termination rates applies until the Commission removes the prohibition, and even then the removal of the restriction only applies to traffic that occurs for the period for which the prohibition has been removed.  However, based on the facts and arguments presented by AT&amp;T, we find good cause to treat AT&amp;T’s request as one seeking a modification of the terms of the </w:t>
      </w:r>
      <w:r w:rsidRPr="00310581">
        <w:rPr>
          <w:i/>
        </w:rPr>
        <w:t>2013 Pakistan Order</w:t>
      </w:r>
      <w:r w:rsidRPr="00310581">
        <w:t>.</w:t>
      </w:r>
      <w:r w:rsidRPr="0072182E">
        <w:t xml:space="preserve"> </w:t>
      </w:r>
    </w:p>
    <w:p w14:paraId="2FE994C9" w14:textId="6A326255" w:rsidR="005E3EE5" w:rsidRDefault="00D7186D" w:rsidP="00065D97">
      <w:pPr>
        <w:pStyle w:val="ParaNum"/>
      </w:pPr>
      <w:r>
        <w:t>W</w:t>
      </w:r>
      <w:r w:rsidR="008863FF" w:rsidRPr="008863FF">
        <w:t>e</w:t>
      </w:r>
      <w:r w:rsidR="00947B40">
        <w:t xml:space="preserve"> find it in the public interest to </w:t>
      </w:r>
      <w:r>
        <w:t xml:space="preserve">grant AT&amp;T’s request </w:t>
      </w:r>
      <w:r w:rsidR="003C7865">
        <w:t xml:space="preserve">to </w:t>
      </w:r>
      <w:r w:rsidR="00017621">
        <w:t xml:space="preserve">modify the </w:t>
      </w:r>
      <w:r w:rsidR="00017621" w:rsidRPr="00F66914">
        <w:rPr>
          <w:i/>
        </w:rPr>
        <w:t>2013 Pakistan Order</w:t>
      </w:r>
      <w:r w:rsidR="00A72B5F">
        <w:t xml:space="preserve">.  </w:t>
      </w:r>
      <w:r w:rsidR="004409B8">
        <w:t xml:space="preserve">After the </w:t>
      </w:r>
      <w:r w:rsidR="000D6C60" w:rsidRPr="000913B2">
        <w:rPr>
          <w:i/>
        </w:rPr>
        <w:t>O</w:t>
      </w:r>
      <w:r w:rsidR="004409B8" w:rsidRPr="000913B2">
        <w:rPr>
          <w:i/>
        </w:rPr>
        <w:t>rder</w:t>
      </w:r>
      <w:r w:rsidR="004409B8">
        <w:t xml:space="preserve"> became effective</w:t>
      </w:r>
      <w:r w:rsidR="001161D5">
        <w:t>,</w:t>
      </w:r>
      <w:r w:rsidR="004409B8">
        <w:t xml:space="preserve"> U.S. carriers took steps to effectuate it</w:t>
      </w:r>
      <w:r w:rsidR="00065D97">
        <w:t>s</w:t>
      </w:r>
      <w:r w:rsidR="004409B8">
        <w:t xml:space="preserve"> requirements.  </w:t>
      </w:r>
      <w:r w:rsidR="00E6799C">
        <w:t>As AT&amp;T explain</w:t>
      </w:r>
      <w:r w:rsidR="00065D97">
        <w:t>ed</w:t>
      </w:r>
      <w:r w:rsidR="00E6799C">
        <w:t xml:space="preserve">, upon issuance of the </w:t>
      </w:r>
      <w:r w:rsidR="000D6C60" w:rsidRPr="000913B2">
        <w:rPr>
          <w:i/>
        </w:rPr>
        <w:t>O</w:t>
      </w:r>
      <w:r w:rsidR="00E6799C" w:rsidRPr="000913B2">
        <w:rPr>
          <w:i/>
        </w:rPr>
        <w:t>rder</w:t>
      </w:r>
      <w:r w:rsidR="00E6799C">
        <w:t xml:space="preserve"> it </w:t>
      </w:r>
      <w:r w:rsidR="004409B8">
        <w:t>notified</w:t>
      </w:r>
      <w:r w:rsidR="00E6799C">
        <w:t xml:space="preserve"> its correspondent carriers of the terms of the </w:t>
      </w:r>
      <w:r w:rsidR="000D6C60" w:rsidRPr="000913B2">
        <w:rPr>
          <w:i/>
        </w:rPr>
        <w:t>O</w:t>
      </w:r>
      <w:r w:rsidR="00E6799C" w:rsidRPr="000913B2">
        <w:rPr>
          <w:i/>
        </w:rPr>
        <w:t>rder</w:t>
      </w:r>
      <w:r w:rsidR="00E6799C">
        <w:t>, determine</w:t>
      </w:r>
      <w:r w:rsidR="004409B8">
        <w:t>d</w:t>
      </w:r>
      <w:r w:rsidR="00E6799C">
        <w:t xml:space="preserve"> if the correspondent carriers would be willing to lower their termination rates</w:t>
      </w:r>
      <w:r w:rsidR="002B2768">
        <w:t xml:space="preserve"> to continue</w:t>
      </w:r>
      <w:r w:rsidR="0070144A">
        <w:t xml:space="preserve"> exchanging</w:t>
      </w:r>
      <w:r w:rsidR="002B2768">
        <w:t xml:space="preserve"> traffic</w:t>
      </w:r>
      <w:r w:rsidR="00E6799C">
        <w:t xml:space="preserve">, and </w:t>
      </w:r>
      <w:r w:rsidR="004409B8">
        <w:t>sought to determine</w:t>
      </w:r>
      <w:r w:rsidR="00E6799C">
        <w:t xml:space="preserve"> alternative arrangements for </w:t>
      </w:r>
      <w:r w:rsidR="004409B8">
        <w:t>continuing service to its customers on the</w:t>
      </w:r>
      <w:r w:rsidR="00E6799C">
        <w:t xml:space="preserve"> </w:t>
      </w:r>
      <w:r w:rsidR="004409B8">
        <w:t>U.S.-</w:t>
      </w:r>
      <w:r w:rsidR="00E6799C">
        <w:t>Pakistan</w:t>
      </w:r>
      <w:r w:rsidR="004409B8">
        <w:t xml:space="preserve"> route</w:t>
      </w:r>
      <w:r w:rsidR="00E6799C">
        <w:t>.</w:t>
      </w:r>
      <w:r w:rsidR="00E6799C">
        <w:rPr>
          <w:rStyle w:val="FootnoteReference"/>
        </w:rPr>
        <w:footnoteReference w:id="24"/>
      </w:r>
      <w:r w:rsidR="00E6799C">
        <w:t xml:space="preserve">  We find </w:t>
      </w:r>
      <w:r w:rsidR="004409B8">
        <w:t xml:space="preserve">that </w:t>
      </w:r>
      <w:r w:rsidR="00E6799C">
        <w:t xml:space="preserve">these were practical actions by the U.S. carrier </w:t>
      </w:r>
      <w:r w:rsidR="004409B8">
        <w:t>to preserve service to U.S. customers on the U.S.-Pakistan route, and conclude that</w:t>
      </w:r>
      <w:r w:rsidR="000E191B">
        <w:t xml:space="preserve"> </w:t>
      </w:r>
      <w:r w:rsidR="005E3EE5">
        <w:t xml:space="preserve">an additional </w:t>
      </w:r>
      <w:r w:rsidR="00347C79">
        <w:t>one-week</w:t>
      </w:r>
      <w:r w:rsidR="000B4121">
        <w:t xml:space="preserve"> period </w:t>
      </w:r>
      <w:r w:rsidR="004409B8">
        <w:t>is a reasonable amount of time to take these steps</w:t>
      </w:r>
      <w:r w:rsidR="008863FF" w:rsidRPr="008863FF">
        <w:t xml:space="preserve">.  </w:t>
      </w:r>
    </w:p>
    <w:p w14:paraId="2CF712DA" w14:textId="7788D07D" w:rsidR="00AB59BA" w:rsidRDefault="004277C2" w:rsidP="00A76A9A">
      <w:pPr>
        <w:pStyle w:val="ParaNum"/>
      </w:pPr>
      <w:r>
        <w:t>This</w:t>
      </w:r>
      <w:r w:rsidR="00F66914">
        <w:t xml:space="preserve"> </w:t>
      </w:r>
      <w:r w:rsidR="000E191B">
        <w:t xml:space="preserve">one-week </w:t>
      </w:r>
      <w:r w:rsidR="00F66914">
        <w:t xml:space="preserve">extension </w:t>
      </w:r>
      <w:r>
        <w:t xml:space="preserve">will not </w:t>
      </w:r>
      <w:r w:rsidR="000E191B">
        <w:t xml:space="preserve">substantially </w:t>
      </w:r>
      <w:r w:rsidR="00F66914">
        <w:t xml:space="preserve">harm consumers as </w:t>
      </w:r>
      <w:r>
        <w:t xml:space="preserve">it </w:t>
      </w:r>
      <w:r w:rsidR="00F66914">
        <w:t>simply allow</w:t>
      </w:r>
      <w:r>
        <w:t>s</w:t>
      </w:r>
      <w:r w:rsidR="00F66914">
        <w:t xml:space="preserve"> U.S. carriers an additional seven days</w:t>
      </w:r>
      <w:r>
        <w:t xml:space="preserve"> to settle traffic balances at the higher rate</w:t>
      </w:r>
      <w:r w:rsidR="003C7865">
        <w:t xml:space="preserve"> while seeking a lower rate that complies with the terms of the </w:t>
      </w:r>
      <w:r w:rsidR="000D6C60" w:rsidRPr="000913B2">
        <w:rPr>
          <w:i/>
        </w:rPr>
        <w:t>O</w:t>
      </w:r>
      <w:r w:rsidR="003C7865" w:rsidRPr="000913B2">
        <w:rPr>
          <w:i/>
        </w:rPr>
        <w:t>rder</w:t>
      </w:r>
      <w:r w:rsidR="00F66914" w:rsidRPr="008863FF">
        <w:t>.</w:t>
      </w:r>
      <w:r w:rsidR="00F66914">
        <w:t xml:space="preserve">  </w:t>
      </w:r>
      <w:r>
        <w:t xml:space="preserve">Although </w:t>
      </w:r>
      <w:r w:rsidR="00B17790">
        <w:t xml:space="preserve">Verizon </w:t>
      </w:r>
      <w:r>
        <w:t>states that the</w:t>
      </w:r>
      <w:r w:rsidR="00B17790">
        <w:t xml:space="preserve"> offer </w:t>
      </w:r>
      <w:r>
        <w:t xml:space="preserve">it has received </w:t>
      </w:r>
      <w:r w:rsidR="00B17790">
        <w:t xml:space="preserve">from a correspondent </w:t>
      </w:r>
      <w:r w:rsidR="0070144A">
        <w:t xml:space="preserve">Pakistani LDI </w:t>
      </w:r>
      <w:r w:rsidR="00B17790">
        <w:t>carrier is contingent on settling its outstanding balances from March 5, 2013 to July 31, 2013</w:t>
      </w:r>
      <w:r>
        <w:t xml:space="preserve"> at the high</w:t>
      </w:r>
      <w:r w:rsidR="008033CC">
        <w:t>er</w:t>
      </w:r>
      <w:r>
        <w:t xml:space="preserve"> rate</w:t>
      </w:r>
      <w:r w:rsidR="00B17790">
        <w:t xml:space="preserve">, </w:t>
      </w:r>
      <w:r w:rsidR="00F66914">
        <w:t xml:space="preserve">we find that </w:t>
      </w:r>
      <w:r>
        <w:t>this</w:t>
      </w:r>
      <w:r w:rsidR="00F66914">
        <w:t xml:space="preserve"> </w:t>
      </w:r>
      <w:r w:rsidR="0058438D">
        <w:t xml:space="preserve">longer </w:t>
      </w:r>
      <w:r>
        <w:t xml:space="preserve">time period </w:t>
      </w:r>
      <w:r w:rsidR="004E2C7D">
        <w:t xml:space="preserve">would be </w:t>
      </w:r>
      <w:r w:rsidR="00B17790">
        <w:t xml:space="preserve">contrary to </w:t>
      </w:r>
      <w:r>
        <w:t xml:space="preserve">the </w:t>
      </w:r>
      <w:r w:rsidR="00B17790" w:rsidRPr="00B17790">
        <w:t xml:space="preserve">safeguards </w:t>
      </w:r>
      <w:r w:rsidR="00B17790">
        <w:t xml:space="preserve">imposed in the </w:t>
      </w:r>
      <w:r w:rsidR="00B17790" w:rsidRPr="00F66914">
        <w:rPr>
          <w:i/>
        </w:rPr>
        <w:t>2013 Pakistan Order</w:t>
      </w:r>
      <w:r w:rsidR="00B17790">
        <w:t xml:space="preserve">, which were </w:t>
      </w:r>
      <w:r w:rsidR="002B2768">
        <w:t xml:space="preserve">based on Commission policy and rules </w:t>
      </w:r>
      <w:r w:rsidR="00B17790" w:rsidRPr="00B17790">
        <w:t>designed to protect U.S. consumers from anticompetitiv</w:t>
      </w:r>
      <w:r w:rsidR="002B2768">
        <w:t>e conduct by foreign carriers</w:t>
      </w:r>
      <w:r>
        <w:t>, and thus would not be a reasonable extension</w:t>
      </w:r>
      <w:r w:rsidR="00B17790">
        <w:t xml:space="preserve">.  </w:t>
      </w:r>
    </w:p>
    <w:p w14:paraId="49D5465B" w14:textId="05AB3CBF" w:rsidR="00C96C09" w:rsidRPr="00FF5141" w:rsidRDefault="00606E2C" w:rsidP="00872DCB">
      <w:pPr>
        <w:pStyle w:val="ParaNum"/>
      </w:pPr>
      <w:r>
        <w:t>In conclusion</w:t>
      </w:r>
      <w:r w:rsidR="00BB3688">
        <w:t xml:space="preserve">, we modify </w:t>
      </w:r>
      <w:r>
        <w:t>the</w:t>
      </w:r>
      <w:r w:rsidR="00BB3688">
        <w:t xml:space="preserve"> </w:t>
      </w:r>
      <w:r w:rsidR="00BB3688" w:rsidRPr="00AB59BA">
        <w:rPr>
          <w:i/>
        </w:rPr>
        <w:t>2013 Pakistan Order</w:t>
      </w:r>
      <w:r w:rsidR="00BB3688">
        <w:t xml:space="preserve"> and </w:t>
      </w:r>
      <w:r>
        <w:t>permit</w:t>
      </w:r>
      <w:r w:rsidR="00BB3688">
        <w:t xml:space="preserve"> U.S. carriers to </w:t>
      </w:r>
      <w:r w:rsidR="00FE5244" w:rsidRPr="00FE5244">
        <w:t xml:space="preserve">settle outstanding balances for traffic terminated during the period between March 5, 2013 through March 12, 2013 at the </w:t>
      </w:r>
      <w:r>
        <w:t xml:space="preserve">higher </w:t>
      </w:r>
      <w:r w:rsidR="00FE5244" w:rsidRPr="00FE5244">
        <w:t>rate effective on or around October 1, 2012</w:t>
      </w:r>
      <w:r w:rsidR="00BB3688" w:rsidRPr="008863FF">
        <w:t>.</w:t>
      </w:r>
      <w:r w:rsidR="00017621">
        <w:rPr>
          <w:rStyle w:val="FootnoteReference"/>
        </w:rPr>
        <w:footnoteReference w:id="25"/>
      </w:r>
      <w:r w:rsidR="00017621">
        <w:t xml:space="preserve"> </w:t>
      </w:r>
      <w:r w:rsidR="00BB3688">
        <w:t xml:space="preserve"> </w:t>
      </w:r>
      <w:r w:rsidR="00090001">
        <w:t xml:space="preserve"> </w:t>
      </w:r>
      <w:r w:rsidR="00D5323B">
        <w:t>Furthermore,</w:t>
      </w:r>
      <w:r w:rsidR="00022644">
        <w:t xml:space="preserve"> i</w:t>
      </w:r>
      <w:r w:rsidR="003C7865">
        <w:t xml:space="preserve">n light of the </w:t>
      </w:r>
      <w:r w:rsidR="00872DCB">
        <w:t xml:space="preserve">cessation of the anticompetitive conduct by the Pakistani LDI carriers and the offering of </w:t>
      </w:r>
      <w:r w:rsidR="003C7865">
        <w:t xml:space="preserve">lower </w:t>
      </w:r>
      <w:r w:rsidR="00872DCB">
        <w:t xml:space="preserve">termination </w:t>
      </w:r>
      <w:r w:rsidR="003C7865">
        <w:t xml:space="preserve">rates </w:t>
      </w:r>
      <w:r w:rsidR="00872DCB">
        <w:t xml:space="preserve">to </w:t>
      </w:r>
      <w:r w:rsidR="003C7865">
        <w:t xml:space="preserve">U.S. carriers, </w:t>
      </w:r>
      <w:r w:rsidR="00872DCB">
        <w:t>we remove</w:t>
      </w:r>
      <w:r w:rsidR="00872DCB" w:rsidRPr="00872DCB">
        <w:t xml:space="preserve"> </w:t>
      </w:r>
      <w:r w:rsidR="00872DCB">
        <w:t>on a going</w:t>
      </w:r>
      <w:r w:rsidR="00DA3112">
        <w:t>-</w:t>
      </w:r>
      <w:r w:rsidR="00872DCB">
        <w:t>forward basis the</w:t>
      </w:r>
      <w:r w:rsidR="00872DCB" w:rsidRPr="00872DCB">
        <w:t xml:space="preserve"> prohibition on U.S. facilities-based carriers paying </w:t>
      </w:r>
      <w:r w:rsidR="00872DCB">
        <w:t>a</w:t>
      </w:r>
      <w:r w:rsidR="00872DCB" w:rsidRPr="00872DCB">
        <w:t xml:space="preserve"> </w:t>
      </w:r>
      <w:r w:rsidR="00872DCB">
        <w:t xml:space="preserve">higher rate than the negotiated rates in effect prior to </w:t>
      </w:r>
      <w:r w:rsidR="00872DCB" w:rsidRPr="00872DCB">
        <w:t xml:space="preserve">October 1, 2012. </w:t>
      </w:r>
      <w:r w:rsidR="00872DCB">
        <w:t>W</w:t>
      </w:r>
      <w:r w:rsidR="00017621">
        <w:t xml:space="preserve">e </w:t>
      </w:r>
      <w:r w:rsidR="00872DCB">
        <w:t xml:space="preserve">also </w:t>
      </w:r>
      <w:r w:rsidR="003C7865">
        <w:t>find unnecessary</w:t>
      </w:r>
      <w:r w:rsidR="00017621">
        <w:t xml:space="preserve"> </w:t>
      </w:r>
      <w:r w:rsidR="003C7865">
        <w:t xml:space="preserve">and therefore </w:t>
      </w:r>
      <w:r w:rsidR="00D7186D" w:rsidRPr="00D7186D">
        <w:t>remove the requirement that facilities-based carriers subject to Commission jurisdiction and having a correspondent agreement with the relevant Pakistani LDI carriers</w:t>
      </w:r>
      <w:r w:rsidR="00BB3688">
        <w:t xml:space="preserve"> immediately </w:t>
      </w:r>
      <w:r w:rsidR="00D7186D" w:rsidRPr="00D7186D">
        <w:t>inform the International Bureau of any settlement or termination rate increase</w:t>
      </w:r>
      <w:r w:rsidR="004D649B">
        <w:t>s</w:t>
      </w:r>
      <w:r w:rsidR="00D7186D" w:rsidRPr="00D7186D">
        <w:t xml:space="preserve"> imposed effective on or around October 1, 2012.</w:t>
      </w:r>
      <w:r w:rsidR="00D7186D" w:rsidRPr="00D7186D">
        <w:rPr>
          <w:sz w:val="20"/>
          <w:vertAlign w:val="superscript"/>
        </w:rPr>
        <w:footnoteReference w:id="26"/>
      </w:r>
      <w:r w:rsidR="00BB3688">
        <w:t xml:space="preserve"> </w:t>
      </w:r>
      <w:r w:rsidR="00D7186D" w:rsidRPr="00D7186D">
        <w:t xml:space="preserve"> </w:t>
      </w:r>
      <w:r w:rsidR="00E90246">
        <w:t xml:space="preserve">Finally, </w:t>
      </w:r>
      <w:r w:rsidR="003C7865">
        <w:t xml:space="preserve">for the same reasons </w:t>
      </w:r>
      <w:r w:rsidR="005E3EE5">
        <w:t xml:space="preserve">we remove the requirement that </w:t>
      </w:r>
      <w:r w:rsidR="00E90246">
        <w:t xml:space="preserve">U.S. carriers notify the </w:t>
      </w:r>
      <w:r w:rsidR="00E4359F">
        <w:t xml:space="preserve">Bureau </w:t>
      </w:r>
      <w:r w:rsidR="00E90246">
        <w:t>immediately if they are informed by any or all of the Pakistani LDI carriers that they are no longer required to pay any settlement rate or termination rate above those in effect on or around October 1, 2012.</w:t>
      </w:r>
      <w:r w:rsidR="00E90246">
        <w:rPr>
          <w:rStyle w:val="FootnoteReference"/>
        </w:rPr>
        <w:footnoteReference w:id="27"/>
      </w:r>
      <w:r w:rsidR="005923B5">
        <w:t xml:space="preserve"> </w:t>
      </w:r>
      <w:r w:rsidR="004D649B">
        <w:t xml:space="preserve"> </w:t>
      </w:r>
      <w:r w:rsidR="00D5323B">
        <w:t xml:space="preserve">However, if </w:t>
      </w:r>
      <w:r w:rsidR="00A76A9A">
        <w:t>any or all of the Pakistani LDI carriers resume</w:t>
      </w:r>
      <w:r w:rsidR="00D5323B">
        <w:t xml:space="preserve"> anticompetitive behavior on the route, we expect U.S. carriers to notify us </w:t>
      </w:r>
      <w:r w:rsidR="00A76A9A">
        <w:t xml:space="preserve">immediately </w:t>
      </w:r>
      <w:r w:rsidR="00D5323B">
        <w:t xml:space="preserve">so that we may </w:t>
      </w:r>
      <w:r w:rsidR="00A76A9A">
        <w:t>take appropriate action.</w:t>
      </w:r>
    </w:p>
    <w:p w14:paraId="15F8FCE2" w14:textId="77777777" w:rsidR="000E0C4E" w:rsidRPr="009B470C" w:rsidRDefault="000E0C4E">
      <w:pPr>
        <w:pStyle w:val="Heading1"/>
        <w:rPr>
          <w:szCs w:val="22"/>
        </w:rPr>
      </w:pPr>
      <w:r w:rsidRPr="009B470C">
        <w:rPr>
          <w:szCs w:val="22"/>
        </w:rPr>
        <w:t>ORDERING CLAUSES</w:t>
      </w:r>
    </w:p>
    <w:p w14:paraId="612E8B08" w14:textId="3BD9F94B" w:rsidR="00435333" w:rsidRDefault="00435333" w:rsidP="00435333">
      <w:pPr>
        <w:pStyle w:val="ParaNum"/>
      </w:pPr>
      <w:r w:rsidRPr="00435333">
        <w:t xml:space="preserve">IT IS ORDERED that the requirement of the </w:t>
      </w:r>
      <w:r w:rsidRPr="00435333">
        <w:rPr>
          <w:i/>
        </w:rPr>
        <w:t>2013 Pakistan Order</w:t>
      </w:r>
      <w:r w:rsidRPr="00435333">
        <w:t xml:space="preserve"> that facilities-based carriers subject to Commission jurisdiction and having a correspondent agreement </w:t>
      </w:r>
      <w:r>
        <w:t xml:space="preserve">for direct termination of U.S. traffic on the U.S.-Pakistan route with any or all of the Pakistani LDI carriers named in the </w:t>
      </w:r>
      <w:r w:rsidR="000D6C60" w:rsidRPr="000913B2">
        <w:rPr>
          <w:i/>
        </w:rPr>
        <w:t>O</w:t>
      </w:r>
      <w:r w:rsidRPr="000913B2">
        <w:rPr>
          <w:i/>
        </w:rPr>
        <w:t>rder</w:t>
      </w:r>
      <w:r>
        <w:t xml:space="preserve"> shall not pay the increment above the negotiated </w:t>
      </w:r>
      <w:r w:rsidRPr="00435333">
        <w:t xml:space="preserve">settlement or termination rate </w:t>
      </w:r>
      <w:r>
        <w:t>in effect</w:t>
      </w:r>
      <w:r w:rsidRPr="00435333">
        <w:t xml:space="preserve"> </w:t>
      </w:r>
      <w:r>
        <w:t>prior to</w:t>
      </w:r>
      <w:r w:rsidRPr="00435333">
        <w:t xml:space="preserve"> October 1, 2012 is hereby REMOVED</w:t>
      </w:r>
      <w:r w:rsidR="00DA3112">
        <w:t xml:space="preserve"> </w:t>
      </w:r>
      <w:r w:rsidR="00DA188A">
        <w:t>for all traffic terminated in Pakistan after the effective date of this Second Memorandum Opinion and Order</w:t>
      </w:r>
      <w:r w:rsidRPr="00435333">
        <w:t>.</w:t>
      </w:r>
    </w:p>
    <w:p w14:paraId="43344D12" w14:textId="44C4201E" w:rsidR="003C7865" w:rsidRDefault="000E0C4E" w:rsidP="005047D6">
      <w:pPr>
        <w:pStyle w:val="ParaNum"/>
        <w:widowControl/>
      </w:pPr>
      <w:r w:rsidRPr="009B470C">
        <w:t xml:space="preserve">IT IS </w:t>
      </w:r>
      <w:r w:rsidR="00435333">
        <w:t xml:space="preserve">FUTHER </w:t>
      </w:r>
      <w:r w:rsidRPr="009B470C">
        <w:t xml:space="preserve">ORDERED that the </w:t>
      </w:r>
      <w:r w:rsidR="007B2B4F">
        <w:t xml:space="preserve">requirement of the </w:t>
      </w:r>
      <w:r w:rsidR="007B2B4F" w:rsidRPr="003D0B42">
        <w:rPr>
          <w:i/>
        </w:rPr>
        <w:t>2013 Pakistan Order</w:t>
      </w:r>
      <w:r w:rsidR="007B2B4F">
        <w:t xml:space="preserve"> </w:t>
      </w:r>
      <w:r w:rsidR="003C7865">
        <w:t xml:space="preserve">that </w:t>
      </w:r>
      <w:r w:rsidR="003C7865" w:rsidRPr="003C7865">
        <w:t>facilities-based carriers subject to Commission jurisdiction and having a correspondent agreement with the relevant Pakistani LDI carriers immediately inform the International Bureau of any settlement or termination rate increase imposed effective on or around October 1, 2012</w:t>
      </w:r>
      <w:r w:rsidR="003C7865">
        <w:t xml:space="preserve"> is</w:t>
      </w:r>
      <w:r w:rsidR="003C7865" w:rsidRPr="003C7865">
        <w:t xml:space="preserve"> </w:t>
      </w:r>
      <w:r w:rsidR="007B2B4F">
        <w:t xml:space="preserve">hereby </w:t>
      </w:r>
      <w:r w:rsidR="00947B40">
        <w:t>RE</w:t>
      </w:r>
      <w:r w:rsidR="004E2C7D">
        <w:t>MOVED</w:t>
      </w:r>
      <w:r w:rsidR="003C7865">
        <w:t>.</w:t>
      </w:r>
    </w:p>
    <w:p w14:paraId="0C0A2C31" w14:textId="1967186C" w:rsidR="000E0C4E" w:rsidRPr="009B470C" w:rsidRDefault="003C7865" w:rsidP="00872DCB">
      <w:pPr>
        <w:pStyle w:val="ParaNum"/>
        <w:widowControl/>
      </w:pPr>
      <w:r>
        <w:t xml:space="preserve">IT IS </w:t>
      </w:r>
      <w:r w:rsidR="00460DA4">
        <w:t xml:space="preserve">FURTHER </w:t>
      </w:r>
      <w:r>
        <w:t xml:space="preserve">ORDERED that the requirement of the </w:t>
      </w:r>
      <w:r>
        <w:rPr>
          <w:i/>
        </w:rPr>
        <w:t>2013 Pakistan Order</w:t>
      </w:r>
      <w:r>
        <w:t xml:space="preserve"> that </w:t>
      </w:r>
      <w:r w:rsidR="00460DA4" w:rsidRPr="00460DA4">
        <w:t>U.S. carriers notify the Bureau immediately if they are informed by any or all of the Pakistani LDI carriers that they are no longer required to pay any settlement rate or termination rate above those in effect on or around October 1, 2012</w:t>
      </w:r>
      <w:r w:rsidR="00460DA4">
        <w:t xml:space="preserve"> is hereby REMOVED</w:t>
      </w:r>
      <w:r w:rsidR="00F13583">
        <w:t>.</w:t>
      </w:r>
    </w:p>
    <w:p w14:paraId="606731EC" w14:textId="09F680E2" w:rsidR="00FD0065" w:rsidRDefault="000E0C4E" w:rsidP="00880840">
      <w:pPr>
        <w:pStyle w:val="ParaNum"/>
        <w:widowControl/>
      </w:pPr>
      <w:r w:rsidRPr="009B470C">
        <w:t xml:space="preserve">IT IS FURTHER </w:t>
      </w:r>
      <w:r w:rsidR="00463E1C">
        <w:t xml:space="preserve">ORDERED </w:t>
      </w:r>
      <w:r w:rsidRPr="009B470C">
        <w:t>that</w:t>
      </w:r>
      <w:r w:rsidR="00463E1C">
        <w:t xml:space="preserve"> facilities-based carriers subject to Commission jurisdiction </w:t>
      </w:r>
      <w:r w:rsidR="00947B40">
        <w:t xml:space="preserve">and </w:t>
      </w:r>
      <w:r w:rsidR="00463E1C">
        <w:t xml:space="preserve">having a correspondent agreement for direct termination of U.S. traffic on the U.S.-Pakistan route with any or all of the </w:t>
      </w:r>
      <w:r w:rsidR="00347C79">
        <w:t>Pakistan</w:t>
      </w:r>
      <w:r w:rsidR="0063484B">
        <w:t>i</w:t>
      </w:r>
      <w:r w:rsidR="00347C79">
        <w:t xml:space="preserve"> </w:t>
      </w:r>
      <w:r w:rsidR="00463E1C">
        <w:t xml:space="preserve">LDI carriers named in the </w:t>
      </w:r>
      <w:r w:rsidR="00463E1C" w:rsidRPr="00460DA4">
        <w:rPr>
          <w:i/>
        </w:rPr>
        <w:t>2013 Pakistan Order</w:t>
      </w:r>
      <w:r w:rsidR="00463E1C">
        <w:t xml:space="preserve"> shall be permitted to settle </w:t>
      </w:r>
      <w:r w:rsidR="007F04CC">
        <w:t xml:space="preserve">outstanding balances for </w:t>
      </w:r>
      <w:r w:rsidR="00303ABC">
        <w:t>traffic terminated during the period between March 5, 2013 through March</w:t>
      </w:r>
      <w:r w:rsidR="0044753B">
        <w:t xml:space="preserve"> </w:t>
      </w:r>
      <w:r w:rsidR="00303ABC">
        <w:t>12, 2013</w:t>
      </w:r>
      <w:r w:rsidR="00463E1C">
        <w:t xml:space="preserve"> at the rate </w:t>
      </w:r>
      <w:r w:rsidR="000D6C60">
        <w:t xml:space="preserve">imposed </w:t>
      </w:r>
      <w:r w:rsidR="00463E1C">
        <w:t>effective on or around October 1, 2012.</w:t>
      </w:r>
    </w:p>
    <w:p w14:paraId="46F6280E" w14:textId="537F6274" w:rsidR="00106EEC" w:rsidRDefault="00A449B1" w:rsidP="00757982">
      <w:pPr>
        <w:pStyle w:val="ParaNum"/>
        <w:widowControl/>
      </w:pPr>
      <w:r w:rsidRPr="009B470C">
        <w:t xml:space="preserve">This </w:t>
      </w:r>
      <w:r w:rsidR="000913B2">
        <w:t xml:space="preserve">Second Memorandum Opinion and </w:t>
      </w:r>
      <w:r w:rsidRPr="009B470C">
        <w:t xml:space="preserve">Order is issued pursuant to </w:t>
      </w:r>
      <w:r w:rsidR="000D6C60">
        <w:t>S</w:t>
      </w:r>
      <w:r w:rsidRPr="009B470C">
        <w:t xml:space="preserve">ections 1, 2, 4(i)-(j), 5, 201-205, 211, 214, 303(r), and 309 of the Communications Act of 1934, as amended, </w:t>
      </w:r>
      <w:hyperlink r:id="rId8" w:history="1">
        <w:r w:rsidRPr="009B470C">
          <w:t>47 U.S.C. §§ 151</w:t>
        </w:r>
      </w:hyperlink>
      <w:r w:rsidRPr="009B470C">
        <w:t xml:space="preserve">, </w:t>
      </w:r>
      <w:hyperlink r:id="rId9" w:history="1">
        <w:r w:rsidRPr="009B470C">
          <w:t>152</w:t>
        </w:r>
      </w:hyperlink>
      <w:r w:rsidRPr="009B470C">
        <w:t xml:space="preserve">, </w:t>
      </w:r>
      <w:hyperlink r:id="rId10" w:history="1">
        <w:r w:rsidRPr="009B470C">
          <w:t>154(i)</w:t>
        </w:r>
      </w:hyperlink>
      <w:r w:rsidRPr="009B470C">
        <w:t>-</w:t>
      </w:r>
      <w:hyperlink r:id="rId11" w:history="1">
        <w:r w:rsidRPr="009B470C">
          <w:t>(j)</w:t>
        </w:r>
      </w:hyperlink>
      <w:r w:rsidRPr="009B470C">
        <w:t xml:space="preserve">, </w:t>
      </w:r>
      <w:hyperlink r:id="rId12" w:history="1">
        <w:r w:rsidRPr="009B470C">
          <w:t>155</w:t>
        </w:r>
      </w:hyperlink>
      <w:r w:rsidRPr="009B470C">
        <w:t xml:space="preserve">, </w:t>
      </w:r>
      <w:hyperlink r:id="rId13" w:history="1">
        <w:r w:rsidRPr="009B470C">
          <w:t>201</w:t>
        </w:r>
      </w:hyperlink>
      <w:r w:rsidRPr="009B470C">
        <w:t>-</w:t>
      </w:r>
      <w:hyperlink r:id="rId14" w:history="1">
        <w:r w:rsidRPr="009B470C">
          <w:t>205</w:t>
        </w:r>
      </w:hyperlink>
      <w:r w:rsidRPr="009B470C">
        <w:t xml:space="preserve">, </w:t>
      </w:r>
      <w:hyperlink r:id="rId15" w:history="1">
        <w:r w:rsidRPr="009B470C">
          <w:t>211</w:t>
        </w:r>
      </w:hyperlink>
      <w:r w:rsidRPr="009B470C">
        <w:t xml:space="preserve">, </w:t>
      </w:r>
      <w:hyperlink r:id="rId16" w:history="1">
        <w:r w:rsidRPr="009B470C">
          <w:t>214</w:t>
        </w:r>
      </w:hyperlink>
      <w:r w:rsidRPr="009B470C">
        <w:t xml:space="preserve">, </w:t>
      </w:r>
      <w:hyperlink r:id="rId17" w:history="1">
        <w:r w:rsidRPr="009B470C">
          <w:t>303(r)</w:t>
        </w:r>
      </w:hyperlink>
      <w:r w:rsidRPr="009B470C">
        <w:t xml:space="preserve">, </w:t>
      </w:r>
      <w:hyperlink r:id="rId18" w:history="1">
        <w:r w:rsidRPr="009B470C">
          <w:t>309</w:t>
        </w:r>
      </w:hyperlink>
      <w:r w:rsidR="000E56EC">
        <w:t>,</w:t>
      </w:r>
      <w:r w:rsidRPr="009B470C">
        <w:t xml:space="preserve"> and </w:t>
      </w:r>
      <w:r w:rsidR="000D6C60">
        <w:t>S</w:t>
      </w:r>
      <w:r w:rsidRPr="009B470C">
        <w:t xml:space="preserve">ections 43.51, 63.14, </w:t>
      </w:r>
      <w:r>
        <w:t xml:space="preserve">and </w:t>
      </w:r>
      <w:r w:rsidRPr="009B470C">
        <w:t>6</w:t>
      </w:r>
      <w:r>
        <w:t>3</w:t>
      </w:r>
      <w:r w:rsidRPr="009B470C">
        <w:t>.</w:t>
      </w:r>
      <w:r>
        <w:t>22(g)</w:t>
      </w:r>
      <w:r w:rsidRPr="009B470C">
        <w:t xml:space="preserve"> of the Commission</w:t>
      </w:r>
      <w:r>
        <w:t>’</w:t>
      </w:r>
      <w:r w:rsidRPr="009B470C">
        <w:t xml:space="preserve">s rules, </w:t>
      </w:r>
      <w:hyperlink r:id="rId19" w:history="1">
        <w:r w:rsidRPr="009B470C">
          <w:t xml:space="preserve">47 CFR §§ </w:t>
        </w:r>
      </w:hyperlink>
      <w:hyperlink r:id="rId20" w:history="1">
        <w:r w:rsidRPr="009B470C">
          <w:t>43.51</w:t>
        </w:r>
      </w:hyperlink>
      <w:r w:rsidRPr="009B470C">
        <w:t xml:space="preserve">, </w:t>
      </w:r>
      <w:hyperlink r:id="rId21" w:history="1">
        <w:r w:rsidRPr="009B470C">
          <w:t>63.14</w:t>
        </w:r>
      </w:hyperlink>
      <w:r w:rsidRPr="009B470C">
        <w:t xml:space="preserve">, </w:t>
      </w:r>
      <w:r>
        <w:t>and 63.22(g)</w:t>
      </w:r>
      <w:r w:rsidRPr="009B470C">
        <w:t>.</w:t>
      </w:r>
    </w:p>
    <w:p w14:paraId="6F810D7A" w14:textId="34E3BF1B" w:rsidR="002A0EC6" w:rsidRPr="00F54823" w:rsidRDefault="00B2375A" w:rsidP="00AB4D81">
      <w:pPr>
        <w:pStyle w:val="ParaNum"/>
      </w:pPr>
      <w:r w:rsidRPr="00106EEC">
        <w:rPr>
          <w:rFonts w:eastAsiaTheme="minorEastAsia"/>
        </w:rPr>
        <w:t xml:space="preserve">This </w:t>
      </w:r>
      <w:r w:rsidR="000913B2">
        <w:rPr>
          <w:rFonts w:eastAsiaTheme="minorEastAsia"/>
        </w:rPr>
        <w:t xml:space="preserve">Second Memorandum Opinion and </w:t>
      </w:r>
      <w:r w:rsidR="002A0EC6" w:rsidRPr="00106EEC">
        <w:rPr>
          <w:rFonts w:eastAsiaTheme="minorEastAsia"/>
        </w:rPr>
        <w:t xml:space="preserve">Order is issued on delegated authority under 47 CFR §§ 0.51, 0.261, and </w:t>
      </w:r>
      <w:r w:rsidR="00CE2221" w:rsidRPr="00106EEC">
        <w:rPr>
          <w:rFonts w:eastAsiaTheme="minorEastAsia"/>
        </w:rPr>
        <w:t>IS EFFECTIVE ON RELEASE</w:t>
      </w:r>
      <w:r w:rsidR="002A0EC6" w:rsidRPr="00106EEC">
        <w:rPr>
          <w:rFonts w:eastAsiaTheme="minorEastAsia"/>
        </w:rPr>
        <w:t xml:space="preserve">.  Petitions for reconsideration under </w:t>
      </w:r>
      <w:r w:rsidR="000D6C60">
        <w:rPr>
          <w:rFonts w:eastAsiaTheme="minorEastAsia"/>
        </w:rPr>
        <w:t>S</w:t>
      </w:r>
      <w:r w:rsidR="002A0EC6" w:rsidRPr="00106EEC">
        <w:rPr>
          <w:rFonts w:eastAsiaTheme="minorEastAsia"/>
        </w:rPr>
        <w:t>ection 1.106 of the Commission’s rules, 47 CFR § 1.106, or</w:t>
      </w:r>
      <w:r w:rsidR="000D6C60">
        <w:rPr>
          <w:rFonts w:eastAsiaTheme="minorEastAsia"/>
        </w:rPr>
        <w:t xml:space="preserve"> applications for review under S</w:t>
      </w:r>
      <w:r w:rsidR="002A0EC6" w:rsidRPr="00106EEC">
        <w:rPr>
          <w:rFonts w:eastAsiaTheme="minorEastAsia"/>
        </w:rPr>
        <w:t xml:space="preserve">ection 1.115 of the Commission’s rules, 47 CFR § 1.115, may be filed within 30 days of the date of the release of this </w:t>
      </w:r>
      <w:r w:rsidR="000913B2">
        <w:rPr>
          <w:rFonts w:eastAsiaTheme="minorEastAsia"/>
        </w:rPr>
        <w:t xml:space="preserve">Second Memorandum Opinion and </w:t>
      </w:r>
      <w:r w:rsidR="002A0EC6" w:rsidRPr="00106EEC">
        <w:rPr>
          <w:rFonts w:eastAsiaTheme="minorEastAsia"/>
        </w:rPr>
        <w:t>Order.</w:t>
      </w:r>
    </w:p>
    <w:p w14:paraId="39555F38" w14:textId="77777777" w:rsidR="00F54823" w:rsidRDefault="00F54823" w:rsidP="00F54823">
      <w:pPr>
        <w:pStyle w:val="ParaNum"/>
        <w:numPr>
          <w:ilvl w:val="0"/>
          <w:numId w:val="0"/>
        </w:numPr>
        <w:ind w:left="720"/>
      </w:pPr>
    </w:p>
    <w:p w14:paraId="44EEFDC7" w14:textId="77777777" w:rsidR="000E0C4E" w:rsidRPr="009B470C" w:rsidRDefault="000E0C4E" w:rsidP="00AF1ABD">
      <w:pPr>
        <w:pStyle w:val="ParaNum"/>
        <w:numPr>
          <w:ilvl w:val="0"/>
          <w:numId w:val="0"/>
        </w:numPr>
        <w:ind w:left="720"/>
      </w:pPr>
      <w:r w:rsidRPr="009B470C">
        <w:tab/>
      </w:r>
      <w:r w:rsidRPr="009B470C">
        <w:tab/>
      </w:r>
      <w:r w:rsidRPr="009B470C">
        <w:tab/>
      </w:r>
      <w:r w:rsidRPr="009B470C">
        <w:tab/>
      </w:r>
      <w:r w:rsidRPr="009B470C">
        <w:tab/>
        <w:t>FEDERAL COMMUNICATIONS COMMISSION</w:t>
      </w:r>
    </w:p>
    <w:p w14:paraId="20D8DE6D" w14:textId="77777777" w:rsidR="000E0C4E" w:rsidRDefault="000E0C4E" w:rsidP="002F054B">
      <w:pPr>
        <w:keepNext/>
        <w:rPr>
          <w:szCs w:val="22"/>
        </w:rPr>
      </w:pPr>
    </w:p>
    <w:p w14:paraId="57469D49" w14:textId="77777777" w:rsidR="000E56EC" w:rsidRDefault="000E56EC" w:rsidP="002F054B">
      <w:pPr>
        <w:keepNext/>
        <w:rPr>
          <w:szCs w:val="22"/>
        </w:rPr>
      </w:pPr>
    </w:p>
    <w:p w14:paraId="406076BE" w14:textId="77777777" w:rsidR="009A3606" w:rsidRPr="009B470C" w:rsidRDefault="009A3606" w:rsidP="002F054B">
      <w:pPr>
        <w:keepNext/>
        <w:rPr>
          <w:szCs w:val="22"/>
        </w:rPr>
      </w:pPr>
    </w:p>
    <w:p w14:paraId="3AD9B2F8" w14:textId="77777777" w:rsidR="000E0C4E" w:rsidRPr="009B470C" w:rsidRDefault="000E0C4E" w:rsidP="002F054B">
      <w:pPr>
        <w:keepNext/>
        <w:rPr>
          <w:szCs w:val="22"/>
        </w:rPr>
      </w:pPr>
      <w:r w:rsidRPr="009B470C">
        <w:rPr>
          <w:szCs w:val="22"/>
        </w:rPr>
        <w:tab/>
      </w:r>
      <w:r w:rsidRPr="009B470C">
        <w:rPr>
          <w:szCs w:val="22"/>
        </w:rPr>
        <w:tab/>
      </w:r>
      <w:r w:rsidRPr="009B470C">
        <w:rPr>
          <w:szCs w:val="22"/>
        </w:rPr>
        <w:tab/>
      </w:r>
      <w:r w:rsidRPr="009B470C">
        <w:rPr>
          <w:szCs w:val="22"/>
        </w:rPr>
        <w:tab/>
      </w:r>
      <w:r w:rsidRPr="009B470C">
        <w:rPr>
          <w:szCs w:val="22"/>
        </w:rPr>
        <w:tab/>
      </w:r>
      <w:r w:rsidRPr="009B470C">
        <w:rPr>
          <w:szCs w:val="22"/>
        </w:rPr>
        <w:tab/>
        <w:t>Mindel De La Torre</w:t>
      </w:r>
    </w:p>
    <w:p w14:paraId="4CB3B6D9" w14:textId="77777777" w:rsidR="000E0C4E" w:rsidRPr="009B470C" w:rsidRDefault="000E0C4E" w:rsidP="002F054B">
      <w:pPr>
        <w:keepNext/>
        <w:rPr>
          <w:szCs w:val="22"/>
        </w:rPr>
      </w:pPr>
      <w:r w:rsidRPr="009B470C">
        <w:rPr>
          <w:szCs w:val="22"/>
        </w:rPr>
        <w:tab/>
      </w:r>
      <w:r w:rsidRPr="009B470C">
        <w:rPr>
          <w:szCs w:val="22"/>
        </w:rPr>
        <w:tab/>
      </w:r>
      <w:r w:rsidRPr="009B470C">
        <w:rPr>
          <w:szCs w:val="22"/>
        </w:rPr>
        <w:tab/>
      </w:r>
      <w:r w:rsidRPr="009B470C">
        <w:rPr>
          <w:szCs w:val="22"/>
        </w:rPr>
        <w:tab/>
      </w:r>
      <w:r w:rsidRPr="009B470C">
        <w:rPr>
          <w:szCs w:val="22"/>
        </w:rPr>
        <w:tab/>
      </w:r>
      <w:r w:rsidRPr="009B470C">
        <w:rPr>
          <w:szCs w:val="22"/>
        </w:rPr>
        <w:tab/>
        <w:t>Chief</w:t>
      </w:r>
      <w:r w:rsidRPr="009B470C">
        <w:rPr>
          <w:szCs w:val="22"/>
        </w:rPr>
        <w:tab/>
      </w:r>
      <w:r w:rsidRPr="009B470C">
        <w:rPr>
          <w:szCs w:val="22"/>
        </w:rPr>
        <w:tab/>
      </w:r>
      <w:r w:rsidRPr="009B470C">
        <w:rPr>
          <w:szCs w:val="22"/>
        </w:rPr>
        <w:tab/>
      </w:r>
      <w:r w:rsidRPr="009B470C">
        <w:rPr>
          <w:szCs w:val="22"/>
        </w:rPr>
        <w:tab/>
      </w:r>
      <w:r w:rsidRPr="009B470C">
        <w:rPr>
          <w:szCs w:val="22"/>
        </w:rPr>
        <w:tab/>
      </w:r>
      <w:r w:rsidRPr="009B470C">
        <w:rPr>
          <w:szCs w:val="22"/>
        </w:rPr>
        <w:tab/>
      </w:r>
      <w:r w:rsidRPr="009B470C">
        <w:rPr>
          <w:szCs w:val="22"/>
        </w:rPr>
        <w:tab/>
      </w:r>
    </w:p>
    <w:p w14:paraId="257A8C1C" w14:textId="77777777" w:rsidR="000E0C4E" w:rsidRPr="009B470C" w:rsidRDefault="000E0C4E" w:rsidP="002F054B">
      <w:pPr>
        <w:keepNext/>
        <w:rPr>
          <w:szCs w:val="22"/>
        </w:rPr>
      </w:pPr>
      <w:r w:rsidRPr="009B470C">
        <w:rPr>
          <w:szCs w:val="22"/>
        </w:rPr>
        <w:tab/>
      </w:r>
      <w:r w:rsidRPr="009B470C">
        <w:rPr>
          <w:szCs w:val="22"/>
        </w:rPr>
        <w:tab/>
      </w:r>
      <w:r w:rsidRPr="009B470C">
        <w:rPr>
          <w:szCs w:val="22"/>
        </w:rPr>
        <w:tab/>
      </w:r>
      <w:r w:rsidRPr="009B470C">
        <w:rPr>
          <w:szCs w:val="22"/>
        </w:rPr>
        <w:tab/>
      </w:r>
      <w:r w:rsidRPr="009B470C">
        <w:rPr>
          <w:szCs w:val="22"/>
        </w:rPr>
        <w:tab/>
      </w:r>
      <w:r w:rsidRPr="009B470C">
        <w:rPr>
          <w:szCs w:val="22"/>
        </w:rPr>
        <w:tab/>
        <w:t>International Bureau</w:t>
      </w:r>
      <w:r w:rsidRPr="009B470C">
        <w:rPr>
          <w:szCs w:val="22"/>
        </w:rPr>
        <w:tab/>
      </w:r>
      <w:r w:rsidRPr="009B470C">
        <w:rPr>
          <w:szCs w:val="22"/>
        </w:rPr>
        <w:tab/>
      </w:r>
      <w:r w:rsidRPr="009B470C">
        <w:rPr>
          <w:szCs w:val="22"/>
        </w:rPr>
        <w:tab/>
      </w:r>
      <w:r w:rsidRPr="009B470C">
        <w:rPr>
          <w:szCs w:val="22"/>
        </w:rPr>
        <w:tab/>
      </w:r>
      <w:r w:rsidRPr="009B470C">
        <w:rPr>
          <w:szCs w:val="22"/>
        </w:rPr>
        <w:tab/>
      </w:r>
    </w:p>
    <w:p w14:paraId="4E08A166" w14:textId="77777777" w:rsidR="000E0C4E" w:rsidRPr="00C91567" w:rsidRDefault="000E0C4E" w:rsidP="000D5B66">
      <w:pPr>
        <w:pStyle w:val="ParaNum"/>
        <w:numPr>
          <w:ilvl w:val="0"/>
          <w:numId w:val="0"/>
        </w:numPr>
      </w:pPr>
    </w:p>
    <w:sectPr w:rsidR="000E0C4E" w:rsidRPr="00C91567" w:rsidSect="005878EE">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7AAC5" w14:textId="77777777" w:rsidR="0003469E" w:rsidRDefault="0003469E">
      <w:r>
        <w:separator/>
      </w:r>
    </w:p>
  </w:endnote>
  <w:endnote w:type="continuationSeparator" w:id="0">
    <w:p w14:paraId="5803DEA6" w14:textId="77777777" w:rsidR="0003469E" w:rsidRDefault="0003469E">
      <w:r>
        <w:continuationSeparator/>
      </w:r>
    </w:p>
  </w:endnote>
  <w:endnote w:type="continuationNotice" w:id="1">
    <w:p w14:paraId="2B352763" w14:textId="77777777" w:rsidR="0003469E" w:rsidRDefault="00034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07A68" w14:textId="77777777" w:rsidR="00A95786" w:rsidRDefault="00A95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BCB56" w14:textId="77777777" w:rsidR="000E0C4E" w:rsidRDefault="000E0C4E" w:rsidP="004440DE">
    <w:pPr>
      <w:pStyle w:val="Footer"/>
      <w:jc w:val="center"/>
    </w:pPr>
    <w:r>
      <w:rPr>
        <w:rStyle w:val="PageNumber"/>
      </w:rPr>
      <w:fldChar w:fldCharType="begin"/>
    </w:r>
    <w:r>
      <w:rPr>
        <w:rStyle w:val="PageNumber"/>
      </w:rPr>
      <w:instrText xml:space="preserve"> PAGE </w:instrText>
    </w:r>
    <w:r>
      <w:rPr>
        <w:rStyle w:val="PageNumber"/>
      </w:rPr>
      <w:fldChar w:fldCharType="separate"/>
    </w:r>
    <w:r w:rsidR="00E747C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A92BB" w14:textId="77777777" w:rsidR="00A95786" w:rsidRDefault="00A95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FF165" w14:textId="77777777" w:rsidR="0003469E" w:rsidRDefault="0003469E">
      <w:pPr>
        <w:rPr>
          <w:sz w:val="20"/>
        </w:rPr>
      </w:pPr>
      <w:r>
        <w:rPr>
          <w:sz w:val="20"/>
        </w:rPr>
        <w:separator/>
      </w:r>
    </w:p>
  </w:footnote>
  <w:footnote w:type="continuationSeparator" w:id="0">
    <w:p w14:paraId="54558F6A" w14:textId="77777777" w:rsidR="0003469E" w:rsidRDefault="0003469E">
      <w:pPr>
        <w:rPr>
          <w:sz w:val="20"/>
        </w:rPr>
      </w:pPr>
      <w:r>
        <w:rPr>
          <w:sz w:val="20"/>
        </w:rPr>
        <w:separator/>
      </w:r>
    </w:p>
    <w:p w14:paraId="716BA754" w14:textId="77777777" w:rsidR="0003469E" w:rsidRDefault="0003469E">
      <w:pPr>
        <w:rPr>
          <w:sz w:val="20"/>
        </w:rPr>
      </w:pPr>
      <w:r>
        <w:rPr>
          <w:sz w:val="20"/>
        </w:rPr>
        <w:t>(...continued from previous page)</w:t>
      </w:r>
    </w:p>
  </w:footnote>
  <w:footnote w:type="continuationNotice" w:id="1">
    <w:p w14:paraId="5CCEAC86" w14:textId="77777777" w:rsidR="0003469E" w:rsidRDefault="0003469E">
      <w:pPr>
        <w:jc w:val="right"/>
        <w:rPr>
          <w:sz w:val="20"/>
        </w:rPr>
      </w:pPr>
      <w:r>
        <w:rPr>
          <w:sz w:val="20"/>
        </w:rPr>
        <w:t>(continued....)</w:t>
      </w:r>
    </w:p>
  </w:footnote>
  <w:footnote w:id="2">
    <w:p w14:paraId="3C752827" w14:textId="30AE9701" w:rsidR="000472B4" w:rsidRDefault="000472B4" w:rsidP="00B90897">
      <w:pPr>
        <w:pStyle w:val="FootnoteText"/>
      </w:pPr>
      <w:r>
        <w:rPr>
          <w:rStyle w:val="FootnoteReference"/>
        </w:rPr>
        <w:footnoteRef/>
      </w:r>
      <w:r>
        <w:t xml:space="preserve"> </w:t>
      </w:r>
      <w:r w:rsidRPr="007E0E01">
        <w:rPr>
          <w:i/>
        </w:rPr>
        <w:t>Petition for Protection From Anticompetitive Behavior and Stop Settlement Payment Order on the U.S.-Pakistan Route</w:t>
      </w:r>
      <w:r>
        <w:t>, Memorandum Opinion and Order, 28 FCC Rcd 2127 (IB 2013) (</w:t>
      </w:r>
      <w:r w:rsidRPr="007E0E01">
        <w:rPr>
          <w:i/>
        </w:rPr>
        <w:t>2013 Pakistan Order</w:t>
      </w:r>
      <w:r w:rsidR="000913B2">
        <w:rPr>
          <w:i/>
        </w:rPr>
        <w:t xml:space="preserve"> </w:t>
      </w:r>
      <w:r w:rsidR="000913B2">
        <w:t xml:space="preserve">or </w:t>
      </w:r>
      <w:r w:rsidR="000913B2">
        <w:rPr>
          <w:i/>
        </w:rPr>
        <w:t>Order</w:t>
      </w:r>
      <w:r>
        <w:t>).</w:t>
      </w:r>
    </w:p>
  </w:footnote>
  <w:footnote w:id="3">
    <w:p w14:paraId="1CF476CA" w14:textId="2A478107" w:rsidR="00671A5F" w:rsidRDefault="00671A5F" w:rsidP="00671A5F">
      <w:pPr>
        <w:autoSpaceDE w:val="0"/>
        <w:autoSpaceDN w:val="0"/>
        <w:adjustRightInd w:val="0"/>
        <w:spacing w:after="120"/>
      </w:pPr>
      <w:r w:rsidRPr="00616859">
        <w:rPr>
          <w:rStyle w:val="FootnoteReference"/>
        </w:rPr>
        <w:footnoteRef/>
      </w:r>
      <w:r w:rsidRPr="00616859">
        <w:rPr>
          <w:sz w:val="20"/>
        </w:rPr>
        <w:t xml:space="preserve"> </w:t>
      </w:r>
      <w:r w:rsidRPr="00616859">
        <w:rPr>
          <w:i/>
          <w:sz w:val="20"/>
        </w:rPr>
        <w:t>International Settlements Policy Reform</w:t>
      </w:r>
      <w:r w:rsidRPr="00616859">
        <w:rPr>
          <w:sz w:val="20"/>
        </w:rPr>
        <w:t>, IB Docket Numbers 11-80, 05-254, 09-10, RM-11322, Report and Order, FCC 12-145, 27 FCC Rcd 15521  (2012) (</w:t>
      </w:r>
      <w:r w:rsidRPr="00616859">
        <w:rPr>
          <w:i/>
          <w:sz w:val="20"/>
        </w:rPr>
        <w:t>2012 ISP Reform Order</w:t>
      </w:r>
      <w:r w:rsidRPr="00616859">
        <w:rPr>
          <w:sz w:val="20"/>
        </w:rPr>
        <w:t xml:space="preserve">); </w:t>
      </w:r>
      <w:r w:rsidRPr="00616859">
        <w:rPr>
          <w:i/>
          <w:sz w:val="20"/>
        </w:rPr>
        <w:t>International Settlements Policy Reform: International Settlement Rates</w:t>
      </w:r>
      <w:r w:rsidRPr="00616859">
        <w:rPr>
          <w:sz w:val="20"/>
        </w:rPr>
        <w:t>, IB Docket Nos. 02-234 and 96-21, First Report and Order, 19 FCC Rcd 5709 (2004) (</w:t>
      </w:r>
      <w:r w:rsidRPr="00616859">
        <w:rPr>
          <w:i/>
          <w:sz w:val="20"/>
        </w:rPr>
        <w:t>2004 ISP Reform Order</w:t>
      </w:r>
      <w:r w:rsidRPr="00616859">
        <w:rPr>
          <w:sz w:val="20"/>
        </w:rPr>
        <w:t>).</w:t>
      </w:r>
    </w:p>
  </w:footnote>
  <w:footnote w:id="4">
    <w:p w14:paraId="697DD8BB" w14:textId="7789958A" w:rsidR="00671A5F" w:rsidRDefault="00671A5F" w:rsidP="00671A5F">
      <w:pPr>
        <w:pStyle w:val="FootnoteText"/>
      </w:pPr>
      <w:r w:rsidRPr="00616859">
        <w:rPr>
          <w:rStyle w:val="FootnoteReference"/>
        </w:rPr>
        <w:footnoteRef/>
      </w:r>
      <w:r w:rsidRPr="00616859">
        <w:t xml:space="preserve"> 47 CFR</w:t>
      </w:r>
      <w:r w:rsidRPr="00757982">
        <w:t xml:space="preserve"> § </w:t>
      </w:r>
      <w:r w:rsidR="00FD0065" w:rsidRPr="00757982">
        <w:t>63.22</w:t>
      </w:r>
      <w:r w:rsidR="00B65496" w:rsidRPr="00757982">
        <w:t>(g</w:t>
      </w:r>
      <w:r w:rsidR="00B65496" w:rsidRPr="0044724F">
        <w:t>)</w:t>
      </w:r>
      <w:r w:rsidRPr="0044724F">
        <w:t>;</w:t>
      </w:r>
      <w:r w:rsidRPr="00616859">
        <w:t xml:space="preserve"> </w:t>
      </w:r>
      <w:r w:rsidRPr="00616859">
        <w:rPr>
          <w:i/>
        </w:rPr>
        <w:t>2012 ISP Reform Order</w:t>
      </w:r>
      <w:r w:rsidRPr="00616859">
        <w:t xml:space="preserve">, 27 FCC Rcd at 15532, </w:t>
      </w:r>
      <w:r w:rsidR="00F54823">
        <w:t>para.</w:t>
      </w:r>
      <w:r w:rsidRPr="00616859">
        <w:rPr>
          <w:i/>
        </w:rPr>
        <w:t xml:space="preserve"> </w:t>
      </w:r>
      <w:r w:rsidRPr="00616859">
        <w:t xml:space="preserve">22. </w:t>
      </w:r>
    </w:p>
  </w:footnote>
  <w:footnote w:id="5">
    <w:p w14:paraId="1BF0645D" w14:textId="22F5837A" w:rsidR="00671A5F" w:rsidRDefault="00671A5F" w:rsidP="00671A5F">
      <w:pPr>
        <w:pStyle w:val="FootnoteText"/>
      </w:pPr>
      <w:r w:rsidRPr="00616859">
        <w:rPr>
          <w:rStyle w:val="FootnoteReference"/>
        </w:rPr>
        <w:footnoteRef/>
      </w:r>
      <w:r w:rsidRPr="00616859">
        <w:t xml:space="preserve"> </w:t>
      </w:r>
      <w:r w:rsidRPr="00616859">
        <w:rPr>
          <w:i/>
          <w:iCs/>
        </w:rPr>
        <w:t xml:space="preserve">2004 ISP Reform Order, </w:t>
      </w:r>
      <w:r w:rsidRPr="00616859">
        <w:t xml:space="preserve">19 FCC Rcd at 5729, </w:t>
      </w:r>
      <w:r w:rsidR="00F54823">
        <w:t>para.</w:t>
      </w:r>
      <w:r w:rsidRPr="00616859">
        <w:t xml:space="preserve"> 40.</w:t>
      </w:r>
    </w:p>
  </w:footnote>
  <w:footnote w:id="6">
    <w:p w14:paraId="704702DF" w14:textId="02A4B134" w:rsidR="00671A5F" w:rsidRDefault="00671A5F" w:rsidP="00671A5F">
      <w:pPr>
        <w:pStyle w:val="FootnoteText"/>
      </w:pPr>
      <w:r w:rsidRPr="00616859">
        <w:rPr>
          <w:rStyle w:val="FootnoteReference"/>
        </w:rPr>
        <w:footnoteRef/>
      </w:r>
      <w:r w:rsidRPr="00616859">
        <w:t xml:space="preserve"> </w:t>
      </w:r>
      <w:r w:rsidRPr="00616859">
        <w:rPr>
          <w:i/>
        </w:rPr>
        <w:t xml:space="preserve">Id. </w:t>
      </w:r>
      <w:r w:rsidRPr="00616859">
        <w:t xml:space="preserve">at 5731, </w:t>
      </w:r>
      <w:r w:rsidR="00F54823">
        <w:t>para.</w:t>
      </w:r>
      <w:r w:rsidRPr="00616859">
        <w:t xml:space="preserve"> 45.</w:t>
      </w:r>
    </w:p>
  </w:footnote>
  <w:footnote w:id="7">
    <w:p w14:paraId="3B1C339D" w14:textId="3C442A49" w:rsidR="00671A5F" w:rsidRPr="002968CD" w:rsidRDefault="00671A5F" w:rsidP="00671A5F">
      <w:pPr>
        <w:pStyle w:val="FootnoteText"/>
      </w:pPr>
      <w:r>
        <w:rPr>
          <w:rStyle w:val="FootnoteReference"/>
        </w:rPr>
        <w:footnoteRef/>
      </w:r>
      <w:r>
        <w:t xml:space="preserve"> </w:t>
      </w:r>
      <w:r w:rsidR="00987FEA" w:rsidRPr="00872DCB">
        <w:rPr>
          <w:i/>
        </w:rPr>
        <w:t>2013 Pakistan Order</w:t>
      </w:r>
      <w:r w:rsidR="00987FEA" w:rsidRPr="00872DCB">
        <w:t xml:space="preserve"> at </w:t>
      </w:r>
      <w:r w:rsidR="008E2B47" w:rsidRPr="009677D7">
        <w:t>2131-32</w:t>
      </w:r>
      <w:r w:rsidR="00987FEA" w:rsidRPr="009677D7">
        <w:t xml:space="preserve">, </w:t>
      </w:r>
      <w:r w:rsidR="008E2B47" w:rsidRPr="009677D7">
        <w:t>paras. 12-15</w:t>
      </w:r>
      <w:r w:rsidRPr="009677D7">
        <w:t>;</w:t>
      </w:r>
      <w:r>
        <w:t xml:space="preserve"> </w:t>
      </w:r>
      <w:r w:rsidRPr="00880840">
        <w:t>Petition for Protection from Anticompetitive Behavior and Stop Settlement Payment Order on the U.S.-Pakistan Route</w:t>
      </w:r>
      <w:r w:rsidRPr="004A3C07">
        <w:t>, IB Docket No. 12-324 (filed Oct. 3, 2012).</w:t>
      </w:r>
    </w:p>
  </w:footnote>
  <w:footnote w:id="8">
    <w:p w14:paraId="39CC2DEB" w14:textId="66FEC582" w:rsidR="005A461E" w:rsidRPr="005A461E" w:rsidRDefault="005A461E">
      <w:pPr>
        <w:pStyle w:val="FootnoteText"/>
        <w:rPr>
          <w:i/>
        </w:rPr>
      </w:pPr>
      <w:r>
        <w:rPr>
          <w:rStyle w:val="FootnoteReference"/>
        </w:rPr>
        <w:footnoteRef/>
      </w:r>
      <w:r>
        <w:t xml:space="preserve"> </w:t>
      </w:r>
      <w:r w:rsidR="00F54823" w:rsidRPr="007E0E01">
        <w:rPr>
          <w:i/>
        </w:rPr>
        <w:t>2013 Pakistan Order</w:t>
      </w:r>
      <w:r w:rsidR="00F54823">
        <w:t>, 27 FCC Rcd at 2129, para. 7.</w:t>
      </w:r>
      <w:r>
        <w:rPr>
          <w:i/>
        </w:rPr>
        <w:t xml:space="preserve">  </w:t>
      </w:r>
    </w:p>
  </w:footnote>
  <w:footnote w:id="9">
    <w:p w14:paraId="54D06B1C" w14:textId="69952269" w:rsidR="005A461E" w:rsidRPr="00DD0103" w:rsidRDefault="005A461E">
      <w:pPr>
        <w:pStyle w:val="FootnoteText"/>
      </w:pPr>
      <w:r>
        <w:rPr>
          <w:rStyle w:val="FootnoteReference"/>
        </w:rPr>
        <w:footnoteRef/>
      </w:r>
      <w:r>
        <w:t xml:space="preserve"> </w:t>
      </w:r>
      <w:r>
        <w:rPr>
          <w:i/>
        </w:rPr>
        <w:t>Id.</w:t>
      </w:r>
      <w:r w:rsidR="00DD0103">
        <w:t xml:space="preserve"> </w:t>
      </w:r>
    </w:p>
  </w:footnote>
  <w:footnote w:id="10">
    <w:p w14:paraId="0565C25C" w14:textId="2C5E6025" w:rsidR="00CB597A" w:rsidRPr="00CB597A" w:rsidRDefault="00CB597A">
      <w:pPr>
        <w:pStyle w:val="FootnoteText"/>
      </w:pPr>
      <w:r>
        <w:rPr>
          <w:rStyle w:val="FootnoteReference"/>
        </w:rPr>
        <w:footnoteRef/>
      </w:r>
      <w:r>
        <w:t xml:space="preserve"> </w:t>
      </w:r>
      <w:r>
        <w:rPr>
          <w:i/>
        </w:rPr>
        <w:t>Id</w:t>
      </w:r>
      <w:r>
        <w:t>. at 2131, para. 12.</w:t>
      </w:r>
    </w:p>
  </w:footnote>
  <w:footnote w:id="11">
    <w:p w14:paraId="43F4DE22" w14:textId="27E16C88" w:rsidR="00671A5F" w:rsidRPr="00F54823" w:rsidRDefault="00671A5F">
      <w:pPr>
        <w:pStyle w:val="FootnoteText"/>
      </w:pPr>
      <w:r>
        <w:rPr>
          <w:rStyle w:val="FootnoteReference"/>
        </w:rPr>
        <w:footnoteRef/>
      </w:r>
      <w:r>
        <w:t xml:space="preserve"> </w:t>
      </w:r>
      <w:r>
        <w:rPr>
          <w:i/>
        </w:rPr>
        <w:t>Id.</w:t>
      </w:r>
      <w:r w:rsidR="00F54823" w:rsidRPr="008139AA">
        <w:rPr>
          <w:i/>
        </w:rPr>
        <w:t xml:space="preserve"> </w:t>
      </w:r>
      <w:r w:rsidR="00F54823">
        <w:t>at 2132, para. 15.</w:t>
      </w:r>
    </w:p>
  </w:footnote>
  <w:footnote w:id="12">
    <w:p w14:paraId="7E460698" w14:textId="7ED0D9AB" w:rsidR="003E3468" w:rsidRDefault="003E3468" w:rsidP="00511918">
      <w:pPr>
        <w:pStyle w:val="FootnoteText"/>
      </w:pPr>
      <w:r>
        <w:rPr>
          <w:rStyle w:val="FootnoteReference"/>
        </w:rPr>
        <w:footnoteRef/>
      </w:r>
      <w:r>
        <w:t xml:space="preserve"> </w:t>
      </w:r>
      <w:r w:rsidRPr="003E3468">
        <w:rPr>
          <w:i/>
        </w:rPr>
        <w:t>Id.</w:t>
      </w:r>
      <w:r w:rsidRPr="003E3468">
        <w:t xml:space="preserve"> at </w:t>
      </w:r>
      <w:r>
        <w:t xml:space="preserve">2132-33, </w:t>
      </w:r>
      <w:r w:rsidRPr="003E3468">
        <w:t>para. 1</w:t>
      </w:r>
      <w:r>
        <w:t>8</w:t>
      </w:r>
      <w:r w:rsidRPr="003E3468">
        <w:t>.</w:t>
      </w:r>
    </w:p>
  </w:footnote>
  <w:footnote w:id="13">
    <w:p w14:paraId="17EF6355" w14:textId="79E19580" w:rsidR="00B534E5" w:rsidRDefault="00B534E5" w:rsidP="00511918">
      <w:pPr>
        <w:pStyle w:val="FootnoteText"/>
      </w:pPr>
      <w:r>
        <w:rPr>
          <w:rStyle w:val="FootnoteReference"/>
        </w:rPr>
        <w:footnoteRef/>
      </w:r>
      <w:r>
        <w:t xml:space="preserve"> </w:t>
      </w:r>
      <w:r w:rsidRPr="00B534E5">
        <w:rPr>
          <w:i/>
        </w:rPr>
        <w:t>Id.</w:t>
      </w:r>
      <w:r w:rsidRPr="00B534E5">
        <w:t xml:space="preserve"> at </w:t>
      </w:r>
      <w:r w:rsidR="00F66914">
        <w:t xml:space="preserve">2133, </w:t>
      </w:r>
      <w:r w:rsidRPr="00B534E5">
        <w:t xml:space="preserve">para. </w:t>
      </w:r>
      <w:r>
        <w:t>20</w:t>
      </w:r>
      <w:r w:rsidRPr="00B534E5">
        <w:t>.</w:t>
      </w:r>
    </w:p>
  </w:footnote>
  <w:footnote w:id="14">
    <w:p w14:paraId="55C26DDF" w14:textId="49A6D4E8" w:rsidR="00900F81" w:rsidRPr="00900F81" w:rsidRDefault="00900F81" w:rsidP="00511918">
      <w:pPr>
        <w:pStyle w:val="FootnoteText"/>
      </w:pPr>
      <w:r>
        <w:rPr>
          <w:rStyle w:val="FootnoteReference"/>
        </w:rPr>
        <w:footnoteRef/>
      </w:r>
      <w:r>
        <w:t xml:space="preserve"> </w:t>
      </w:r>
      <w:r>
        <w:rPr>
          <w:i/>
        </w:rPr>
        <w:t>Id.</w:t>
      </w:r>
      <w:r>
        <w:t xml:space="preserve"> at para. 19.</w:t>
      </w:r>
    </w:p>
  </w:footnote>
  <w:footnote w:id="15">
    <w:p w14:paraId="6EFA7052" w14:textId="415FE84D" w:rsidR="00D06D3A" w:rsidRDefault="00D06D3A" w:rsidP="00D06D3A">
      <w:pPr>
        <w:pStyle w:val="FootnoteText"/>
      </w:pPr>
      <w:r>
        <w:rPr>
          <w:rStyle w:val="FootnoteReference"/>
        </w:rPr>
        <w:footnoteRef/>
      </w:r>
      <w:r>
        <w:t xml:space="preserve"> </w:t>
      </w:r>
      <w:r w:rsidRPr="00B90897">
        <w:rPr>
          <w:i/>
        </w:rPr>
        <w:t>Id</w:t>
      </w:r>
      <w:r>
        <w:t xml:space="preserve">. at para. 20; </w:t>
      </w:r>
      <w:r w:rsidRPr="00B90897">
        <w:t>Letter</w:t>
      </w:r>
      <w:r>
        <w:t xml:space="preserve"> from James J.R. Talbot, General Attorney, AT&amp;T, to Marlene H. Dortch, Secretary, FCC, IB Docket No 12-324 (filed Nov. 12, 2015) (</w:t>
      </w:r>
      <w:r w:rsidRPr="00880840">
        <w:t>AT&amp;T November 2015 Letter</w:t>
      </w:r>
      <w:r>
        <w:t>); Letter from Ian Dillner, Vice President, Federal Regulatory and Legal Affairs, Verizon, to Marlene H. Dortch, Secre</w:t>
      </w:r>
      <w:r w:rsidR="000D6C60">
        <w:t>tary, FCC, IB Docket No. 12-324</w:t>
      </w:r>
      <w:r>
        <w:t xml:space="preserve"> (filed Dec. 10, 2015) (</w:t>
      </w:r>
      <w:r w:rsidRPr="00880840">
        <w:t>Verizon December 2015 Letter</w:t>
      </w:r>
      <w:r>
        <w:t>).</w:t>
      </w:r>
    </w:p>
  </w:footnote>
  <w:footnote w:id="16">
    <w:p w14:paraId="10F86B81" w14:textId="710AB530" w:rsidR="006A0798" w:rsidRDefault="006A0798" w:rsidP="006A0798">
      <w:pPr>
        <w:pStyle w:val="FootnoteText"/>
      </w:pPr>
      <w:r>
        <w:rPr>
          <w:rStyle w:val="FootnoteReference"/>
        </w:rPr>
        <w:footnoteRef/>
      </w:r>
      <w:r>
        <w:t xml:space="preserve"> </w:t>
      </w:r>
      <w:r w:rsidRPr="00A35377">
        <w:t>AT&amp;T November 2015 Letter</w:t>
      </w:r>
      <w:r w:rsidR="00A05A03">
        <w:t>.</w:t>
      </w:r>
      <w:r>
        <w:rPr>
          <w:i/>
        </w:rPr>
        <w:t xml:space="preserve">  See also</w:t>
      </w:r>
      <w:r w:rsidRPr="00307483">
        <w:t xml:space="preserve"> </w:t>
      </w:r>
      <w:r w:rsidRPr="00B90897">
        <w:t>Letter</w:t>
      </w:r>
      <w:r>
        <w:t xml:space="preserve"> from Amy L. Alvarez, Executive Director, International External Affairs, AT&amp;T, to Marlene H. Dortch, Secretary, FCC, IB Docket Nos. 12-324, 04-112 (filed June 18, 2015) (AT&amp;T expressed support for the removal of the Stop Settlement Payment O</w:t>
      </w:r>
      <w:r w:rsidR="00CA1EF9">
        <w:t xml:space="preserve">rder on the U.S. Pakistan route following the dissolution of the </w:t>
      </w:r>
      <w:r w:rsidR="000D6C60">
        <w:t>ICH</w:t>
      </w:r>
      <w:r w:rsidR="00CA1EF9">
        <w:t xml:space="preserve"> mechanism in Pakistan</w:t>
      </w:r>
      <w:r w:rsidR="009677D7">
        <w:t>).</w:t>
      </w:r>
    </w:p>
  </w:footnote>
  <w:footnote w:id="17">
    <w:p w14:paraId="76A89A04" w14:textId="35D79ED1" w:rsidR="000B5065" w:rsidRDefault="000B5065">
      <w:pPr>
        <w:pStyle w:val="FootnoteText"/>
      </w:pPr>
      <w:r>
        <w:rPr>
          <w:rStyle w:val="FootnoteReference"/>
        </w:rPr>
        <w:footnoteRef/>
      </w:r>
      <w:r>
        <w:t xml:space="preserve"> </w:t>
      </w:r>
      <w:r w:rsidR="00A05A03" w:rsidRPr="00A35377">
        <w:t>AT&amp;T November 2015 Letter</w:t>
      </w:r>
      <w:r w:rsidR="00A05A03">
        <w:t>.</w:t>
      </w:r>
    </w:p>
  </w:footnote>
  <w:footnote w:id="18">
    <w:p w14:paraId="3D297E18" w14:textId="77777777" w:rsidR="005F0799" w:rsidRDefault="005F0799">
      <w:pPr>
        <w:pStyle w:val="FootnoteText"/>
      </w:pPr>
      <w:r>
        <w:rPr>
          <w:rStyle w:val="FootnoteReference"/>
        </w:rPr>
        <w:footnoteRef/>
      </w:r>
      <w:r>
        <w:t xml:space="preserve"> </w:t>
      </w:r>
      <w:r w:rsidRPr="005F0799">
        <w:rPr>
          <w:i/>
        </w:rPr>
        <w:t>Id</w:t>
      </w:r>
      <w:r>
        <w:t>.</w:t>
      </w:r>
    </w:p>
  </w:footnote>
  <w:footnote w:id="19">
    <w:p w14:paraId="7BD73542" w14:textId="77777777" w:rsidR="00B80903" w:rsidRDefault="00B80903">
      <w:pPr>
        <w:pStyle w:val="FootnoteText"/>
      </w:pPr>
      <w:r>
        <w:rPr>
          <w:rStyle w:val="FootnoteReference"/>
        </w:rPr>
        <w:footnoteRef/>
      </w:r>
      <w:r>
        <w:t xml:space="preserve"> </w:t>
      </w:r>
      <w:r w:rsidRPr="00B80903">
        <w:rPr>
          <w:i/>
        </w:rPr>
        <w:t>Id</w:t>
      </w:r>
      <w:r>
        <w:t>.</w:t>
      </w:r>
    </w:p>
  </w:footnote>
  <w:footnote w:id="20">
    <w:p w14:paraId="0A231D51" w14:textId="7A29E47A" w:rsidR="007D34C4" w:rsidRDefault="007D34C4" w:rsidP="00511918">
      <w:pPr>
        <w:pStyle w:val="FootnoteText"/>
      </w:pPr>
      <w:r>
        <w:rPr>
          <w:rStyle w:val="FootnoteReference"/>
        </w:rPr>
        <w:footnoteRef/>
      </w:r>
      <w:r>
        <w:t xml:space="preserve"> </w:t>
      </w:r>
      <w:r w:rsidRPr="00880840">
        <w:t>Verizon December 2015 Letter</w:t>
      </w:r>
      <w:r w:rsidR="00F66914">
        <w:rPr>
          <w:i/>
        </w:rPr>
        <w:t xml:space="preserve"> </w:t>
      </w:r>
      <w:r w:rsidR="00F66914">
        <w:t>at 1</w:t>
      </w:r>
      <w:r>
        <w:t>.</w:t>
      </w:r>
    </w:p>
  </w:footnote>
  <w:footnote w:id="21">
    <w:p w14:paraId="0028551E" w14:textId="77777777" w:rsidR="00C575EF" w:rsidRDefault="00C575EF" w:rsidP="00511918">
      <w:pPr>
        <w:pStyle w:val="FootnoteText"/>
      </w:pPr>
      <w:r>
        <w:rPr>
          <w:rStyle w:val="FootnoteReference"/>
        </w:rPr>
        <w:footnoteRef/>
      </w:r>
      <w:r>
        <w:t xml:space="preserve"> </w:t>
      </w:r>
      <w:r w:rsidRPr="00C575EF">
        <w:rPr>
          <w:i/>
        </w:rPr>
        <w:t>Id</w:t>
      </w:r>
      <w:r>
        <w:t>.</w:t>
      </w:r>
    </w:p>
  </w:footnote>
  <w:footnote w:id="22">
    <w:p w14:paraId="662ACF41" w14:textId="42A7E270" w:rsidR="001A4E10" w:rsidRPr="001A4E10" w:rsidRDefault="001A4E10">
      <w:pPr>
        <w:pStyle w:val="FootnoteText"/>
      </w:pPr>
      <w:r>
        <w:rPr>
          <w:rStyle w:val="FootnoteReference"/>
        </w:rPr>
        <w:footnoteRef/>
      </w:r>
      <w:r>
        <w:t xml:space="preserve"> </w:t>
      </w:r>
      <w:r w:rsidR="000E34A4">
        <w:t xml:space="preserve">Other decisions require a full stop payment. </w:t>
      </w:r>
      <w:r>
        <w:rPr>
          <w:i/>
        </w:rPr>
        <w:t xml:space="preserve">See </w:t>
      </w:r>
      <w:r w:rsidR="00A52346">
        <w:rPr>
          <w:i/>
        </w:rPr>
        <w:t xml:space="preserve">e.g., </w:t>
      </w:r>
      <w:r w:rsidRPr="00E90D6D">
        <w:rPr>
          <w:i/>
        </w:rPr>
        <w:t>Petition of AT&amp;T Inc. for Settlements Stop Payment Order on the U.S.-Tonga Route,</w:t>
      </w:r>
      <w:r w:rsidRPr="00E90D6D">
        <w:t xml:space="preserve"> IB Docket No. 09-10, Order and Request for Further Comment, 24 FCC Rcd 8006</w:t>
      </w:r>
      <w:r>
        <w:t xml:space="preserve"> (IB 2009)</w:t>
      </w:r>
      <w:r w:rsidR="00A52346">
        <w:t xml:space="preserve">; </w:t>
      </w:r>
      <w:r w:rsidR="003954DD" w:rsidRPr="00E90D6D">
        <w:rPr>
          <w:i/>
        </w:rPr>
        <w:t>Philippines Order on Review</w:t>
      </w:r>
      <w:r w:rsidR="003954DD" w:rsidRPr="00E90D6D">
        <w:t xml:space="preserve">, 19 FCC Rcd 9993; </w:t>
      </w:r>
      <w:r w:rsidR="003954DD" w:rsidRPr="00E90D6D">
        <w:rPr>
          <w:i/>
        </w:rPr>
        <w:t>2003 Philippines Order</w:t>
      </w:r>
      <w:r w:rsidR="003954DD" w:rsidRPr="00E90D6D">
        <w:t>, Order, 18 FCC Rcd 3519 (2003)</w:t>
      </w:r>
      <w:r w:rsidR="003954DD">
        <w:t xml:space="preserve">; </w:t>
      </w:r>
      <w:r w:rsidR="003954DD" w:rsidRPr="00ED185C">
        <w:rPr>
          <w:i/>
        </w:rPr>
        <w:t xml:space="preserve">AT&amp;T and MCI Circuits to the Philippines Reactivated by </w:t>
      </w:r>
      <w:r w:rsidR="00237FAB">
        <w:rPr>
          <w:i/>
        </w:rPr>
        <w:t>PLDT</w:t>
      </w:r>
      <w:r w:rsidR="003954DD" w:rsidRPr="00ED185C">
        <w:rPr>
          <w:i/>
        </w:rPr>
        <w:t xml:space="preserve">: Suspension Lifted on U.S. Carrier Payments to </w:t>
      </w:r>
      <w:r w:rsidR="00237FAB">
        <w:rPr>
          <w:i/>
        </w:rPr>
        <w:t>PLDT</w:t>
      </w:r>
      <w:r w:rsidR="00D47583">
        <w:t xml:space="preserve">, IB Docket No. 03-38, Public Notice, </w:t>
      </w:r>
      <w:r w:rsidR="00237FAB">
        <w:t>19 FCC Rcd 427 (2004)</w:t>
      </w:r>
      <w:r w:rsidR="003954DD" w:rsidRPr="00E90D6D">
        <w:t>.</w:t>
      </w:r>
    </w:p>
  </w:footnote>
  <w:footnote w:id="23">
    <w:p w14:paraId="18A4F1B8" w14:textId="77777777" w:rsidR="00310581" w:rsidRDefault="00310581" w:rsidP="00310581">
      <w:pPr>
        <w:pStyle w:val="FootnoteText"/>
      </w:pPr>
      <w:r>
        <w:rPr>
          <w:rStyle w:val="FootnoteReference"/>
        </w:rPr>
        <w:footnoteRef/>
      </w:r>
      <w:r>
        <w:t xml:space="preserve"> </w:t>
      </w:r>
      <w:r w:rsidRPr="00880840">
        <w:t>AT&amp;T November 2015 Letter</w:t>
      </w:r>
      <w:r w:rsidRPr="0015294D">
        <w:t xml:space="preserve"> </w:t>
      </w:r>
      <w:r>
        <w:t>at 1.</w:t>
      </w:r>
    </w:p>
  </w:footnote>
  <w:footnote w:id="24">
    <w:p w14:paraId="0065B444" w14:textId="1396492F" w:rsidR="00E6799C" w:rsidRDefault="00E6799C" w:rsidP="00511918">
      <w:pPr>
        <w:pStyle w:val="FootnoteText"/>
      </w:pPr>
      <w:r>
        <w:rPr>
          <w:rStyle w:val="FootnoteReference"/>
        </w:rPr>
        <w:footnoteRef/>
      </w:r>
      <w:r>
        <w:t xml:space="preserve"> </w:t>
      </w:r>
      <w:r w:rsidR="004E1326" w:rsidRPr="004E1326">
        <w:rPr>
          <w:i/>
        </w:rPr>
        <w:t>Id</w:t>
      </w:r>
      <w:r>
        <w:t>.</w:t>
      </w:r>
    </w:p>
  </w:footnote>
  <w:footnote w:id="25">
    <w:p w14:paraId="31426259" w14:textId="77777777" w:rsidR="00017621" w:rsidRDefault="00017621" w:rsidP="00017621">
      <w:pPr>
        <w:pStyle w:val="FootnoteText"/>
      </w:pPr>
      <w:r>
        <w:rPr>
          <w:rStyle w:val="FootnoteReference"/>
        </w:rPr>
        <w:footnoteRef/>
      </w:r>
      <w:r>
        <w:t xml:space="preserve"> </w:t>
      </w:r>
      <w:r w:rsidRPr="00347C79">
        <w:rPr>
          <w:i/>
        </w:rPr>
        <w:t>2013 Pakistan Order</w:t>
      </w:r>
      <w:r>
        <w:t>, 28 FCC Rcd at 2133, para. 19.</w:t>
      </w:r>
    </w:p>
  </w:footnote>
  <w:footnote w:id="26">
    <w:p w14:paraId="55168C18" w14:textId="46A5CE28" w:rsidR="00D7186D" w:rsidRDefault="00D7186D" w:rsidP="00D7186D">
      <w:pPr>
        <w:pStyle w:val="FootnoteText"/>
      </w:pPr>
      <w:r>
        <w:rPr>
          <w:rStyle w:val="FootnoteReference"/>
        </w:rPr>
        <w:footnoteRef/>
      </w:r>
      <w:r>
        <w:t xml:space="preserve"> </w:t>
      </w:r>
      <w:r>
        <w:rPr>
          <w:i/>
        </w:rPr>
        <w:t xml:space="preserve">Id. </w:t>
      </w:r>
      <w:r>
        <w:t xml:space="preserve">at </w:t>
      </w:r>
      <w:r w:rsidR="00BB3688">
        <w:t>213</w:t>
      </w:r>
      <w:r w:rsidR="007F3B67">
        <w:t>2-3</w:t>
      </w:r>
      <w:r w:rsidR="00BB3688">
        <w:t xml:space="preserve">3, </w:t>
      </w:r>
      <w:r>
        <w:t>para. 18</w:t>
      </w:r>
      <w:r w:rsidR="00BB3688">
        <w:t>.</w:t>
      </w:r>
      <w:r>
        <w:t xml:space="preserve"> </w:t>
      </w:r>
    </w:p>
  </w:footnote>
  <w:footnote w:id="27">
    <w:p w14:paraId="501DCBF0" w14:textId="019A946C" w:rsidR="00E90246" w:rsidRDefault="00E90246" w:rsidP="00E90246">
      <w:pPr>
        <w:pStyle w:val="FootnoteText"/>
      </w:pPr>
      <w:r>
        <w:rPr>
          <w:rStyle w:val="FootnoteReference"/>
        </w:rPr>
        <w:footnoteRef/>
      </w:r>
      <w:r>
        <w:t xml:space="preserve"> </w:t>
      </w:r>
      <w:r w:rsidRPr="00B534E5">
        <w:rPr>
          <w:i/>
        </w:rPr>
        <w:t>Id.</w:t>
      </w:r>
      <w:r w:rsidRPr="00B534E5">
        <w:t xml:space="preserve"> at </w:t>
      </w:r>
      <w:r w:rsidR="007F3B67">
        <w:t xml:space="preserve">2133, </w:t>
      </w:r>
      <w:r w:rsidRPr="00B534E5">
        <w:t xml:space="preserve">para. </w:t>
      </w:r>
      <w:r>
        <w:t>20</w:t>
      </w:r>
      <w:r w:rsidRPr="00B534E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3ABAD" w14:textId="77777777" w:rsidR="00A95786" w:rsidRDefault="00A95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FC914" w14:textId="48F361ED" w:rsidR="00EB557D" w:rsidRPr="00131FCD" w:rsidRDefault="00EB557D">
    <w:pPr>
      <w:pBdr>
        <w:bottom w:val="single" w:sz="12" w:space="1" w:color="auto"/>
      </w:pBdr>
      <w:tabs>
        <w:tab w:val="center" w:pos="4680"/>
        <w:tab w:val="right" w:pos="9360"/>
      </w:tabs>
      <w:jc w:val="center"/>
      <w:rPr>
        <w:b/>
      </w:rPr>
    </w:pPr>
    <w:r w:rsidRPr="00131FCD">
      <w:rPr>
        <w:b/>
      </w:rPr>
      <w:tab/>
      <w:t>Federal Communications Commission</w:t>
    </w:r>
    <w:r w:rsidRPr="00131FCD">
      <w:rPr>
        <w:b/>
      </w:rPr>
      <w:tab/>
      <w:t xml:space="preserve">DA </w:t>
    </w:r>
    <w:r w:rsidR="00425642">
      <w:rPr>
        <w:b/>
      </w:rPr>
      <w:t>16</w:t>
    </w:r>
    <w:r w:rsidR="00425642" w:rsidRPr="00131FCD">
      <w:rPr>
        <w:b/>
      </w:rPr>
      <w:t>-</w:t>
    </w:r>
    <w:r w:rsidR="00425642">
      <w:rPr>
        <w:b/>
      </w:rPr>
      <w:t>174</w:t>
    </w:r>
  </w:p>
  <w:p w14:paraId="29F1D198" w14:textId="77777777" w:rsidR="000E0C4E" w:rsidRPr="008139AA" w:rsidRDefault="000E0C4E">
    <w:pPr>
      <w:pStyle w:val="Header"/>
      <w:tabs>
        <w:tab w:val="right" w:pos="9360"/>
      </w:tabs>
      <w:rPr>
        <w:sz w:val="16"/>
        <w:vertAlign w:val="subscri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6C29F" w14:textId="0173C3D3" w:rsidR="00ED6465" w:rsidRPr="00131FCD" w:rsidRDefault="00ED6465">
    <w:pPr>
      <w:pBdr>
        <w:bottom w:val="single" w:sz="12" w:space="1" w:color="auto"/>
      </w:pBdr>
      <w:tabs>
        <w:tab w:val="center" w:pos="4680"/>
        <w:tab w:val="right" w:pos="9360"/>
      </w:tabs>
      <w:jc w:val="center"/>
      <w:rPr>
        <w:b/>
      </w:rPr>
    </w:pPr>
    <w:r w:rsidRPr="00131FCD">
      <w:rPr>
        <w:b/>
      </w:rPr>
      <w:tab/>
      <w:t>Federal Communications Commission</w:t>
    </w:r>
    <w:r w:rsidRPr="00131FCD">
      <w:rPr>
        <w:b/>
      </w:rPr>
      <w:tab/>
      <w:t xml:space="preserve">DA </w:t>
    </w:r>
    <w:r w:rsidR="00425642">
      <w:rPr>
        <w:b/>
      </w:rPr>
      <w:t>16</w:t>
    </w:r>
    <w:r w:rsidRPr="00131FCD">
      <w:rPr>
        <w:b/>
      </w:rPr>
      <w:t>-</w:t>
    </w:r>
    <w:r w:rsidR="00425642">
      <w:rPr>
        <w:b/>
      </w:rPr>
      <w:t>174</w:t>
    </w:r>
  </w:p>
  <w:p w14:paraId="66654F16" w14:textId="256A489B" w:rsidR="000E0C4E" w:rsidRPr="008139AA" w:rsidRDefault="00EE55C2" w:rsidP="008139AA">
    <w:pPr>
      <w:pStyle w:val="Header"/>
      <w:tabs>
        <w:tab w:val="left" w:pos="4092"/>
      </w:tabs>
      <w:rPr>
        <w:sz w:val="1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3">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4">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FF0197C"/>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1">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6"/>
  </w:num>
  <w:num w:numId="2">
    <w:abstractNumId w:val="27"/>
  </w:num>
  <w:num w:numId="3">
    <w:abstractNumId w:val="5"/>
  </w:num>
  <w:num w:numId="4">
    <w:abstractNumId w:val="21"/>
  </w:num>
  <w:num w:numId="5">
    <w:abstractNumId w:val="9"/>
  </w:num>
  <w:num w:numId="6">
    <w:abstractNumId w:val="24"/>
  </w:num>
  <w:num w:numId="7">
    <w:abstractNumId w:val="17"/>
  </w:num>
  <w:num w:numId="8">
    <w:abstractNumId w:val="10"/>
  </w:num>
  <w:num w:numId="9">
    <w:abstractNumId w:val="23"/>
  </w:num>
  <w:num w:numId="10">
    <w:abstractNumId w:val="15"/>
  </w:num>
  <w:num w:numId="11">
    <w:abstractNumId w:val="14"/>
  </w:num>
  <w:num w:numId="12">
    <w:abstractNumId w:val="11"/>
  </w:num>
  <w:num w:numId="13">
    <w:abstractNumId w:val="16"/>
  </w:num>
  <w:num w:numId="14">
    <w:abstractNumId w:val="22"/>
  </w:num>
  <w:num w:numId="15">
    <w:abstractNumId w:val="3"/>
  </w:num>
  <w:num w:numId="16">
    <w:abstractNumId w:val="4"/>
  </w:num>
  <w:num w:numId="17">
    <w:abstractNumId w:val="12"/>
  </w:num>
  <w:num w:numId="18">
    <w:abstractNumId w:val="1"/>
  </w:num>
  <w:num w:numId="19">
    <w:abstractNumId w:val="13"/>
  </w:num>
  <w:num w:numId="20">
    <w:abstractNumId w:val="18"/>
  </w:num>
  <w:num w:numId="21">
    <w:abstractNumId w:val="20"/>
  </w:num>
  <w:num w:numId="22">
    <w:abstractNumId w:val="21"/>
  </w:num>
  <w:num w:numId="23">
    <w:abstractNumId w:val="2"/>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21"/>
  </w:num>
  <w:num w:numId="38">
    <w:abstractNumId w:val="16"/>
    <w:lvlOverride w:ilvl="0">
      <w:startOverride w:val="1"/>
    </w:lvlOverride>
  </w:num>
  <w:num w:numId="39">
    <w:abstractNumId w:val="16"/>
  </w:num>
  <w:num w:numId="40">
    <w:abstractNumId w:val="16"/>
  </w:num>
  <w:num w:numId="41">
    <w:abstractNumId w:val="16"/>
  </w:num>
  <w:num w:numId="42">
    <w:abstractNumId w:val="16"/>
  </w:num>
  <w:num w:numId="43">
    <w:abstractNumId w:val="16"/>
    <w:lvlOverride w:ilvl="0">
      <w:startOverride w:val="1"/>
    </w:lvlOverride>
  </w:num>
  <w:num w:numId="44">
    <w:abstractNumId w:val="16"/>
  </w:num>
  <w:num w:numId="45">
    <w:abstractNumId w:val="6"/>
  </w:num>
  <w:num w:numId="46">
    <w:abstractNumId w:val="25"/>
  </w:num>
  <w:num w:numId="47">
    <w:abstractNumId w:val="8"/>
  </w:num>
  <w:num w:numId="48">
    <w:abstractNumId w:val="19"/>
  </w:num>
  <w:num w:numId="49">
    <w:abstractNumId w:val="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85"/>
    <w:rsid w:val="0000504A"/>
    <w:rsid w:val="000056AA"/>
    <w:rsid w:val="00005E50"/>
    <w:rsid w:val="00010881"/>
    <w:rsid w:val="00013087"/>
    <w:rsid w:val="00015E65"/>
    <w:rsid w:val="00017621"/>
    <w:rsid w:val="00017DE9"/>
    <w:rsid w:val="00022644"/>
    <w:rsid w:val="000237CE"/>
    <w:rsid w:val="00024AED"/>
    <w:rsid w:val="00025AC8"/>
    <w:rsid w:val="000305F3"/>
    <w:rsid w:val="00033D09"/>
    <w:rsid w:val="0003469E"/>
    <w:rsid w:val="00036072"/>
    <w:rsid w:val="00036625"/>
    <w:rsid w:val="0004534B"/>
    <w:rsid w:val="000471E4"/>
    <w:rsid w:val="000472B4"/>
    <w:rsid w:val="0005024E"/>
    <w:rsid w:val="000557AE"/>
    <w:rsid w:val="000574F4"/>
    <w:rsid w:val="0005765F"/>
    <w:rsid w:val="0006055F"/>
    <w:rsid w:val="00061C82"/>
    <w:rsid w:val="00064335"/>
    <w:rsid w:val="00064BCF"/>
    <w:rsid w:val="00065D97"/>
    <w:rsid w:val="00070523"/>
    <w:rsid w:val="00071D61"/>
    <w:rsid w:val="00073683"/>
    <w:rsid w:val="00074B7A"/>
    <w:rsid w:val="00076143"/>
    <w:rsid w:val="00076828"/>
    <w:rsid w:val="00077773"/>
    <w:rsid w:val="000803EA"/>
    <w:rsid w:val="0008246B"/>
    <w:rsid w:val="00083396"/>
    <w:rsid w:val="0008402A"/>
    <w:rsid w:val="00084164"/>
    <w:rsid w:val="00084D21"/>
    <w:rsid w:val="00087578"/>
    <w:rsid w:val="00087D16"/>
    <w:rsid w:val="00090001"/>
    <w:rsid w:val="000913B2"/>
    <w:rsid w:val="00091D7A"/>
    <w:rsid w:val="00094A46"/>
    <w:rsid w:val="000A0081"/>
    <w:rsid w:val="000A0BB8"/>
    <w:rsid w:val="000A3439"/>
    <w:rsid w:val="000A43B7"/>
    <w:rsid w:val="000A60FE"/>
    <w:rsid w:val="000B0F72"/>
    <w:rsid w:val="000B1FE5"/>
    <w:rsid w:val="000B4121"/>
    <w:rsid w:val="000B5065"/>
    <w:rsid w:val="000C16CE"/>
    <w:rsid w:val="000C39C7"/>
    <w:rsid w:val="000C4A53"/>
    <w:rsid w:val="000D5B66"/>
    <w:rsid w:val="000D6C60"/>
    <w:rsid w:val="000E0C4E"/>
    <w:rsid w:val="000E13A2"/>
    <w:rsid w:val="000E191B"/>
    <w:rsid w:val="000E26A9"/>
    <w:rsid w:val="000E317D"/>
    <w:rsid w:val="000E34A4"/>
    <w:rsid w:val="000E3C9A"/>
    <w:rsid w:val="000E3CAE"/>
    <w:rsid w:val="000E56EC"/>
    <w:rsid w:val="000F08E8"/>
    <w:rsid w:val="000F1304"/>
    <w:rsid w:val="00103BC5"/>
    <w:rsid w:val="001046B0"/>
    <w:rsid w:val="00105A58"/>
    <w:rsid w:val="00106EEC"/>
    <w:rsid w:val="0010768D"/>
    <w:rsid w:val="00111A5E"/>
    <w:rsid w:val="001122CC"/>
    <w:rsid w:val="00112FE0"/>
    <w:rsid w:val="001161D5"/>
    <w:rsid w:val="00120789"/>
    <w:rsid w:val="001230A0"/>
    <w:rsid w:val="00123C16"/>
    <w:rsid w:val="00123C4C"/>
    <w:rsid w:val="001270E9"/>
    <w:rsid w:val="00131FCD"/>
    <w:rsid w:val="0013348B"/>
    <w:rsid w:val="0013685F"/>
    <w:rsid w:val="00137AD8"/>
    <w:rsid w:val="00142D5A"/>
    <w:rsid w:val="0014576B"/>
    <w:rsid w:val="00150FAF"/>
    <w:rsid w:val="0015294D"/>
    <w:rsid w:val="001532E5"/>
    <w:rsid w:val="00153C46"/>
    <w:rsid w:val="0015433E"/>
    <w:rsid w:val="001543FA"/>
    <w:rsid w:val="00154555"/>
    <w:rsid w:val="0016145E"/>
    <w:rsid w:val="001678D6"/>
    <w:rsid w:val="001702C5"/>
    <w:rsid w:val="00170C80"/>
    <w:rsid w:val="001720DC"/>
    <w:rsid w:val="00177EBA"/>
    <w:rsid w:val="00180DCD"/>
    <w:rsid w:val="001836E6"/>
    <w:rsid w:val="00183700"/>
    <w:rsid w:val="00183ACA"/>
    <w:rsid w:val="0018433C"/>
    <w:rsid w:val="00185E05"/>
    <w:rsid w:val="0018673A"/>
    <w:rsid w:val="00191C2D"/>
    <w:rsid w:val="00194991"/>
    <w:rsid w:val="00197796"/>
    <w:rsid w:val="00197832"/>
    <w:rsid w:val="001A0462"/>
    <w:rsid w:val="001A1FC8"/>
    <w:rsid w:val="001A2E1F"/>
    <w:rsid w:val="001A4E10"/>
    <w:rsid w:val="001A751B"/>
    <w:rsid w:val="001A7AD1"/>
    <w:rsid w:val="001B2FB1"/>
    <w:rsid w:val="001B3472"/>
    <w:rsid w:val="001C2B69"/>
    <w:rsid w:val="001D211E"/>
    <w:rsid w:val="001D52CD"/>
    <w:rsid w:val="001D65EF"/>
    <w:rsid w:val="001E025B"/>
    <w:rsid w:val="001E0B2C"/>
    <w:rsid w:val="001E24A2"/>
    <w:rsid w:val="001E4AD5"/>
    <w:rsid w:val="001E4AFD"/>
    <w:rsid w:val="001E6891"/>
    <w:rsid w:val="001F255D"/>
    <w:rsid w:val="00201F36"/>
    <w:rsid w:val="00203AE5"/>
    <w:rsid w:val="00203FC3"/>
    <w:rsid w:val="00203FEF"/>
    <w:rsid w:val="00204CA3"/>
    <w:rsid w:val="002069D1"/>
    <w:rsid w:val="00206CDC"/>
    <w:rsid w:val="002148BE"/>
    <w:rsid w:val="00216498"/>
    <w:rsid w:val="00216E33"/>
    <w:rsid w:val="002173BA"/>
    <w:rsid w:val="00223BCF"/>
    <w:rsid w:val="00227307"/>
    <w:rsid w:val="0022796B"/>
    <w:rsid w:val="002346C3"/>
    <w:rsid w:val="00237FAB"/>
    <w:rsid w:val="0024088D"/>
    <w:rsid w:val="0024193B"/>
    <w:rsid w:val="00246F5E"/>
    <w:rsid w:val="00247AE2"/>
    <w:rsid w:val="00250F1D"/>
    <w:rsid w:val="00250F66"/>
    <w:rsid w:val="00253104"/>
    <w:rsid w:val="0025742F"/>
    <w:rsid w:val="00263725"/>
    <w:rsid w:val="00267D38"/>
    <w:rsid w:val="00273B1C"/>
    <w:rsid w:val="00274E6D"/>
    <w:rsid w:val="002772EE"/>
    <w:rsid w:val="00277D78"/>
    <w:rsid w:val="00284193"/>
    <w:rsid w:val="002847E7"/>
    <w:rsid w:val="002875C4"/>
    <w:rsid w:val="00292AE1"/>
    <w:rsid w:val="00293BA0"/>
    <w:rsid w:val="002968CD"/>
    <w:rsid w:val="002A0389"/>
    <w:rsid w:val="002A0EC6"/>
    <w:rsid w:val="002A1DB9"/>
    <w:rsid w:val="002A41C5"/>
    <w:rsid w:val="002A563E"/>
    <w:rsid w:val="002A669C"/>
    <w:rsid w:val="002B2768"/>
    <w:rsid w:val="002B4B84"/>
    <w:rsid w:val="002B7A11"/>
    <w:rsid w:val="002C04F0"/>
    <w:rsid w:val="002C5D4D"/>
    <w:rsid w:val="002C71CF"/>
    <w:rsid w:val="002D07BA"/>
    <w:rsid w:val="002D2478"/>
    <w:rsid w:val="002D2622"/>
    <w:rsid w:val="002D55F7"/>
    <w:rsid w:val="002D6EBF"/>
    <w:rsid w:val="002D7F7C"/>
    <w:rsid w:val="002E09B6"/>
    <w:rsid w:val="002E3C19"/>
    <w:rsid w:val="002E4EA7"/>
    <w:rsid w:val="002E5948"/>
    <w:rsid w:val="002E64BF"/>
    <w:rsid w:val="002E68F3"/>
    <w:rsid w:val="002E7386"/>
    <w:rsid w:val="002E7FA0"/>
    <w:rsid w:val="002F054B"/>
    <w:rsid w:val="002F2EDC"/>
    <w:rsid w:val="002F347D"/>
    <w:rsid w:val="002F3A6E"/>
    <w:rsid w:val="002F5273"/>
    <w:rsid w:val="002F66A6"/>
    <w:rsid w:val="00303ABC"/>
    <w:rsid w:val="003067E9"/>
    <w:rsid w:val="0030689E"/>
    <w:rsid w:val="00306C8F"/>
    <w:rsid w:val="00307483"/>
    <w:rsid w:val="003103A5"/>
    <w:rsid w:val="00310581"/>
    <w:rsid w:val="00310C63"/>
    <w:rsid w:val="00322702"/>
    <w:rsid w:val="00323413"/>
    <w:rsid w:val="0032647E"/>
    <w:rsid w:val="00327995"/>
    <w:rsid w:val="0033226D"/>
    <w:rsid w:val="003325AF"/>
    <w:rsid w:val="00332AA5"/>
    <w:rsid w:val="00333757"/>
    <w:rsid w:val="003346A5"/>
    <w:rsid w:val="00337A64"/>
    <w:rsid w:val="0034216E"/>
    <w:rsid w:val="0034228B"/>
    <w:rsid w:val="003471B5"/>
    <w:rsid w:val="00347C79"/>
    <w:rsid w:val="0035169F"/>
    <w:rsid w:val="00354B0F"/>
    <w:rsid w:val="00361038"/>
    <w:rsid w:val="00365D5D"/>
    <w:rsid w:val="00365F2F"/>
    <w:rsid w:val="00371027"/>
    <w:rsid w:val="00374228"/>
    <w:rsid w:val="00374B5C"/>
    <w:rsid w:val="003760A8"/>
    <w:rsid w:val="00376C6B"/>
    <w:rsid w:val="00377BA4"/>
    <w:rsid w:val="003800D2"/>
    <w:rsid w:val="003805D4"/>
    <w:rsid w:val="00381431"/>
    <w:rsid w:val="00386044"/>
    <w:rsid w:val="0038652A"/>
    <w:rsid w:val="00394723"/>
    <w:rsid w:val="003947B0"/>
    <w:rsid w:val="0039488C"/>
    <w:rsid w:val="003954DD"/>
    <w:rsid w:val="003A166F"/>
    <w:rsid w:val="003A2290"/>
    <w:rsid w:val="003A3E04"/>
    <w:rsid w:val="003A6E6C"/>
    <w:rsid w:val="003B0574"/>
    <w:rsid w:val="003B0B59"/>
    <w:rsid w:val="003B318F"/>
    <w:rsid w:val="003B3BEB"/>
    <w:rsid w:val="003B50CE"/>
    <w:rsid w:val="003B7AEB"/>
    <w:rsid w:val="003C1291"/>
    <w:rsid w:val="003C3E2B"/>
    <w:rsid w:val="003C7865"/>
    <w:rsid w:val="003D03E8"/>
    <w:rsid w:val="003D04DD"/>
    <w:rsid w:val="003D0B42"/>
    <w:rsid w:val="003D21F8"/>
    <w:rsid w:val="003D2679"/>
    <w:rsid w:val="003D474A"/>
    <w:rsid w:val="003E0732"/>
    <w:rsid w:val="003E0EDE"/>
    <w:rsid w:val="003E3468"/>
    <w:rsid w:val="003E3F65"/>
    <w:rsid w:val="003E504F"/>
    <w:rsid w:val="003E662F"/>
    <w:rsid w:val="003E7009"/>
    <w:rsid w:val="003F0FBC"/>
    <w:rsid w:val="003F25D2"/>
    <w:rsid w:val="003F49F6"/>
    <w:rsid w:val="003F732A"/>
    <w:rsid w:val="004054AD"/>
    <w:rsid w:val="00416FDB"/>
    <w:rsid w:val="00417F8E"/>
    <w:rsid w:val="0042095D"/>
    <w:rsid w:val="004226BE"/>
    <w:rsid w:val="00423AFF"/>
    <w:rsid w:val="00424981"/>
    <w:rsid w:val="0042532C"/>
    <w:rsid w:val="00425642"/>
    <w:rsid w:val="004264DA"/>
    <w:rsid w:val="004271E1"/>
    <w:rsid w:val="00427488"/>
    <w:rsid w:val="004276FF"/>
    <w:rsid w:val="004277C2"/>
    <w:rsid w:val="00432584"/>
    <w:rsid w:val="00433EDC"/>
    <w:rsid w:val="00435333"/>
    <w:rsid w:val="004366D3"/>
    <w:rsid w:val="004409B8"/>
    <w:rsid w:val="004440DE"/>
    <w:rsid w:val="00444806"/>
    <w:rsid w:val="0044724F"/>
    <w:rsid w:val="004472DE"/>
    <w:rsid w:val="0044753B"/>
    <w:rsid w:val="004505F4"/>
    <w:rsid w:val="00450A45"/>
    <w:rsid w:val="0045168B"/>
    <w:rsid w:val="00456E6E"/>
    <w:rsid w:val="0046055A"/>
    <w:rsid w:val="00460DA4"/>
    <w:rsid w:val="00460F85"/>
    <w:rsid w:val="00463E1C"/>
    <w:rsid w:val="00464D66"/>
    <w:rsid w:val="00465CF3"/>
    <w:rsid w:val="004757F6"/>
    <w:rsid w:val="00475CEF"/>
    <w:rsid w:val="00475DCC"/>
    <w:rsid w:val="0047634E"/>
    <w:rsid w:val="00477AA5"/>
    <w:rsid w:val="00480782"/>
    <w:rsid w:val="00480AE1"/>
    <w:rsid w:val="00480AEA"/>
    <w:rsid w:val="0048363C"/>
    <w:rsid w:val="004837FF"/>
    <w:rsid w:val="004838A1"/>
    <w:rsid w:val="00485D7C"/>
    <w:rsid w:val="004923D3"/>
    <w:rsid w:val="004959A2"/>
    <w:rsid w:val="004A0E91"/>
    <w:rsid w:val="004A2316"/>
    <w:rsid w:val="004A3C07"/>
    <w:rsid w:val="004A5A4E"/>
    <w:rsid w:val="004B257D"/>
    <w:rsid w:val="004B445F"/>
    <w:rsid w:val="004B5A0D"/>
    <w:rsid w:val="004B7514"/>
    <w:rsid w:val="004B76EB"/>
    <w:rsid w:val="004C1963"/>
    <w:rsid w:val="004C2722"/>
    <w:rsid w:val="004C2A94"/>
    <w:rsid w:val="004D1B98"/>
    <w:rsid w:val="004D3E37"/>
    <w:rsid w:val="004D55AC"/>
    <w:rsid w:val="004D649B"/>
    <w:rsid w:val="004D7B4D"/>
    <w:rsid w:val="004E12A5"/>
    <w:rsid w:val="004E1326"/>
    <w:rsid w:val="004E2121"/>
    <w:rsid w:val="004E2C7D"/>
    <w:rsid w:val="004F04EF"/>
    <w:rsid w:val="004F09B6"/>
    <w:rsid w:val="004F27B9"/>
    <w:rsid w:val="004F666A"/>
    <w:rsid w:val="00500EB3"/>
    <w:rsid w:val="005035E2"/>
    <w:rsid w:val="0050378F"/>
    <w:rsid w:val="00504679"/>
    <w:rsid w:val="005047D6"/>
    <w:rsid w:val="00510510"/>
    <w:rsid w:val="00511918"/>
    <w:rsid w:val="00515430"/>
    <w:rsid w:val="005167B0"/>
    <w:rsid w:val="00520F3A"/>
    <w:rsid w:val="005220B1"/>
    <w:rsid w:val="00535DA2"/>
    <w:rsid w:val="00537D3B"/>
    <w:rsid w:val="005427EF"/>
    <w:rsid w:val="005434E7"/>
    <w:rsid w:val="00544889"/>
    <w:rsid w:val="00545624"/>
    <w:rsid w:val="005465EB"/>
    <w:rsid w:val="00547685"/>
    <w:rsid w:val="005478D6"/>
    <w:rsid w:val="00547D49"/>
    <w:rsid w:val="00551431"/>
    <w:rsid w:val="005527F5"/>
    <w:rsid w:val="00553A25"/>
    <w:rsid w:val="00553C9D"/>
    <w:rsid w:val="00554AA8"/>
    <w:rsid w:val="00554E36"/>
    <w:rsid w:val="00560D58"/>
    <w:rsid w:val="00561DAE"/>
    <w:rsid w:val="00562280"/>
    <w:rsid w:val="00563086"/>
    <w:rsid w:val="005635FF"/>
    <w:rsid w:val="00565DB5"/>
    <w:rsid w:val="00570229"/>
    <w:rsid w:val="00571846"/>
    <w:rsid w:val="00572262"/>
    <w:rsid w:val="00573883"/>
    <w:rsid w:val="005747B3"/>
    <w:rsid w:val="0058049F"/>
    <w:rsid w:val="00580A21"/>
    <w:rsid w:val="00581580"/>
    <w:rsid w:val="0058438D"/>
    <w:rsid w:val="00585658"/>
    <w:rsid w:val="005871C5"/>
    <w:rsid w:val="005878EE"/>
    <w:rsid w:val="00587D90"/>
    <w:rsid w:val="00591C00"/>
    <w:rsid w:val="00591F1A"/>
    <w:rsid w:val="005923B5"/>
    <w:rsid w:val="00592889"/>
    <w:rsid w:val="00596663"/>
    <w:rsid w:val="0059690C"/>
    <w:rsid w:val="00597029"/>
    <w:rsid w:val="005A436D"/>
    <w:rsid w:val="005A461E"/>
    <w:rsid w:val="005A4AF6"/>
    <w:rsid w:val="005B2A80"/>
    <w:rsid w:val="005B2F4A"/>
    <w:rsid w:val="005B4980"/>
    <w:rsid w:val="005B7239"/>
    <w:rsid w:val="005C451F"/>
    <w:rsid w:val="005C52DE"/>
    <w:rsid w:val="005C66F5"/>
    <w:rsid w:val="005D0DDD"/>
    <w:rsid w:val="005D2785"/>
    <w:rsid w:val="005D2803"/>
    <w:rsid w:val="005D4334"/>
    <w:rsid w:val="005D487F"/>
    <w:rsid w:val="005D49A6"/>
    <w:rsid w:val="005D7351"/>
    <w:rsid w:val="005E10A3"/>
    <w:rsid w:val="005E138A"/>
    <w:rsid w:val="005E37AB"/>
    <w:rsid w:val="005E3EE5"/>
    <w:rsid w:val="005E5741"/>
    <w:rsid w:val="005F0799"/>
    <w:rsid w:val="005F0E87"/>
    <w:rsid w:val="00600295"/>
    <w:rsid w:val="00600F7E"/>
    <w:rsid w:val="006020FA"/>
    <w:rsid w:val="00602446"/>
    <w:rsid w:val="00602908"/>
    <w:rsid w:val="006055FF"/>
    <w:rsid w:val="00606E2C"/>
    <w:rsid w:val="006073C4"/>
    <w:rsid w:val="006108C5"/>
    <w:rsid w:val="0061291F"/>
    <w:rsid w:val="00614A2B"/>
    <w:rsid w:val="006152B6"/>
    <w:rsid w:val="00615F52"/>
    <w:rsid w:val="00616859"/>
    <w:rsid w:val="006235B3"/>
    <w:rsid w:val="00626839"/>
    <w:rsid w:val="0062700A"/>
    <w:rsid w:val="00632343"/>
    <w:rsid w:val="00632AA5"/>
    <w:rsid w:val="00632BEC"/>
    <w:rsid w:val="0063484B"/>
    <w:rsid w:val="00637CC5"/>
    <w:rsid w:val="006424CE"/>
    <w:rsid w:val="0064534A"/>
    <w:rsid w:val="00646A0C"/>
    <w:rsid w:val="00651691"/>
    <w:rsid w:val="00653C95"/>
    <w:rsid w:val="00654491"/>
    <w:rsid w:val="00656783"/>
    <w:rsid w:val="00660531"/>
    <w:rsid w:val="006606DB"/>
    <w:rsid w:val="006619DA"/>
    <w:rsid w:val="0066278D"/>
    <w:rsid w:val="00662B55"/>
    <w:rsid w:val="0066384C"/>
    <w:rsid w:val="00664908"/>
    <w:rsid w:val="00664D9E"/>
    <w:rsid w:val="006669B8"/>
    <w:rsid w:val="006702D4"/>
    <w:rsid w:val="00671A5F"/>
    <w:rsid w:val="00672415"/>
    <w:rsid w:val="00673F2A"/>
    <w:rsid w:val="0067497C"/>
    <w:rsid w:val="006763AC"/>
    <w:rsid w:val="00676BD2"/>
    <w:rsid w:val="00680AC9"/>
    <w:rsid w:val="0068194E"/>
    <w:rsid w:val="00681E0E"/>
    <w:rsid w:val="006820D7"/>
    <w:rsid w:val="00685B3E"/>
    <w:rsid w:val="00685E8E"/>
    <w:rsid w:val="0068637F"/>
    <w:rsid w:val="006865F4"/>
    <w:rsid w:val="0068782B"/>
    <w:rsid w:val="0069405D"/>
    <w:rsid w:val="00697175"/>
    <w:rsid w:val="00697186"/>
    <w:rsid w:val="006A0798"/>
    <w:rsid w:val="006A173A"/>
    <w:rsid w:val="006A3877"/>
    <w:rsid w:val="006A3B49"/>
    <w:rsid w:val="006B19A9"/>
    <w:rsid w:val="006B27D2"/>
    <w:rsid w:val="006B2B23"/>
    <w:rsid w:val="006B4AA2"/>
    <w:rsid w:val="006B5A77"/>
    <w:rsid w:val="006B66DE"/>
    <w:rsid w:val="006B6C24"/>
    <w:rsid w:val="006C41C7"/>
    <w:rsid w:val="006C4BE4"/>
    <w:rsid w:val="006D1580"/>
    <w:rsid w:val="006D1B24"/>
    <w:rsid w:val="006D3747"/>
    <w:rsid w:val="006D503D"/>
    <w:rsid w:val="006D52F8"/>
    <w:rsid w:val="006D590C"/>
    <w:rsid w:val="006D5B3E"/>
    <w:rsid w:val="006D644B"/>
    <w:rsid w:val="006D7F2F"/>
    <w:rsid w:val="006E0E20"/>
    <w:rsid w:val="006E1355"/>
    <w:rsid w:val="006E4515"/>
    <w:rsid w:val="006E4E09"/>
    <w:rsid w:val="006E58E5"/>
    <w:rsid w:val="0070144A"/>
    <w:rsid w:val="00701A3C"/>
    <w:rsid w:val="00702C97"/>
    <w:rsid w:val="00704685"/>
    <w:rsid w:val="00705EFC"/>
    <w:rsid w:val="00706517"/>
    <w:rsid w:val="007076FE"/>
    <w:rsid w:val="007111EC"/>
    <w:rsid w:val="00713D31"/>
    <w:rsid w:val="0071584D"/>
    <w:rsid w:val="0072195F"/>
    <w:rsid w:val="00722BCC"/>
    <w:rsid w:val="0072407E"/>
    <w:rsid w:val="00724FB7"/>
    <w:rsid w:val="00725A80"/>
    <w:rsid w:val="00727F7B"/>
    <w:rsid w:val="007317D9"/>
    <w:rsid w:val="007428F2"/>
    <w:rsid w:val="00743515"/>
    <w:rsid w:val="007440FD"/>
    <w:rsid w:val="00747AAE"/>
    <w:rsid w:val="00750A92"/>
    <w:rsid w:val="0075240E"/>
    <w:rsid w:val="00757982"/>
    <w:rsid w:val="007634D1"/>
    <w:rsid w:val="0076686D"/>
    <w:rsid w:val="00773122"/>
    <w:rsid w:val="0077362E"/>
    <w:rsid w:val="00781000"/>
    <w:rsid w:val="007816A7"/>
    <w:rsid w:val="007858BD"/>
    <w:rsid w:val="007876B0"/>
    <w:rsid w:val="00787FDA"/>
    <w:rsid w:val="007956DB"/>
    <w:rsid w:val="0079712F"/>
    <w:rsid w:val="007A0DAB"/>
    <w:rsid w:val="007A13AB"/>
    <w:rsid w:val="007A3216"/>
    <w:rsid w:val="007A542D"/>
    <w:rsid w:val="007A7157"/>
    <w:rsid w:val="007B08B4"/>
    <w:rsid w:val="007B2B4F"/>
    <w:rsid w:val="007B3EAC"/>
    <w:rsid w:val="007C0BEE"/>
    <w:rsid w:val="007C4AB2"/>
    <w:rsid w:val="007D34C4"/>
    <w:rsid w:val="007D6E7A"/>
    <w:rsid w:val="007E0D53"/>
    <w:rsid w:val="007E0E01"/>
    <w:rsid w:val="007E111F"/>
    <w:rsid w:val="007E1CA1"/>
    <w:rsid w:val="007E7A40"/>
    <w:rsid w:val="007F0058"/>
    <w:rsid w:val="007F00C6"/>
    <w:rsid w:val="007F04CC"/>
    <w:rsid w:val="007F2868"/>
    <w:rsid w:val="007F3B67"/>
    <w:rsid w:val="00800155"/>
    <w:rsid w:val="00800471"/>
    <w:rsid w:val="008014D6"/>
    <w:rsid w:val="008033CC"/>
    <w:rsid w:val="008063FF"/>
    <w:rsid w:val="008068DA"/>
    <w:rsid w:val="00807F21"/>
    <w:rsid w:val="008139AA"/>
    <w:rsid w:val="00817EE9"/>
    <w:rsid w:val="00826BF0"/>
    <w:rsid w:val="00827CA7"/>
    <w:rsid w:val="00830D0F"/>
    <w:rsid w:val="00830FD0"/>
    <w:rsid w:val="0083346B"/>
    <w:rsid w:val="008455FE"/>
    <w:rsid w:val="0084697C"/>
    <w:rsid w:val="00847225"/>
    <w:rsid w:val="00847A33"/>
    <w:rsid w:val="00847ACC"/>
    <w:rsid w:val="0085037B"/>
    <w:rsid w:val="00851488"/>
    <w:rsid w:val="00851D6F"/>
    <w:rsid w:val="00852420"/>
    <w:rsid w:val="00862286"/>
    <w:rsid w:val="00863DE8"/>
    <w:rsid w:val="008645BA"/>
    <w:rsid w:val="00864901"/>
    <w:rsid w:val="00867377"/>
    <w:rsid w:val="00867C5D"/>
    <w:rsid w:val="00870414"/>
    <w:rsid w:val="00871FFE"/>
    <w:rsid w:val="00872D8F"/>
    <w:rsid w:val="00872DCB"/>
    <w:rsid w:val="00872FD6"/>
    <w:rsid w:val="008741E8"/>
    <w:rsid w:val="00874416"/>
    <w:rsid w:val="00875F4C"/>
    <w:rsid w:val="008760EB"/>
    <w:rsid w:val="008764CF"/>
    <w:rsid w:val="00880840"/>
    <w:rsid w:val="00882CA2"/>
    <w:rsid w:val="008836C9"/>
    <w:rsid w:val="00884A75"/>
    <w:rsid w:val="008863FF"/>
    <w:rsid w:val="008904B1"/>
    <w:rsid w:val="0089105B"/>
    <w:rsid w:val="008927E1"/>
    <w:rsid w:val="00893A48"/>
    <w:rsid w:val="008A0E63"/>
    <w:rsid w:val="008A4784"/>
    <w:rsid w:val="008B1C2C"/>
    <w:rsid w:val="008B2E44"/>
    <w:rsid w:val="008B3F58"/>
    <w:rsid w:val="008B44DF"/>
    <w:rsid w:val="008B4F78"/>
    <w:rsid w:val="008C14DE"/>
    <w:rsid w:val="008C2BAF"/>
    <w:rsid w:val="008C327E"/>
    <w:rsid w:val="008D1190"/>
    <w:rsid w:val="008D47EF"/>
    <w:rsid w:val="008D4D11"/>
    <w:rsid w:val="008D7D76"/>
    <w:rsid w:val="008D7F40"/>
    <w:rsid w:val="008E00C3"/>
    <w:rsid w:val="008E0724"/>
    <w:rsid w:val="008E2B47"/>
    <w:rsid w:val="008E40FD"/>
    <w:rsid w:val="008F1E46"/>
    <w:rsid w:val="008F3B45"/>
    <w:rsid w:val="008F4EEE"/>
    <w:rsid w:val="008F6408"/>
    <w:rsid w:val="008F6766"/>
    <w:rsid w:val="008F6A67"/>
    <w:rsid w:val="008F6CBE"/>
    <w:rsid w:val="00900064"/>
    <w:rsid w:val="0090095B"/>
    <w:rsid w:val="00900F81"/>
    <w:rsid w:val="00903434"/>
    <w:rsid w:val="009053CE"/>
    <w:rsid w:val="00905DDE"/>
    <w:rsid w:val="0091035C"/>
    <w:rsid w:val="00911181"/>
    <w:rsid w:val="0091124A"/>
    <w:rsid w:val="009140EB"/>
    <w:rsid w:val="00915790"/>
    <w:rsid w:val="00915D83"/>
    <w:rsid w:val="00920372"/>
    <w:rsid w:val="00923BCB"/>
    <w:rsid w:val="00925A4D"/>
    <w:rsid w:val="00926DEB"/>
    <w:rsid w:val="00932810"/>
    <w:rsid w:val="00932BBD"/>
    <w:rsid w:val="0093568D"/>
    <w:rsid w:val="00943D39"/>
    <w:rsid w:val="009440DD"/>
    <w:rsid w:val="009448A0"/>
    <w:rsid w:val="00944D4C"/>
    <w:rsid w:val="00947B40"/>
    <w:rsid w:val="00952636"/>
    <w:rsid w:val="00953EBD"/>
    <w:rsid w:val="00957A99"/>
    <w:rsid w:val="00957C0B"/>
    <w:rsid w:val="00963FA8"/>
    <w:rsid w:val="00965F4D"/>
    <w:rsid w:val="009677D7"/>
    <w:rsid w:val="00971EE6"/>
    <w:rsid w:val="00974212"/>
    <w:rsid w:val="00974B08"/>
    <w:rsid w:val="00974C08"/>
    <w:rsid w:val="0097534C"/>
    <w:rsid w:val="00976E04"/>
    <w:rsid w:val="009825DF"/>
    <w:rsid w:val="0098436F"/>
    <w:rsid w:val="00987FEA"/>
    <w:rsid w:val="00993069"/>
    <w:rsid w:val="009967B7"/>
    <w:rsid w:val="0099738D"/>
    <w:rsid w:val="0099775D"/>
    <w:rsid w:val="009A1916"/>
    <w:rsid w:val="009A3606"/>
    <w:rsid w:val="009A464B"/>
    <w:rsid w:val="009B2823"/>
    <w:rsid w:val="009B3A3E"/>
    <w:rsid w:val="009B3B61"/>
    <w:rsid w:val="009B470C"/>
    <w:rsid w:val="009B55FC"/>
    <w:rsid w:val="009B5663"/>
    <w:rsid w:val="009C07A6"/>
    <w:rsid w:val="009C1DCC"/>
    <w:rsid w:val="009C3D50"/>
    <w:rsid w:val="009C5857"/>
    <w:rsid w:val="009C609D"/>
    <w:rsid w:val="009C7FDC"/>
    <w:rsid w:val="009D10BB"/>
    <w:rsid w:val="009D1BB0"/>
    <w:rsid w:val="009D1BEE"/>
    <w:rsid w:val="009D2DD7"/>
    <w:rsid w:val="009D7184"/>
    <w:rsid w:val="009D724E"/>
    <w:rsid w:val="009E088F"/>
    <w:rsid w:val="009E1581"/>
    <w:rsid w:val="009E3684"/>
    <w:rsid w:val="009E3DD0"/>
    <w:rsid w:val="009E4305"/>
    <w:rsid w:val="009E7D76"/>
    <w:rsid w:val="009F1E51"/>
    <w:rsid w:val="009F29E9"/>
    <w:rsid w:val="009F3870"/>
    <w:rsid w:val="009F4E10"/>
    <w:rsid w:val="00A05A03"/>
    <w:rsid w:val="00A063D8"/>
    <w:rsid w:val="00A06B33"/>
    <w:rsid w:val="00A07EB4"/>
    <w:rsid w:val="00A10A34"/>
    <w:rsid w:val="00A13094"/>
    <w:rsid w:val="00A143D2"/>
    <w:rsid w:val="00A14AE1"/>
    <w:rsid w:val="00A21501"/>
    <w:rsid w:val="00A234CE"/>
    <w:rsid w:val="00A24911"/>
    <w:rsid w:val="00A26FF8"/>
    <w:rsid w:val="00A306E3"/>
    <w:rsid w:val="00A332A2"/>
    <w:rsid w:val="00A349F8"/>
    <w:rsid w:val="00A35DA2"/>
    <w:rsid w:val="00A40FDA"/>
    <w:rsid w:val="00A43EDC"/>
    <w:rsid w:val="00A446C3"/>
    <w:rsid w:val="00A449B1"/>
    <w:rsid w:val="00A44C75"/>
    <w:rsid w:val="00A47746"/>
    <w:rsid w:val="00A52346"/>
    <w:rsid w:val="00A5243B"/>
    <w:rsid w:val="00A54281"/>
    <w:rsid w:val="00A61335"/>
    <w:rsid w:val="00A6569C"/>
    <w:rsid w:val="00A65C14"/>
    <w:rsid w:val="00A67136"/>
    <w:rsid w:val="00A677BE"/>
    <w:rsid w:val="00A7012D"/>
    <w:rsid w:val="00A72B5F"/>
    <w:rsid w:val="00A742C2"/>
    <w:rsid w:val="00A7477E"/>
    <w:rsid w:val="00A75F11"/>
    <w:rsid w:val="00A76121"/>
    <w:rsid w:val="00A76A9A"/>
    <w:rsid w:val="00A8148C"/>
    <w:rsid w:val="00A8372B"/>
    <w:rsid w:val="00A875ED"/>
    <w:rsid w:val="00A903DA"/>
    <w:rsid w:val="00A920D1"/>
    <w:rsid w:val="00A923EC"/>
    <w:rsid w:val="00A92BC8"/>
    <w:rsid w:val="00A94B29"/>
    <w:rsid w:val="00A94D08"/>
    <w:rsid w:val="00A94DAF"/>
    <w:rsid w:val="00A95786"/>
    <w:rsid w:val="00A967DD"/>
    <w:rsid w:val="00A96F4C"/>
    <w:rsid w:val="00AA7744"/>
    <w:rsid w:val="00AB2B30"/>
    <w:rsid w:val="00AB389D"/>
    <w:rsid w:val="00AB59BA"/>
    <w:rsid w:val="00AB5DAD"/>
    <w:rsid w:val="00AB69EE"/>
    <w:rsid w:val="00AC2887"/>
    <w:rsid w:val="00AC510D"/>
    <w:rsid w:val="00AD1651"/>
    <w:rsid w:val="00AD1B6F"/>
    <w:rsid w:val="00AD3279"/>
    <w:rsid w:val="00AD6B99"/>
    <w:rsid w:val="00AD6EEB"/>
    <w:rsid w:val="00AD7421"/>
    <w:rsid w:val="00AD77FE"/>
    <w:rsid w:val="00AE13DE"/>
    <w:rsid w:val="00AE206F"/>
    <w:rsid w:val="00AE2C9A"/>
    <w:rsid w:val="00AE5E6D"/>
    <w:rsid w:val="00AE5F5E"/>
    <w:rsid w:val="00AE6392"/>
    <w:rsid w:val="00AE6C95"/>
    <w:rsid w:val="00AE767D"/>
    <w:rsid w:val="00AE76F2"/>
    <w:rsid w:val="00AF197A"/>
    <w:rsid w:val="00AF1ABD"/>
    <w:rsid w:val="00AF4A5C"/>
    <w:rsid w:val="00AF5669"/>
    <w:rsid w:val="00AF56B8"/>
    <w:rsid w:val="00AF7E50"/>
    <w:rsid w:val="00B00176"/>
    <w:rsid w:val="00B011F8"/>
    <w:rsid w:val="00B0238F"/>
    <w:rsid w:val="00B04D51"/>
    <w:rsid w:val="00B06379"/>
    <w:rsid w:val="00B06C3A"/>
    <w:rsid w:val="00B107FB"/>
    <w:rsid w:val="00B11387"/>
    <w:rsid w:val="00B13D22"/>
    <w:rsid w:val="00B15946"/>
    <w:rsid w:val="00B15D8D"/>
    <w:rsid w:val="00B160CF"/>
    <w:rsid w:val="00B16320"/>
    <w:rsid w:val="00B17790"/>
    <w:rsid w:val="00B2375A"/>
    <w:rsid w:val="00B3000A"/>
    <w:rsid w:val="00B30488"/>
    <w:rsid w:val="00B317DC"/>
    <w:rsid w:val="00B34DA3"/>
    <w:rsid w:val="00B35D6E"/>
    <w:rsid w:val="00B36B84"/>
    <w:rsid w:val="00B40908"/>
    <w:rsid w:val="00B40AC9"/>
    <w:rsid w:val="00B427E3"/>
    <w:rsid w:val="00B44865"/>
    <w:rsid w:val="00B451C3"/>
    <w:rsid w:val="00B4525F"/>
    <w:rsid w:val="00B47A94"/>
    <w:rsid w:val="00B534E5"/>
    <w:rsid w:val="00B53677"/>
    <w:rsid w:val="00B55AEB"/>
    <w:rsid w:val="00B579F5"/>
    <w:rsid w:val="00B65496"/>
    <w:rsid w:val="00B70844"/>
    <w:rsid w:val="00B70C83"/>
    <w:rsid w:val="00B7588C"/>
    <w:rsid w:val="00B76188"/>
    <w:rsid w:val="00B80903"/>
    <w:rsid w:val="00B81ED3"/>
    <w:rsid w:val="00B85775"/>
    <w:rsid w:val="00B87337"/>
    <w:rsid w:val="00B90897"/>
    <w:rsid w:val="00B91C7A"/>
    <w:rsid w:val="00B939D5"/>
    <w:rsid w:val="00B95CA6"/>
    <w:rsid w:val="00B978BA"/>
    <w:rsid w:val="00BA0E96"/>
    <w:rsid w:val="00BB0833"/>
    <w:rsid w:val="00BB1E11"/>
    <w:rsid w:val="00BB3688"/>
    <w:rsid w:val="00BB4434"/>
    <w:rsid w:val="00BB5EF5"/>
    <w:rsid w:val="00BB697B"/>
    <w:rsid w:val="00BC27BA"/>
    <w:rsid w:val="00BC5168"/>
    <w:rsid w:val="00BC57AC"/>
    <w:rsid w:val="00BC5F49"/>
    <w:rsid w:val="00BD0C6A"/>
    <w:rsid w:val="00BD3C55"/>
    <w:rsid w:val="00BD5250"/>
    <w:rsid w:val="00BD5C32"/>
    <w:rsid w:val="00BE053E"/>
    <w:rsid w:val="00BE4503"/>
    <w:rsid w:val="00BE4EFA"/>
    <w:rsid w:val="00BE5AB0"/>
    <w:rsid w:val="00BE67C5"/>
    <w:rsid w:val="00BF1163"/>
    <w:rsid w:val="00BF1A5A"/>
    <w:rsid w:val="00BF2F5E"/>
    <w:rsid w:val="00BF3D0A"/>
    <w:rsid w:val="00BF4269"/>
    <w:rsid w:val="00BF47B9"/>
    <w:rsid w:val="00BF4890"/>
    <w:rsid w:val="00BF55E3"/>
    <w:rsid w:val="00BF5920"/>
    <w:rsid w:val="00BF5C28"/>
    <w:rsid w:val="00BF6496"/>
    <w:rsid w:val="00C05B7F"/>
    <w:rsid w:val="00C111CA"/>
    <w:rsid w:val="00C112FF"/>
    <w:rsid w:val="00C13CED"/>
    <w:rsid w:val="00C13E19"/>
    <w:rsid w:val="00C224A1"/>
    <w:rsid w:val="00C423D1"/>
    <w:rsid w:val="00C42DE3"/>
    <w:rsid w:val="00C4594E"/>
    <w:rsid w:val="00C45C04"/>
    <w:rsid w:val="00C467D0"/>
    <w:rsid w:val="00C51642"/>
    <w:rsid w:val="00C5266D"/>
    <w:rsid w:val="00C56D18"/>
    <w:rsid w:val="00C56EFA"/>
    <w:rsid w:val="00C575EF"/>
    <w:rsid w:val="00C6029D"/>
    <w:rsid w:val="00C618C6"/>
    <w:rsid w:val="00C63C05"/>
    <w:rsid w:val="00C65FD8"/>
    <w:rsid w:val="00C70511"/>
    <w:rsid w:val="00C71C28"/>
    <w:rsid w:val="00C735BF"/>
    <w:rsid w:val="00C752BD"/>
    <w:rsid w:val="00C81A33"/>
    <w:rsid w:val="00C83108"/>
    <w:rsid w:val="00C8347A"/>
    <w:rsid w:val="00C835D7"/>
    <w:rsid w:val="00C83AC3"/>
    <w:rsid w:val="00C83E33"/>
    <w:rsid w:val="00C84901"/>
    <w:rsid w:val="00C85BB2"/>
    <w:rsid w:val="00C87BF5"/>
    <w:rsid w:val="00C91567"/>
    <w:rsid w:val="00C9467D"/>
    <w:rsid w:val="00C953F4"/>
    <w:rsid w:val="00C96992"/>
    <w:rsid w:val="00C96C09"/>
    <w:rsid w:val="00C975D6"/>
    <w:rsid w:val="00CA1EF9"/>
    <w:rsid w:val="00CA24C1"/>
    <w:rsid w:val="00CA2836"/>
    <w:rsid w:val="00CA77EC"/>
    <w:rsid w:val="00CA7A2F"/>
    <w:rsid w:val="00CB0EF0"/>
    <w:rsid w:val="00CB20BD"/>
    <w:rsid w:val="00CB395C"/>
    <w:rsid w:val="00CB597A"/>
    <w:rsid w:val="00CC3B85"/>
    <w:rsid w:val="00CC67A5"/>
    <w:rsid w:val="00CC6C92"/>
    <w:rsid w:val="00CD53C4"/>
    <w:rsid w:val="00CD7ABD"/>
    <w:rsid w:val="00CE037E"/>
    <w:rsid w:val="00CE2221"/>
    <w:rsid w:val="00CE2AB3"/>
    <w:rsid w:val="00CE719F"/>
    <w:rsid w:val="00CF0AB0"/>
    <w:rsid w:val="00CF54B6"/>
    <w:rsid w:val="00D01662"/>
    <w:rsid w:val="00D030BC"/>
    <w:rsid w:val="00D063FB"/>
    <w:rsid w:val="00D06D3A"/>
    <w:rsid w:val="00D072E8"/>
    <w:rsid w:val="00D14CFF"/>
    <w:rsid w:val="00D165AB"/>
    <w:rsid w:val="00D22275"/>
    <w:rsid w:val="00D2424B"/>
    <w:rsid w:val="00D245FE"/>
    <w:rsid w:val="00D33E60"/>
    <w:rsid w:val="00D366F4"/>
    <w:rsid w:val="00D40B25"/>
    <w:rsid w:val="00D45538"/>
    <w:rsid w:val="00D464B5"/>
    <w:rsid w:val="00D47583"/>
    <w:rsid w:val="00D47779"/>
    <w:rsid w:val="00D50F58"/>
    <w:rsid w:val="00D5323B"/>
    <w:rsid w:val="00D57EA2"/>
    <w:rsid w:val="00D647D4"/>
    <w:rsid w:val="00D66BD5"/>
    <w:rsid w:val="00D67CD0"/>
    <w:rsid w:val="00D7186D"/>
    <w:rsid w:val="00D74DF6"/>
    <w:rsid w:val="00D75537"/>
    <w:rsid w:val="00D7610A"/>
    <w:rsid w:val="00D7628F"/>
    <w:rsid w:val="00D77752"/>
    <w:rsid w:val="00D8307F"/>
    <w:rsid w:val="00D924BC"/>
    <w:rsid w:val="00D965EB"/>
    <w:rsid w:val="00D96F90"/>
    <w:rsid w:val="00DA188A"/>
    <w:rsid w:val="00DA1BB8"/>
    <w:rsid w:val="00DA3112"/>
    <w:rsid w:val="00DB1E9C"/>
    <w:rsid w:val="00DB34EB"/>
    <w:rsid w:val="00DB3527"/>
    <w:rsid w:val="00DB460B"/>
    <w:rsid w:val="00DB4DEA"/>
    <w:rsid w:val="00DB5174"/>
    <w:rsid w:val="00DC3373"/>
    <w:rsid w:val="00DC662B"/>
    <w:rsid w:val="00DD0103"/>
    <w:rsid w:val="00DD0234"/>
    <w:rsid w:val="00DD45F8"/>
    <w:rsid w:val="00DD597D"/>
    <w:rsid w:val="00DD7A26"/>
    <w:rsid w:val="00DE1079"/>
    <w:rsid w:val="00DE2130"/>
    <w:rsid w:val="00DE3077"/>
    <w:rsid w:val="00DE3DB7"/>
    <w:rsid w:val="00DE551A"/>
    <w:rsid w:val="00DE5E4B"/>
    <w:rsid w:val="00DF0F27"/>
    <w:rsid w:val="00DF17B5"/>
    <w:rsid w:val="00DF27D0"/>
    <w:rsid w:val="00DF34CB"/>
    <w:rsid w:val="00DF6D17"/>
    <w:rsid w:val="00DF7BAB"/>
    <w:rsid w:val="00E00792"/>
    <w:rsid w:val="00E00926"/>
    <w:rsid w:val="00E043FD"/>
    <w:rsid w:val="00E04FC2"/>
    <w:rsid w:val="00E10418"/>
    <w:rsid w:val="00E10AA8"/>
    <w:rsid w:val="00E11E12"/>
    <w:rsid w:val="00E12959"/>
    <w:rsid w:val="00E16A22"/>
    <w:rsid w:val="00E244C6"/>
    <w:rsid w:val="00E26B98"/>
    <w:rsid w:val="00E32CDD"/>
    <w:rsid w:val="00E3363E"/>
    <w:rsid w:val="00E34247"/>
    <w:rsid w:val="00E349EA"/>
    <w:rsid w:val="00E350CF"/>
    <w:rsid w:val="00E429CB"/>
    <w:rsid w:val="00E4359F"/>
    <w:rsid w:val="00E461AD"/>
    <w:rsid w:val="00E470F9"/>
    <w:rsid w:val="00E51453"/>
    <w:rsid w:val="00E5163E"/>
    <w:rsid w:val="00E52E28"/>
    <w:rsid w:val="00E57663"/>
    <w:rsid w:val="00E6065C"/>
    <w:rsid w:val="00E64DE4"/>
    <w:rsid w:val="00E64FEB"/>
    <w:rsid w:val="00E657E1"/>
    <w:rsid w:val="00E6799C"/>
    <w:rsid w:val="00E747C7"/>
    <w:rsid w:val="00E7513F"/>
    <w:rsid w:val="00E8163A"/>
    <w:rsid w:val="00E84C4F"/>
    <w:rsid w:val="00E90246"/>
    <w:rsid w:val="00E90AFB"/>
    <w:rsid w:val="00E90D6D"/>
    <w:rsid w:val="00E92B5A"/>
    <w:rsid w:val="00E932CF"/>
    <w:rsid w:val="00E973D7"/>
    <w:rsid w:val="00EA316D"/>
    <w:rsid w:val="00EA33DF"/>
    <w:rsid w:val="00EA799C"/>
    <w:rsid w:val="00EB0FF2"/>
    <w:rsid w:val="00EB3200"/>
    <w:rsid w:val="00EB36A8"/>
    <w:rsid w:val="00EB557D"/>
    <w:rsid w:val="00EB5D06"/>
    <w:rsid w:val="00EB6ADC"/>
    <w:rsid w:val="00EB6D8F"/>
    <w:rsid w:val="00ED185C"/>
    <w:rsid w:val="00ED416D"/>
    <w:rsid w:val="00ED6465"/>
    <w:rsid w:val="00ED7618"/>
    <w:rsid w:val="00EE1C3D"/>
    <w:rsid w:val="00EE34E4"/>
    <w:rsid w:val="00EE4907"/>
    <w:rsid w:val="00EE55C2"/>
    <w:rsid w:val="00EE76E0"/>
    <w:rsid w:val="00EE7F48"/>
    <w:rsid w:val="00EF366C"/>
    <w:rsid w:val="00EF76C0"/>
    <w:rsid w:val="00F0053D"/>
    <w:rsid w:val="00F00B8B"/>
    <w:rsid w:val="00F0528D"/>
    <w:rsid w:val="00F07DA2"/>
    <w:rsid w:val="00F110DF"/>
    <w:rsid w:val="00F11147"/>
    <w:rsid w:val="00F12D61"/>
    <w:rsid w:val="00F13583"/>
    <w:rsid w:val="00F14932"/>
    <w:rsid w:val="00F15A97"/>
    <w:rsid w:val="00F162B2"/>
    <w:rsid w:val="00F206A2"/>
    <w:rsid w:val="00F21E93"/>
    <w:rsid w:val="00F24427"/>
    <w:rsid w:val="00F3078D"/>
    <w:rsid w:val="00F31FA4"/>
    <w:rsid w:val="00F32A37"/>
    <w:rsid w:val="00F3441A"/>
    <w:rsid w:val="00F355A6"/>
    <w:rsid w:val="00F36E70"/>
    <w:rsid w:val="00F376C2"/>
    <w:rsid w:val="00F37772"/>
    <w:rsid w:val="00F4271D"/>
    <w:rsid w:val="00F44DD5"/>
    <w:rsid w:val="00F4504C"/>
    <w:rsid w:val="00F469EB"/>
    <w:rsid w:val="00F4739A"/>
    <w:rsid w:val="00F537A5"/>
    <w:rsid w:val="00F54823"/>
    <w:rsid w:val="00F56CDA"/>
    <w:rsid w:val="00F57432"/>
    <w:rsid w:val="00F66914"/>
    <w:rsid w:val="00F66972"/>
    <w:rsid w:val="00F70661"/>
    <w:rsid w:val="00F71B59"/>
    <w:rsid w:val="00F75CF9"/>
    <w:rsid w:val="00F77CDA"/>
    <w:rsid w:val="00F77EAE"/>
    <w:rsid w:val="00F80343"/>
    <w:rsid w:val="00F8082B"/>
    <w:rsid w:val="00F8143D"/>
    <w:rsid w:val="00F82C3B"/>
    <w:rsid w:val="00F82FB5"/>
    <w:rsid w:val="00F846D1"/>
    <w:rsid w:val="00F875A9"/>
    <w:rsid w:val="00F90ED1"/>
    <w:rsid w:val="00F91FF5"/>
    <w:rsid w:val="00F9471A"/>
    <w:rsid w:val="00FA0206"/>
    <w:rsid w:val="00FA1221"/>
    <w:rsid w:val="00FA2409"/>
    <w:rsid w:val="00FA492A"/>
    <w:rsid w:val="00FA75FB"/>
    <w:rsid w:val="00FB42EE"/>
    <w:rsid w:val="00FB55B6"/>
    <w:rsid w:val="00FC10C4"/>
    <w:rsid w:val="00FC5618"/>
    <w:rsid w:val="00FD0065"/>
    <w:rsid w:val="00FD037C"/>
    <w:rsid w:val="00FD78C0"/>
    <w:rsid w:val="00FD7BA4"/>
    <w:rsid w:val="00FE1F4C"/>
    <w:rsid w:val="00FE5244"/>
    <w:rsid w:val="00FF20D4"/>
    <w:rsid w:val="00FF292D"/>
    <w:rsid w:val="00FF3D17"/>
    <w:rsid w:val="00FF5141"/>
    <w:rsid w:val="00FF7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33F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747C7"/>
    <w:pPr>
      <w:widowControl w:val="0"/>
    </w:pPr>
    <w:rPr>
      <w:snapToGrid w:val="0"/>
      <w:kern w:val="28"/>
      <w:szCs w:val="20"/>
    </w:rPr>
  </w:style>
  <w:style w:type="paragraph" w:styleId="Heading1">
    <w:name w:val="heading 1"/>
    <w:basedOn w:val="Normal"/>
    <w:next w:val="ParaNum"/>
    <w:link w:val="Heading1Char"/>
    <w:qFormat/>
    <w:rsid w:val="00E747C7"/>
    <w:pPr>
      <w:keepNext/>
      <w:numPr>
        <w:numId w:val="4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747C7"/>
    <w:pPr>
      <w:keepNext/>
      <w:numPr>
        <w:ilvl w:val="1"/>
        <w:numId w:val="47"/>
      </w:numPr>
      <w:spacing w:after="120"/>
      <w:outlineLvl w:val="1"/>
    </w:pPr>
    <w:rPr>
      <w:b/>
    </w:rPr>
  </w:style>
  <w:style w:type="paragraph" w:styleId="Heading3">
    <w:name w:val="heading 3"/>
    <w:basedOn w:val="Normal"/>
    <w:next w:val="ParaNum"/>
    <w:link w:val="Heading3Char"/>
    <w:qFormat/>
    <w:rsid w:val="00E747C7"/>
    <w:pPr>
      <w:keepNext/>
      <w:numPr>
        <w:ilvl w:val="2"/>
        <w:numId w:val="47"/>
      </w:numPr>
      <w:tabs>
        <w:tab w:val="left" w:pos="2160"/>
      </w:tabs>
      <w:spacing w:after="120"/>
      <w:outlineLvl w:val="2"/>
    </w:pPr>
    <w:rPr>
      <w:b/>
    </w:rPr>
  </w:style>
  <w:style w:type="paragraph" w:styleId="Heading4">
    <w:name w:val="heading 4"/>
    <w:basedOn w:val="Normal"/>
    <w:next w:val="ParaNum"/>
    <w:link w:val="Heading4Char"/>
    <w:qFormat/>
    <w:rsid w:val="00E747C7"/>
    <w:pPr>
      <w:keepNext/>
      <w:numPr>
        <w:ilvl w:val="3"/>
        <w:numId w:val="47"/>
      </w:numPr>
      <w:tabs>
        <w:tab w:val="left" w:pos="2880"/>
      </w:tabs>
      <w:spacing w:after="120"/>
      <w:outlineLvl w:val="3"/>
    </w:pPr>
    <w:rPr>
      <w:b/>
    </w:rPr>
  </w:style>
  <w:style w:type="paragraph" w:styleId="Heading5">
    <w:name w:val="heading 5"/>
    <w:basedOn w:val="Normal"/>
    <w:next w:val="ParaNum"/>
    <w:link w:val="Heading5Char"/>
    <w:qFormat/>
    <w:rsid w:val="00E747C7"/>
    <w:pPr>
      <w:keepNext/>
      <w:numPr>
        <w:ilvl w:val="4"/>
        <w:numId w:val="47"/>
      </w:numPr>
      <w:tabs>
        <w:tab w:val="left" w:pos="3600"/>
      </w:tabs>
      <w:suppressAutoHyphens/>
      <w:spacing w:after="120"/>
      <w:outlineLvl w:val="4"/>
    </w:pPr>
    <w:rPr>
      <w:b/>
    </w:rPr>
  </w:style>
  <w:style w:type="paragraph" w:styleId="Heading6">
    <w:name w:val="heading 6"/>
    <w:basedOn w:val="Normal"/>
    <w:next w:val="ParaNum"/>
    <w:link w:val="Heading6Char"/>
    <w:qFormat/>
    <w:rsid w:val="00E747C7"/>
    <w:pPr>
      <w:numPr>
        <w:ilvl w:val="5"/>
        <w:numId w:val="47"/>
      </w:numPr>
      <w:tabs>
        <w:tab w:val="left" w:pos="4320"/>
      </w:tabs>
      <w:spacing w:after="120"/>
      <w:outlineLvl w:val="5"/>
    </w:pPr>
    <w:rPr>
      <w:b/>
    </w:rPr>
  </w:style>
  <w:style w:type="paragraph" w:styleId="Heading7">
    <w:name w:val="heading 7"/>
    <w:basedOn w:val="Normal"/>
    <w:next w:val="ParaNum"/>
    <w:link w:val="Heading7Char"/>
    <w:qFormat/>
    <w:rsid w:val="00E747C7"/>
    <w:pPr>
      <w:numPr>
        <w:ilvl w:val="6"/>
        <w:numId w:val="47"/>
      </w:numPr>
      <w:tabs>
        <w:tab w:val="left" w:pos="5040"/>
      </w:tabs>
      <w:spacing w:after="120"/>
      <w:ind w:left="5040" w:hanging="720"/>
      <w:outlineLvl w:val="6"/>
    </w:pPr>
    <w:rPr>
      <w:b/>
    </w:rPr>
  </w:style>
  <w:style w:type="paragraph" w:styleId="Heading8">
    <w:name w:val="heading 8"/>
    <w:basedOn w:val="Normal"/>
    <w:next w:val="ParaNum"/>
    <w:link w:val="Heading8Char"/>
    <w:qFormat/>
    <w:rsid w:val="00E747C7"/>
    <w:pPr>
      <w:numPr>
        <w:ilvl w:val="7"/>
        <w:numId w:val="4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747C7"/>
    <w:pPr>
      <w:numPr>
        <w:ilvl w:val="8"/>
        <w:numId w:val="4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747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47C7"/>
  </w:style>
  <w:style w:type="character" w:customStyle="1" w:styleId="Heading1Char">
    <w:name w:val="Heading 1 Char"/>
    <w:basedOn w:val="DefaultParagraphFont"/>
    <w:link w:val="Heading1"/>
    <w:locked/>
    <w:rsid w:val="000574F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574F4"/>
    <w:rPr>
      <w:b/>
      <w:snapToGrid w:val="0"/>
      <w:kern w:val="28"/>
      <w:szCs w:val="20"/>
    </w:rPr>
  </w:style>
  <w:style w:type="character" w:customStyle="1" w:styleId="Heading3Char">
    <w:name w:val="Heading 3 Char"/>
    <w:basedOn w:val="DefaultParagraphFont"/>
    <w:link w:val="Heading3"/>
    <w:locked/>
    <w:rsid w:val="000574F4"/>
    <w:rPr>
      <w:b/>
      <w:snapToGrid w:val="0"/>
      <w:kern w:val="28"/>
      <w:szCs w:val="20"/>
    </w:rPr>
  </w:style>
  <w:style w:type="character" w:customStyle="1" w:styleId="Heading4Char">
    <w:name w:val="Heading 4 Char"/>
    <w:basedOn w:val="DefaultParagraphFont"/>
    <w:link w:val="Heading4"/>
    <w:locked/>
    <w:rsid w:val="000574F4"/>
    <w:rPr>
      <w:b/>
      <w:snapToGrid w:val="0"/>
      <w:kern w:val="28"/>
      <w:szCs w:val="20"/>
    </w:rPr>
  </w:style>
  <w:style w:type="character" w:customStyle="1" w:styleId="Heading5Char">
    <w:name w:val="Heading 5 Char"/>
    <w:basedOn w:val="DefaultParagraphFont"/>
    <w:link w:val="Heading5"/>
    <w:locked/>
    <w:rsid w:val="000574F4"/>
    <w:rPr>
      <w:b/>
      <w:snapToGrid w:val="0"/>
      <w:kern w:val="28"/>
      <w:szCs w:val="20"/>
    </w:rPr>
  </w:style>
  <w:style w:type="character" w:customStyle="1" w:styleId="Heading6Char">
    <w:name w:val="Heading 6 Char"/>
    <w:basedOn w:val="DefaultParagraphFont"/>
    <w:link w:val="Heading6"/>
    <w:locked/>
    <w:rsid w:val="000574F4"/>
    <w:rPr>
      <w:b/>
      <w:snapToGrid w:val="0"/>
      <w:kern w:val="28"/>
      <w:szCs w:val="20"/>
    </w:rPr>
  </w:style>
  <w:style w:type="character" w:customStyle="1" w:styleId="Heading7Char">
    <w:name w:val="Heading 7 Char"/>
    <w:basedOn w:val="DefaultParagraphFont"/>
    <w:link w:val="Heading7"/>
    <w:locked/>
    <w:rsid w:val="000574F4"/>
    <w:rPr>
      <w:b/>
      <w:snapToGrid w:val="0"/>
      <w:kern w:val="28"/>
      <w:szCs w:val="20"/>
    </w:rPr>
  </w:style>
  <w:style w:type="character" w:customStyle="1" w:styleId="Heading8Char">
    <w:name w:val="Heading 8 Char"/>
    <w:basedOn w:val="DefaultParagraphFont"/>
    <w:link w:val="Heading8"/>
    <w:locked/>
    <w:rsid w:val="000574F4"/>
    <w:rPr>
      <w:b/>
      <w:snapToGrid w:val="0"/>
      <w:kern w:val="28"/>
      <w:szCs w:val="20"/>
    </w:rPr>
  </w:style>
  <w:style w:type="character" w:customStyle="1" w:styleId="Heading9Char">
    <w:name w:val="Heading 9 Char"/>
    <w:basedOn w:val="DefaultParagraphFont"/>
    <w:link w:val="Heading9"/>
    <w:locked/>
    <w:rsid w:val="000574F4"/>
    <w:rPr>
      <w:b/>
      <w:snapToGrid w:val="0"/>
      <w:kern w:val="28"/>
      <w:szCs w:val="20"/>
    </w:rPr>
  </w:style>
  <w:style w:type="paragraph" w:styleId="Caption">
    <w:name w:val="caption"/>
    <w:basedOn w:val="Normal"/>
    <w:next w:val="Normal"/>
    <w:uiPriority w:val="99"/>
    <w:qFormat/>
    <w:rsid w:val="005878EE"/>
    <w:pPr>
      <w:spacing w:before="120" w:after="120"/>
    </w:pPr>
    <w:rPr>
      <w:b/>
    </w:rPr>
  </w:style>
  <w:style w:type="paragraph" w:customStyle="1" w:styleId="ParaNum">
    <w:name w:val="ParaNum"/>
    <w:basedOn w:val="Normal"/>
    <w:rsid w:val="00E747C7"/>
    <w:pPr>
      <w:numPr>
        <w:numId w:val="46"/>
      </w:numPr>
      <w:tabs>
        <w:tab w:val="clear" w:pos="1080"/>
        <w:tab w:val="num" w:pos="1440"/>
      </w:tabs>
      <w:spacing w:after="120"/>
    </w:pPr>
  </w:style>
  <w:style w:type="paragraph" w:styleId="FootnoteText">
    <w:name w:val="footnote text"/>
    <w:aliases w:val="Footnote Text Char2,Footnote Text Char1 Char1,Footnote Text Char2 Char Char,Footnote Text Char1 Char Char Char,Footnote Text Char1 Char Char Char Char Char,Footnote Text Char3 Char Char Char Char Char Char,Footnote Text Char1 Char Char2,f"/>
    <w:link w:val="FootnoteTextChar1"/>
    <w:rsid w:val="00E747C7"/>
    <w:pPr>
      <w:spacing w:after="120"/>
    </w:pPr>
    <w:rPr>
      <w:sz w:val="20"/>
      <w:szCs w:val="20"/>
    </w:rPr>
  </w:style>
  <w:style w:type="character" w:customStyle="1" w:styleId="FootnoteTextChar">
    <w:name w:val="Footnote Text Char"/>
    <w:aliases w:val="Footnote Text Char2 Char,Footnote Text Char1 Char1 Char,Footnote Text Char2 Char Char Char,Footnote Text Char1 Char Char Char Char,Footnote Text Char1 Char Char Char Char Char Char,Footnote Text Char1 Char Char2 Char,f Char"/>
    <w:basedOn w:val="DefaultParagraphFont"/>
    <w:uiPriority w:val="99"/>
    <w:semiHidden/>
    <w:locked/>
    <w:rsid w:val="004E2121"/>
    <w:rPr>
      <w:rFonts w:cs="Times New Roman"/>
      <w:sz w:val="20"/>
      <w:szCs w:val="20"/>
    </w:rPr>
  </w:style>
  <w:style w:type="paragraph" w:customStyle="1" w:styleId="Bullet">
    <w:name w:val="Bullet"/>
    <w:basedOn w:val="Normal"/>
    <w:rsid w:val="00E747C7"/>
    <w:pPr>
      <w:tabs>
        <w:tab w:val="left" w:pos="2160"/>
      </w:tabs>
      <w:spacing w:after="220"/>
      <w:ind w:left="2160" w:hanging="720"/>
    </w:pPr>
  </w:style>
  <w:style w:type="paragraph" w:styleId="BlockText">
    <w:name w:val="Block Text"/>
    <w:basedOn w:val="Normal"/>
    <w:rsid w:val="00E747C7"/>
    <w:pPr>
      <w:spacing w:after="240"/>
      <w:ind w:left="1440" w:right="1440"/>
    </w:pPr>
  </w:style>
  <w:style w:type="paragraph" w:customStyle="1" w:styleId="TableFormat">
    <w:name w:val="TableFormat"/>
    <w:basedOn w:val="Bullet"/>
    <w:rsid w:val="00E747C7"/>
    <w:pPr>
      <w:tabs>
        <w:tab w:val="clear" w:pos="2160"/>
        <w:tab w:val="left" w:pos="5040"/>
      </w:tabs>
      <w:ind w:left="5040" w:hanging="3600"/>
    </w:pPr>
  </w:style>
  <w:style w:type="character" w:styleId="FootnoteReference">
    <w:name w:val="footnote reference"/>
    <w:aliases w:val="Style 12,(NECG) Footnote Reference,Style 13,Appel note de bas de p,Style 124,fr,o,Style 3,FR,Style 17,Footnote Reference/,Style 6"/>
    <w:rsid w:val="00E747C7"/>
    <w:rPr>
      <w:rFonts w:ascii="Times New Roman" w:hAnsi="Times New Roman"/>
      <w:dstrike w:val="0"/>
      <w:color w:val="auto"/>
      <w:sz w:val="20"/>
      <w:vertAlign w:val="superscript"/>
    </w:rPr>
  </w:style>
  <w:style w:type="paragraph" w:styleId="Header">
    <w:name w:val="header"/>
    <w:basedOn w:val="Normal"/>
    <w:link w:val="HeaderChar"/>
    <w:autoRedefine/>
    <w:rsid w:val="00E747C7"/>
    <w:pPr>
      <w:spacing w:before="40"/>
    </w:pPr>
    <w:rPr>
      <w:rFonts w:ascii="Arial" w:hAnsi="Arial" w:cs="Arial"/>
      <w:b/>
      <w:sz w:val="96"/>
    </w:rPr>
  </w:style>
  <w:style w:type="character" w:customStyle="1" w:styleId="HeaderChar">
    <w:name w:val="Header Char"/>
    <w:basedOn w:val="DefaultParagraphFont"/>
    <w:link w:val="Header"/>
    <w:locked/>
    <w:rsid w:val="000574F4"/>
    <w:rPr>
      <w:rFonts w:ascii="Arial" w:hAnsi="Arial" w:cs="Arial"/>
      <w:b/>
      <w:snapToGrid w:val="0"/>
      <w:kern w:val="28"/>
      <w:sz w:val="96"/>
      <w:szCs w:val="20"/>
    </w:rPr>
  </w:style>
  <w:style w:type="paragraph" w:styleId="Footer">
    <w:name w:val="footer"/>
    <w:basedOn w:val="Normal"/>
    <w:link w:val="FooterChar"/>
    <w:uiPriority w:val="99"/>
    <w:rsid w:val="00E747C7"/>
    <w:pPr>
      <w:tabs>
        <w:tab w:val="center" w:pos="4320"/>
        <w:tab w:val="right" w:pos="8640"/>
      </w:tabs>
    </w:pPr>
  </w:style>
  <w:style w:type="character" w:customStyle="1" w:styleId="FooterChar">
    <w:name w:val="Footer Char"/>
    <w:basedOn w:val="DefaultParagraphFont"/>
    <w:link w:val="Footer"/>
    <w:uiPriority w:val="99"/>
    <w:locked/>
    <w:rsid w:val="00E747C7"/>
    <w:rPr>
      <w:snapToGrid w:val="0"/>
      <w:kern w:val="28"/>
      <w:szCs w:val="20"/>
    </w:rPr>
  </w:style>
  <w:style w:type="paragraph" w:styleId="TOC2">
    <w:name w:val="toc 2"/>
    <w:basedOn w:val="Normal"/>
    <w:next w:val="Normal"/>
    <w:semiHidden/>
    <w:rsid w:val="00E747C7"/>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5878EE"/>
    <w:pPr>
      <w:numPr>
        <w:numId w:val="21"/>
      </w:numPr>
      <w:tabs>
        <w:tab w:val="clear" w:pos="1080"/>
      </w:tabs>
      <w:spacing w:after="220"/>
      <w:ind w:firstLine="0"/>
    </w:pPr>
  </w:style>
  <w:style w:type="paragraph" w:styleId="TOC1">
    <w:name w:val="toc 1"/>
    <w:basedOn w:val="Normal"/>
    <w:next w:val="Normal"/>
    <w:semiHidden/>
    <w:rsid w:val="00E747C7"/>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E747C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747C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747C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747C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747C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747C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747C7"/>
    <w:pPr>
      <w:tabs>
        <w:tab w:val="left" w:pos="3240"/>
        <w:tab w:val="right" w:leader="dot" w:pos="9360"/>
      </w:tabs>
      <w:suppressAutoHyphens/>
      <w:ind w:left="3240" w:hanging="360"/>
    </w:pPr>
    <w:rPr>
      <w:noProof/>
    </w:rPr>
  </w:style>
  <w:style w:type="character" w:styleId="PageNumber">
    <w:name w:val="page number"/>
    <w:basedOn w:val="DefaultParagraphFont"/>
    <w:rsid w:val="00E747C7"/>
  </w:style>
  <w:style w:type="paragraph" w:styleId="Title">
    <w:name w:val="Title"/>
    <w:basedOn w:val="Normal"/>
    <w:link w:val="TitleChar"/>
    <w:uiPriority w:val="99"/>
    <w:qFormat/>
    <w:rsid w:val="005878EE"/>
    <w:pPr>
      <w:jc w:val="center"/>
    </w:pPr>
    <w:rPr>
      <w:b/>
    </w:rPr>
  </w:style>
  <w:style w:type="character" w:customStyle="1" w:styleId="TitleChar">
    <w:name w:val="Title Char"/>
    <w:basedOn w:val="DefaultParagraphFont"/>
    <w:link w:val="Title"/>
    <w:uiPriority w:val="99"/>
    <w:locked/>
    <w:rsid w:val="000574F4"/>
    <w:rPr>
      <w:rFonts w:ascii="Cambria" w:hAnsi="Cambria" w:cs="Times New Roman"/>
      <w:b/>
      <w:bCs/>
      <w:kern w:val="28"/>
      <w:sz w:val="32"/>
      <w:szCs w:val="32"/>
    </w:rPr>
  </w:style>
  <w:style w:type="character" w:customStyle="1" w:styleId="FootnoteTextChar1">
    <w:name w:val="Footnote Text Char1"/>
    <w:aliases w:val="Footnote Text Char2 Char2,Footnote Text Char1 Char1 Char1,Footnote Text Char2 Char Char Char1,Footnote Text Char1 Char Char Char Char1,Footnote Text Char1 Char Char Char Char Char Char1,Footnote Text Char1 Char Char2 Char1,f Char1"/>
    <w:link w:val="FootnoteText"/>
    <w:locked/>
    <w:rsid w:val="0093568D"/>
    <w:rPr>
      <w:sz w:val="20"/>
      <w:szCs w:val="20"/>
    </w:rPr>
  </w:style>
  <w:style w:type="character" w:customStyle="1" w:styleId="msoins0">
    <w:name w:val="msoins"/>
    <w:basedOn w:val="DefaultParagraphFont"/>
    <w:uiPriority w:val="99"/>
    <w:rsid w:val="00DE551A"/>
    <w:rPr>
      <w:rFonts w:cs="Times New Roman"/>
    </w:rPr>
  </w:style>
  <w:style w:type="paragraph" w:styleId="HTMLPreformatted">
    <w:name w:val="HTML Preformatted"/>
    <w:basedOn w:val="Normal"/>
    <w:link w:val="HTMLPreformattedChar"/>
    <w:uiPriority w:val="99"/>
    <w:rsid w:val="00365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0574F4"/>
    <w:rPr>
      <w:rFonts w:ascii="Courier New" w:hAnsi="Courier New" w:cs="Courier New"/>
      <w:sz w:val="20"/>
      <w:szCs w:val="20"/>
    </w:rPr>
  </w:style>
  <w:style w:type="paragraph" w:styleId="BalloonText">
    <w:name w:val="Balloon Text"/>
    <w:basedOn w:val="Normal"/>
    <w:link w:val="BalloonTextChar"/>
    <w:rsid w:val="00E747C7"/>
    <w:rPr>
      <w:rFonts w:ascii="Segoe UI" w:hAnsi="Segoe UI" w:cs="Segoe UI"/>
      <w:sz w:val="18"/>
      <w:szCs w:val="18"/>
    </w:rPr>
  </w:style>
  <w:style w:type="character" w:customStyle="1" w:styleId="BalloonTextChar">
    <w:name w:val="Balloon Text Char"/>
    <w:basedOn w:val="DefaultParagraphFont"/>
    <w:link w:val="BalloonText"/>
    <w:locked/>
    <w:rsid w:val="00E747C7"/>
    <w:rPr>
      <w:rFonts w:ascii="Segoe UI" w:hAnsi="Segoe UI" w:cs="Segoe UI"/>
      <w:snapToGrid w:val="0"/>
      <w:kern w:val="28"/>
      <w:sz w:val="18"/>
      <w:szCs w:val="18"/>
    </w:rPr>
  </w:style>
  <w:style w:type="character" w:customStyle="1" w:styleId="FootnoteTextChar1Char">
    <w:name w:val="Footnote Text Char1 Char"/>
    <w:aliases w:val="Footnote Text Char Char Char,Footnote Text Char Char Char Char Char,Footnote Text Char Char Char Char Char Char Char1,Footnote Text Char2 Char1"/>
    <w:uiPriority w:val="99"/>
    <w:rsid w:val="00B160CF"/>
    <w:rPr>
      <w:lang w:val="en-US" w:eastAsia="en-US"/>
    </w:rPr>
  </w:style>
  <w:style w:type="character" w:styleId="Hyperlink">
    <w:name w:val="Hyperlink"/>
    <w:rsid w:val="00E747C7"/>
    <w:rPr>
      <w:color w:val="0000FF"/>
      <w:u w:val="single"/>
    </w:rPr>
  </w:style>
  <w:style w:type="character" w:styleId="CommentReference">
    <w:name w:val="annotation reference"/>
    <w:basedOn w:val="DefaultParagraphFont"/>
    <w:uiPriority w:val="99"/>
    <w:rsid w:val="0084697C"/>
    <w:rPr>
      <w:rFonts w:cs="Times New Roman"/>
      <w:sz w:val="16"/>
    </w:rPr>
  </w:style>
  <w:style w:type="paragraph" w:styleId="CommentText">
    <w:name w:val="annotation text"/>
    <w:basedOn w:val="Normal"/>
    <w:link w:val="CommentTextChar"/>
    <w:uiPriority w:val="99"/>
    <w:rsid w:val="0084697C"/>
    <w:rPr>
      <w:sz w:val="20"/>
    </w:rPr>
  </w:style>
  <w:style w:type="character" w:customStyle="1" w:styleId="CommentTextChar">
    <w:name w:val="Comment Text Char"/>
    <w:basedOn w:val="DefaultParagraphFont"/>
    <w:link w:val="CommentText"/>
    <w:uiPriority w:val="99"/>
    <w:locked/>
    <w:rsid w:val="0084697C"/>
    <w:rPr>
      <w:rFonts w:cs="Times New Roman"/>
    </w:rPr>
  </w:style>
  <w:style w:type="paragraph" w:styleId="CommentSubject">
    <w:name w:val="annotation subject"/>
    <w:basedOn w:val="CommentText"/>
    <w:next w:val="CommentText"/>
    <w:link w:val="CommentSubjectChar"/>
    <w:uiPriority w:val="99"/>
    <w:rsid w:val="0084697C"/>
    <w:rPr>
      <w:b/>
      <w:bCs/>
    </w:rPr>
  </w:style>
  <w:style w:type="character" w:customStyle="1" w:styleId="CommentSubjectChar">
    <w:name w:val="Comment Subject Char"/>
    <w:basedOn w:val="CommentTextChar"/>
    <w:link w:val="CommentSubject"/>
    <w:uiPriority w:val="99"/>
    <w:locked/>
    <w:rsid w:val="0084697C"/>
    <w:rPr>
      <w:rFonts w:cs="Times New Roman"/>
      <w:b/>
    </w:rPr>
  </w:style>
  <w:style w:type="paragraph" w:styleId="Revision">
    <w:name w:val="Revision"/>
    <w:hidden/>
    <w:uiPriority w:val="99"/>
    <w:semiHidden/>
    <w:rsid w:val="0084697C"/>
    <w:rPr>
      <w:szCs w:val="20"/>
    </w:rPr>
  </w:style>
  <w:style w:type="character" w:customStyle="1" w:styleId="documentbody">
    <w:name w:val="documentbody"/>
    <w:uiPriority w:val="99"/>
    <w:rsid w:val="00033D09"/>
  </w:style>
  <w:style w:type="character" w:styleId="PlaceholderText">
    <w:name w:val="Placeholder Text"/>
    <w:basedOn w:val="DefaultParagraphFont"/>
    <w:uiPriority w:val="99"/>
    <w:semiHidden/>
    <w:rsid w:val="0050378F"/>
    <w:rPr>
      <w:color w:val="808080"/>
    </w:rPr>
  </w:style>
  <w:style w:type="paragraph" w:customStyle="1" w:styleId="Default">
    <w:name w:val="Default"/>
    <w:rsid w:val="007D34C4"/>
    <w:pPr>
      <w:autoSpaceDE w:val="0"/>
      <w:autoSpaceDN w:val="0"/>
      <w:adjustRightInd w:val="0"/>
    </w:pPr>
    <w:rPr>
      <w:color w:val="000000"/>
      <w:sz w:val="24"/>
      <w:szCs w:val="24"/>
    </w:rPr>
  </w:style>
  <w:style w:type="paragraph" w:styleId="EndnoteText">
    <w:name w:val="endnote text"/>
    <w:basedOn w:val="Normal"/>
    <w:link w:val="EndnoteTextChar"/>
    <w:semiHidden/>
    <w:locked/>
    <w:rsid w:val="00E747C7"/>
    <w:rPr>
      <w:sz w:val="20"/>
    </w:rPr>
  </w:style>
  <w:style w:type="character" w:customStyle="1" w:styleId="EndnoteTextChar">
    <w:name w:val="Endnote Text Char"/>
    <w:basedOn w:val="DefaultParagraphFont"/>
    <w:link w:val="EndnoteText"/>
    <w:semiHidden/>
    <w:rsid w:val="00671A5F"/>
    <w:rPr>
      <w:snapToGrid w:val="0"/>
      <w:kern w:val="28"/>
      <w:sz w:val="20"/>
      <w:szCs w:val="20"/>
    </w:rPr>
  </w:style>
  <w:style w:type="character" w:styleId="EndnoteReference">
    <w:name w:val="endnote reference"/>
    <w:semiHidden/>
    <w:locked/>
    <w:rsid w:val="00E747C7"/>
    <w:rPr>
      <w:vertAlign w:val="superscript"/>
    </w:rPr>
  </w:style>
  <w:style w:type="paragraph" w:styleId="TOAHeading">
    <w:name w:val="toa heading"/>
    <w:basedOn w:val="Normal"/>
    <w:next w:val="Normal"/>
    <w:semiHidden/>
    <w:locked/>
    <w:rsid w:val="00E747C7"/>
    <w:pPr>
      <w:tabs>
        <w:tab w:val="right" w:pos="9360"/>
      </w:tabs>
      <w:suppressAutoHyphens/>
    </w:pPr>
  </w:style>
  <w:style w:type="character" w:customStyle="1" w:styleId="EquationCaption">
    <w:name w:val="_Equation Caption"/>
    <w:rsid w:val="00E747C7"/>
  </w:style>
  <w:style w:type="paragraph" w:customStyle="1" w:styleId="Paratitle">
    <w:name w:val="Para title"/>
    <w:basedOn w:val="Normal"/>
    <w:rsid w:val="00E747C7"/>
    <w:pPr>
      <w:tabs>
        <w:tab w:val="center" w:pos="9270"/>
      </w:tabs>
      <w:spacing w:after="240"/>
    </w:pPr>
    <w:rPr>
      <w:spacing w:val="-2"/>
    </w:rPr>
  </w:style>
  <w:style w:type="paragraph" w:customStyle="1" w:styleId="TOCTitle">
    <w:name w:val="TOC Title"/>
    <w:basedOn w:val="Normal"/>
    <w:rsid w:val="00E747C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747C7"/>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747C7"/>
    <w:pPr>
      <w:widowControl w:val="0"/>
    </w:pPr>
    <w:rPr>
      <w:snapToGrid w:val="0"/>
      <w:kern w:val="28"/>
      <w:szCs w:val="20"/>
    </w:rPr>
  </w:style>
  <w:style w:type="paragraph" w:styleId="Heading1">
    <w:name w:val="heading 1"/>
    <w:basedOn w:val="Normal"/>
    <w:next w:val="ParaNum"/>
    <w:link w:val="Heading1Char"/>
    <w:qFormat/>
    <w:rsid w:val="00E747C7"/>
    <w:pPr>
      <w:keepNext/>
      <w:numPr>
        <w:numId w:val="4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747C7"/>
    <w:pPr>
      <w:keepNext/>
      <w:numPr>
        <w:ilvl w:val="1"/>
        <w:numId w:val="47"/>
      </w:numPr>
      <w:spacing w:after="120"/>
      <w:outlineLvl w:val="1"/>
    </w:pPr>
    <w:rPr>
      <w:b/>
    </w:rPr>
  </w:style>
  <w:style w:type="paragraph" w:styleId="Heading3">
    <w:name w:val="heading 3"/>
    <w:basedOn w:val="Normal"/>
    <w:next w:val="ParaNum"/>
    <w:link w:val="Heading3Char"/>
    <w:qFormat/>
    <w:rsid w:val="00E747C7"/>
    <w:pPr>
      <w:keepNext/>
      <w:numPr>
        <w:ilvl w:val="2"/>
        <w:numId w:val="47"/>
      </w:numPr>
      <w:tabs>
        <w:tab w:val="left" w:pos="2160"/>
      </w:tabs>
      <w:spacing w:after="120"/>
      <w:outlineLvl w:val="2"/>
    </w:pPr>
    <w:rPr>
      <w:b/>
    </w:rPr>
  </w:style>
  <w:style w:type="paragraph" w:styleId="Heading4">
    <w:name w:val="heading 4"/>
    <w:basedOn w:val="Normal"/>
    <w:next w:val="ParaNum"/>
    <w:link w:val="Heading4Char"/>
    <w:qFormat/>
    <w:rsid w:val="00E747C7"/>
    <w:pPr>
      <w:keepNext/>
      <w:numPr>
        <w:ilvl w:val="3"/>
        <w:numId w:val="47"/>
      </w:numPr>
      <w:tabs>
        <w:tab w:val="left" w:pos="2880"/>
      </w:tabs>
      <w:spacing w:after="120"/>
      <w:outlineLvl w:val="3"/>
    </w:pPr>
    <w:rPr>
      <w:b/>
    </w:rPr>
  </w:style>
  <w:style w:type="paragraph" w:styleId="Heading5">
    <w:name w:val="heading 5"/>
    <w:basedOn w:val="Normal"/>
    <w:next w:val="ParaNum"/>
    <w:link w:val="Heading5Char"/>
    <w:qFormat/>
    <w:rsid w:val="00E747C7"/>
    <w:pPr>
      <w:keepNext/>
      <w:numPr>
        <w:ilvl w:val="4"/>
        <w:numId w:val="47"/>
      </w:numPr>
      <w:tabs>
        <w:tab w:val="left" w:pos="3600"/>
      </w:tabs>
      <w:suppressAutoHyphens/>
      <w:spacing w:after="120"/>
      <w:outlineLvl w:val="4"/>
    </w:pPr>
    <w:rPr>
      <w:b/>
    </w:rPr>
  </w:style>
  <w:style w:type="paragraph" w:styleId="Heading6">
    <w:name w:val="heading 6"/>
    <w:basedOn w:val="Normal"/>
    <w:next w:val="ParaNum"/>
    <w:link w:val="Heading6Char"/>
    <w:qFormat/>
    <w:rsid w:val="00E747C7"/>
    <w:pPr>
      <w:numPr>
        <w:ilvl w:val="5"/>
        <w:numId w:val="47"/>
      </w:numPr>
      <w:tabs>
        <w:tab w:val="left" w:pos="4320"/>
      </w:tabs>
      <w:spacing w:after="120"/>
      <w:outlineLvl w:val="5"/>
    </w:pPr>
    <w:rPr>
      <w:b/>
    </w:rPr>
  </w:style>
  <w:style w:type="paragraph" w:styleId="Heading7">
    <w:name w:val="heading 7"/>
    <w:basedOn w:val="Normal"/>
    <w:next w:val="ParaNum"/>
    <w:link w:val="Heading7Char"/>
    <w:qFormat/>
    <w:rsid w:val="00E747C7"/>
    <w:pPr>
      <w:numPr>
        <w:ilvl w:val="6"/>
        <w:numId w:val="47"/>
      </w:numPr>
      <w:tabs>
        <w:tab w:val="left" w:pos="5040"/>
      </w:tabs>
      <w:spacing w:after="120"/>
      <w:ind w:left="5040" w:hanging="720"/>
      <w:outlineLvl w:val="6"/>
    </w:pPr>
    <w:rPr>
      <w:b/>
    </w:rPr>
  </w:style>
  <w:style w:type="paragraph" w:styleId="Heading8">
    <w:name w:val="heading 8"/>
    <w:basedOn w:val="Normal"/>
    <w:next w:val="ParaNum"/>
    <w:link w:val="Heading8Char"/>
    <w:qFormat/>
    <w:rsid w:val="00E747C7"/>
    <w:pPr>
      <w:numPr>
        <w:ilvl w:val="7"/>
        <w:numId w:val="4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747C7"/>
    <w:pPr>
      <w:numPr>
        <w:ilvl w:val="8"/>
        <w:numId w:val="4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747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47C7"/>
  </w:style>
  <w:style w:type="character" w:customStyle="1" w:styleId="Heading1Char">
    <w:name w:val="Heading 1 Char"/>
    <w:basedOn w:val="DefaultParagraphFont"/>
    <w:link w:val="Heading1"/>
    <w:locked/>
    <w:rsid w:val="000574F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574F4"/>
    <w:rPr>
      <w:b/>
      <w:snapToGrid w:val="0"/>
      <w:kern w:val="28"/>
      <w:szCs w:val="20"/>
    </w:rPr>
  </w:style>
  <w:style w:type="character" w:customStyle="1" w:styleId="Heading3Char">
    <w:name w:val="Heading 3 Char"/>
    <w:basedOn w:val="DefaultParagraphFont"/>
    <w:link w:val="Heading3"/>
    <w:locked/>
    <w:rsid w:val="000574F4"/>
    <w:rPr>
      <w:b/>
      <w:snapToGrid w:val="0"/>
      <w:kern w:val="28"/>
      <w:szCs w:val="20"/>
    </w:rPr>
  </w:style>
  <w:style w:type="character" w:customStyle="1" w:styleId="Heading4Char">
    <w:name w:val="Heading 4 Char"/>
    <w:basedOn w:val="DefaultParagraphFont"/>
    <w:link w:val="Heading4"/>
    <w:locked/>
    <w:rsid w:val="000574F4"/>
    <w:rPr>
      <w:b/>
      <w:snapToGrid w:val="0"/>
      <w:kern w:val="28"/>
      <w:szCs w:val="20"/>
    </w:rPr>
  </w:style>
  <w:style w:type="character" w:customStyle="1" w:styleId="Heading5Char">
    <w:name w:val="Heading 5 Char"/>
    <w:basedOn w:val="DefaultParagraphFont"/>
    <w:link w:val="Heading5"/>
    <w:locked/>
    <w:rsid w:val="000574F4"/>
    <w:rPr>
      <w:b/>
      <w:snapToGrid w:val="0"/>
      <w:kern w:val="28"/>
      <w:szCs w:val="20"/>
    </w:rPr>
  </w:style>
  <w:style w:type="character" w:customStyle="1" w:styleId="Heading6Char">
    <w:name w:val="Heading 6 Char"/>
    <w:basedOn w:val="DefaultParagraphFont"/>
    <w:link w:val="Heading6"/>
    <w:locked/>
    <w:rsid w:val="000574F4"/>
    <w:rPr>
      <w:b/>
      <w:snapToGrid w:val="0"/>
      <w:kern w:val="28"/>
      <w:szCs w:val="20"/>
    </w:rPr>
  </w:style>
  <w:style w:type="character" w:customStyle="1" w:styleId="Heading7Char">
    <w:name w:val="Heading 7 Char"/>
    <w:basedOn w:val="DefaultParagraphFont"/>
    <w:link w:val="Heading7"/>
    <w:locked/>
    <w:rsid w:val="000574F4"/>
    <w:rPr>
      <w:b/>
      <w:snapToGrid w:val="0"/>
      <w:kern w:val="28"/>
      <w:szCs w:val="20"/>
    </w:rPr>
  </w:style>
  <w:style w:type="character" w:customStyle="1" w:styleId="Heading8Char">
    <w:name w:val="Heading 8 Char"/>
    <w:basedOn w:val="DefaultParagraphFont"/>
    <w:link w:val="Heading8"/>
    <w:locked/>
    <w:rsid w:val="000574F4"/>
    <w:rPr>
      <w:b/>
      <w:snapToGrid w:val="0"/>
      <w:kern w:val="28"/>
      <w:szCs w:val="20"/>
    </w:rPr>
  </w:style>
  <w:style w:type="character" w:customStyle="1" w:styleId="Heading9Char">
    <w:name w:val="Heading 9 Char"/>
    <w:basedOn w:val="DefaultParagraphFont"/>
    <w:link w:val="Heading9"/>
    <w:locked/>
    <w:rsid w:val="000574F4"/>
    <w:rPr>
      <w:b/>
      <w:snapToGrid w:val="0"/>
      <w:kern w:val="28"/>
      <w:szCs w:val="20"/>
    </w:rPr>
  </w:style>
  <w:style w:type="paragraph" w:styleId="Caption">
    <w:name w:val="caption"/>
    <w:basedOn w:val="Normal"/>
    <w:next w:val="Normal"/>
    <w:uiPriority w:val="99"/>
    <w:qFormat/>
    <w:rsid w:val="005878EE"/>
    <w:pPr>
      <w:spacing w:before="120" w:after="120"/>
    </w:pPr>
    <w:rPr>
      <w:b/>
    </w:rPr>
  </w:style>
  <w:style w:type="paragraph" w:customStyle="1" w:styleId="ParaNum">
    <w:name w:val="ParaNum"/>
    <w:basedOn w:val="Normal"/>
    <w:rsid w:val="00E747C7"/>
    <w:pPr>
      <w:numPr>
        <w:numId w:val="46"/>
      </w:numPr>
      <w:tabs>
        <w:tab w:val="clear" w:pos="1080"/>
        <w:tab w:val="num" w:pos="1440"/>
      </w:tabs>
      <w:spacing w:after="120"/>
    </w:pPr>
  </w:style>
  <w:style w:type="paragraph" w:styleId="FootnoteText">
    <w:name w:val="footnote text"/>
    <w:aliases w:val="Footnote Text Char2,Footnote Text Char1 Char1,Footnote Text Char2 Char Char,Footnote Text Char1 Char Char Char,Footnote Text Char1 Char Char Char Char Char,Footnote Text Char3 Char Char Char Char Char Char,Footnote Text Char1 Char Char2,f"/>
    <w:link w:val="FootnoteTextChar1"/>
    <w:rsid w:val="00E747C7"/>
    <w:pPr>
      <w:spacing w:after="120"/>
    </w:pPr>
    <w:rPr>
      <w:sz w:val="20"/>
      <w:szCs w:val="20"/>
    </w:rPr>
  </w:style>
  <w:style w:type="character" w:customStyle="1" w:styleId="FootnoteTextChar">
    <w:name w:val="Footnote Text Char"/>
    <w:aliases w:val="Footnote Text Char2 Char,Footnote Text Char1 Char1 Char,Footnote Text Char2 Char Char Char,Footnote Text Char1 Char Char Char Char,Footnote Text Char1 Char Char Char Char Char Char,Footnote Text Char1 Char Char2 Char,f Char"/>
    <w:basedOn w:val="DefaultParagraphFont"/>
    <w:uiPriority w:val="99"/>
    <w:semiHidden/>
    <w:locked/>
    <w:rsid w:val="004E2121"/>
    <w:rPr>
      <w:rFonts w:cs="Times New Roman"/>
      <w:sz w:val="20"/>
      <w:szCs w:val="20"/>
    </w:rPr>
  </w:style>
  <w:style w:type="paragraph" w:customStyle="1" w:styleId="Bullet">
    <w:name w:val="Bullet"/>
    <w:basedOn w:val="Normal"/>
    <w:rsid w:val="00E747C7"/>
    <w:pPr>
      <w:tabs>
        <w:tab w:val="left" w:pos="2160"/>
      </w:tabs>
      <w:spacing w:after="220"/>
      <w:ind w:left="2160" w:hanging="720"/>
    </w:pPr>
  </w:style>
  <w:style w:type="paragraph" w:styleId="BlockText">
    <w:name w:val="Block Text"/>
    <w:basedOn w:val="Normal"/>
    <w:rsid w:val="00E747C7"/>
    <w:pPr>
      <w:spacing w:after="240"/>
      <w:ind w:left="1440" w:right="1440"/>
    </w:pPr>
  </w:style>
  <w:style w:type="paragraph" w:customStyle="1" w:styleId="TableFormat">
    <w:name w:val="TableFormat"/>
    <w:basedOn w:val="Bullet"/>
    <w:rsid w:val="00E747C7"/>
    <w:pPr>
      <w:tabs>
        <w:tab w:val="clear" w:pos="2160"/>
        <w:tab w:val="left" w:pos="5040"/>
      </w:tabs>
      <w:ind w:left="5040" w:hanging="3600"/>
    </w:pPr>
  </w:style>
  <w:style w:type="character" w:styleId="FootnoteReference">
    <w:name w:val="footnote reference"/>
    <w:aliases w:val="Style 12,(NECG) Footnote Reference,Style 13,Appel note de bas de p,Style 124,fr,o,Style 3,FR,Style 17,Footnote Reference/,Style 6"/>
    <w:rsid w:val="00E747C7"/>
    <w:rPr>
      <w:rFonts w:ascii="Times New Roman" w:hAnsi="Times New Roman"/>
      <w:dstrike w:val="0"/>
      <w:color w:val="auto"/>
      <w:sz w:val="20"/>
      <w:vertAlign w:val="superscript"/>
    </w:rPr>
  </w:style>
  <w:style w:type="paragraph" w:styleId="Header">
    <w:name w:val="header"/>
    <w:basedOn w:val="Normal"/>
    <w:link w:val="HeaderChar"/>
    <w:autoRedefine/>
    <w:rsid w:val="00E747C7"/>
    <w:pPr>
      <w:spacing w:before="40"/>
    </w:pPr>
    <w:rPr>
      <w:rFonts w:ascii="Arial" w:hAnsi="Arial" w:cs="Arial"/>
      <w:b/>
      <w:sz w:val="96"/>
    </w:rPr>
  </w:style>
  <w:style w:type="character" w:customStyle="1" w:styleId="HeaderChar">
    <w:name w:val="Header Char"/>
    <w:basedOn w:val="DefaultParagraphFont"/>
    <w:link w:val="Header"/>
    <w:locked/>
    <w:rsid w:val="000574F4"/>
    <w:rPr>
      <w:rFonts w:ascii="Arial" w:hAnsi="Arial" w:cs="Arial"/>
      <w:b/>
      <w:snapToGrid w:val="0"/>
      <w:kern w:val="28"/>
      <w:sz w:val="96"/>
      <w:szCs w:val="20"/>
    </w:rPr>
  </w:style>
  <w:style w:type="paragraph" w:styleId="Footer">
    <w:name w:val="footer"/>
    <w:basedOn w:val="Normal"/>
    <w:link w:val="FooterChar"/>
    <w:uiPriority w:val="99"/>
    <w:rsid w:val="00E747C7"/>
    <w:pPr>
      <w:tabs>
        <w:tab w:val="center" w:pos="4320"/>
        <w:tab w:val="right" w:pos="8640"/>
      </w:tabs>
    </w:pPr>
  </w:style>
  <w:style w:type="character" w:customStyle="1" w:styleId="FooterChar">
    <w:name w:val="Footer Char"/>
    <w:basedOn w:val="DefaultParagraphFont"/>
    <w:link w:val="Footer"/>
    <w:uiPriority w:val="99"/>
    <w:locked/>
    <w:rsid w:val="00E747C7"/>
    <w:rPr>
      <w:snapToGrid w:val="0"/>
      <w:kern w:val="28"/>
      <w:szCs w:val="20"/>
    </w:rPr>
  </w:style>
  <w:style w:type="paragraph" w:styleId="TOC2">
    <w:name w:val="toc 2"/>
    <w:basedOn w:val="Normal"/>
    <w:next w:val="Normal"/>
    <w:semiHidden/>
    <w:rsid w:val="00E747C7"/>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5878EE"/>
    <w:pPr>
      <w:numPr>
        <w:numId w:val="21"/>
      </w:numPr>
      <w:tabs>
        <w:tab w:val="clear" w:pos="1080"/>
      </w:tabs>
      <w:spacing w:after="220"/>
      <w:ind w:firstLine="0"/>
    </w:pPr>
  </w:style>
  <w:style w:type="paragraph" w:styleId="TOC1">
    <w:name w:val="toc 1"/>
    <w:basedOn w:val="Normal"/>
    <w:next w:val="Normal"/>
    <w:semiHidden/>
    <w:rsid w:val="00E747C7"/>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E747C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747C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747C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747C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747C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747C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747C7"/>
    <w:pPr>
      <w:tabs>
        <w:tab w:val="left" w:pos="3240"/>
        <w:tab w:val="right" w:leader="dot" w:pos="9360"/>
      </w:tabs>
      <w:suppressAutoHyphens/>
      <w:ind w:left="3240" w:hanging="360"/>
    </w:pPr>
    <w:rPr>
      <w:noProof/>
    </w:rPr>
  </w:style>
  <w:style w:type="character" w:styleId="PageNumber">
    <w:name w:val="page number"/>
    <w:basedOn w:val="DefaultParagraphFont"/>
    <w:rsid w:val="00E747C7"/>
  </w:style>
  <w:style w:type="paragraph" w:styleId="Title">
    <w:name w:val="Title"/>
    <w:basedOn w:val="Normal"/>
    <w:link w:val="TitleChar"/>
    <w:uiPriority w:val="99"/>
    <w:qFormat/>
    <w:rsid w:val="005878EE"/>
    <w:pPr>
      <w:jc w:val="center"/>
    </w:pPr>
    <w:rPr>
      <w:b/>
    </w:rPr>
  </w:style>
  <w:style w:type="character" w:customStyle="1" w:styleId="TitleChar">
    <w:name w:val="Title Char"/>
    <w:basedOn w:val="DefaultParagraphFont"/>
    <w:link w:val="Title"/>
    <w:uiPriority w:val="99"/>
    <w:locked/>
    <w:rsid w:val="000574F4"/>
    <w:rPr>
      <w:rFonts w:ascii="Cambria" w:hAnsi="Cambria" w:cs="Times New Roman"/>
      <w:b/>
      <w:bCs/>
      <w:kern w:val="28"/>
      <w:sz w:val="32"/>
      <w:szCs w:val="32"/>
    </w:rPr>
  </w:style>
  <w:style w:type="character" w:customStyle="1" w:styleId="FootnoteTextChar1">
    <w:name w:val="Footnote Text Char1"/>
    <w:aliases w:val="Footnote Text Char2 Char2,Footnote Text Char1 Char1 Char1,Footnote Text Char2 Char Char Char1,Footnote Text Char1 Char Char Char Char1,Footnote Text Char1 Char Char Char Char Char Char1,Footnote Text Char1 Char Char2 Char1,f Char1"/>
    <w:link w:val="FootnoteText"/>
    <w:locked/>
    <w:rsid w:val="0093568D"/>
    <w:rPr>
      <w:sz w:val="20"/>
      <w:szCs w:val="20"/>
    </w:rPr>
  </w:style>
  <w:style w:type="character" w:customStyle="1" w:styleId="msoins0">
    <w:name w:val="msoins"/>
    <w:basedOn w:val="DefaultParagraphFont"/>
    <w:uiPriority w:val="99"/>
    <w:rsid w:val="00DE551A"/>
    <w:rPr>
      <w:rFonts w:cs="Times New Roman"/>
    </w:rPr>
  </w:style>
  <w:style w:type="paragraph" w:styleId="HTMLPreformatted">
    <w:name w:val="HTML Preformatted"/>
    <w:basedOn w:val="Normal"/>
    <w:link w:val="HTMLPreformattedChar"/>
    <w:uiPriority w:val="99"/>
    <w:rsid w:val="00365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0574F4"/>
    <w:rPr>
      <w:rFonts w:ascii="Courier New" w:hAnsi="Courier New" w:cs="Courier New"/>
      <w:sz w:val="20"/>
      <w:szCs w:val="20"/>
    </w:rPr>
  </w:style>
  <w:style w:type="paragraph" w:styleId="BalloonText">
    <w:name w:val="Balloon Text"/>
    <w:basedOn w:val="Normal"/>
    <w:link w:val="BalloonTextChar"/>
    <w:rsid w:val="00E747C7"/>
    <w:rPr>
      <w:rFonts w:ascii="Segoe UI" w:hAnsi="Segoe UI" w:cs="Segoe UI"/>
      <w:sz w:val="18"/>
      <w:szCs w:val="18"/>
    </w:rPr>
  </w:style>
  <w:style w:type="character" w:customStyle="1" w:styleId="BalloonTextChar">
    <w:name w:val="Balloon Text Char"/>
    <w:basedOn w:val="DefaultParagraphFont"/>
    <w:link w:val="BalloonText"/>
    <w:locked/>
    <w:rsid w:val="00E747C7"/>
    <w:rPr>
      <w:rFonts w:ascii="Segoe UI" w:hAnsi="Segoe UI" w:cs="Segoe UI"/>
      <w:snapToGrid w:val="0"/>
      <w:kern w:val="28"/>
      <w:sz w:val="18"/>
      <w:szCs w:val="18"/>
    </w:rPr>
  </w:style>
  <w:style w:type="character" w:customStyle="1" w:styleId="FootnoteTextChar1Char">
    <w:name w:val="Footnote Text Char1 Char"/>
    <w:aliases w:val="Footnote Text Char Char Char,Footnote Text Char Char Char Char Char,Footnote Text Char Char Char Char Char Char Char1,Footnote Text Char2 Char1"/>
    <w:uiPriority w:val="99"/>
    <w:rsid w:val="00B160CF"/>
    <w:rPr>
      <w:lang w:val="en-US" w:eastAsia="en-US"/>
    </w:rPr>
  </w:style>
  <w:style w:type="character" w:styleId="Hyperlink">
    <w:name w:val="Hyperlink"/>
    <w:rsid w:val="00E747C7"/>
    <w:rPr>
      <w:color w:val="0000FF"/>
      <w:u w:val="single"/>
    </w:rPr>
  </w:style>
  <w:style w:type="character" w:styleId="CommentReference">
    <w:name w:val="annotation reference"/>
    <w:basedOn w:val="DefaultParagraphFont"/>
    <w:uiPriority w:val="99"/>
    <w:rsid w:val="0084697C"/>
    <w:rPr>
      <w:rFonts w:cs="Times New Roman"/>
      <w:sz w:val="16"/>
    </w:rPr>
  </w:style>
  <w:style w:type="paragraph" w:styleId="CommentText">
    <w:name w:val="annotation text"/>
    <w:basedOn w:val="Normal"/>
    <w:link w:val="CommentTextChar"/>
    <w:uiPriority w:val="99"/>
    <w:rsid w:val="0084697C"/>
    <w:rPr>
      <w:sz w:val="20"/>
    </w:rPr>
  </w:style>
  <w:style w:type="character" w:customStyle="1" w:styleId="CommentTextChar">
    <w:name w:val="Comment Text Char"/>
    <w:basedOn w:val="DefaultParagraphFont"/>
    <w:link w:val="CommentText"/>
    <w:uiPriority w:val="99"/>
    <w:locked/>
    <w:rsid w:val="0084697C"/>
    <w:rPr>
      <w:rFonts w:cs="Times New Roman"/>
    </w:rPr>
  </w:style>
  <w:style w:type="paragraph" w:styleId="CommentSubject">
    <w:name w:val="annotation subject"/>
    <w:basedOn w:val="CommentText"/>
    <w:next w:val="CommentText"/>
    <w:link w:val="CommentSubjectChar"/>
    <w:uiPriority w:val="99"/>
    <w:rsid w:val="0084697C"/>
    <w:rPr>
      <w:b/>
      <w:bCs/>
    </w:rPr>
  </w:style>
  <w:style w:type="character" w:customStyle="1" w:styleId="CommentSubjectChar">
    <w:name w:val="Comment Subject Char"/>
    <w:basedOn w:val="CommentTextChar"/>
    <w:link w:val="CommentSubject"/>
    <w:uiPriority w:val="99"/>
    <w:locked/>
    <w:rsid w:val="0084697C"/>
    <w:rPr>
      <w:rFonts w:cs="Times New Roman"/>
      <w:b/>
    </w:rPr>
  </w:style>
  <w:style w:type="paragraph" w:styleId="Revision">
    <w:name w:val="Revision"/>
    <w:hidden/>
    <w:uiPriority w:val="99"/>
    <w:semiHidden/>
    <w:rsid w:val="0084697C"/>
    <w:rPr>
      <w:szCs w:val="20"/>
    </w:rPr>
  </w:style>
  <w:style w:type="character" w:customStyle="1" w:styleId="documentbody">
    <w:name w:val="documentbody"/>
    <w:uiPriority w:val="99"/>
    <w:rsid w:val="00033D09"/>
  </w:style>
  <w:style w:type="character" w:styleId="PlaceholderText">
    <w:name w:val="Placeholder Text"/>
    <w:basedOn w:val="DefaultParagraphFont"/>
    <w:uiPriority w:val="99"/>
    <w:semiHidden/>
    <w:rsid w:val="0050378F"/>
    <w:rPr>
      <w:color w:val="808080"/>
    </w:rPr>
  </w:style>
  <w:style w:type="paragraph" w:customStyle="1" w:styleId="Default">
    <w:name w:val="Default"/>
    <w:rsid w:val="007D34C4"/>
    <w:pPr>
      <w:autoSpaceDE w:val="0"/>
      <w:autoSpaceDN w:val="0"/>
      <w:adjustRightInd w:val="0"/>
    </w:pPr>
    <w:rPr>
      <w:color w:val="000000"/>
      <w:sz w:val="24"/>
      <w:szCs w:val="24"/>
    </w:rPr>
  </w:style>
  <w:style w:type="paragraph" w:styleId="EndnoteText">
    <w:name w:val="endnote text"/>
    <w:basedOn w:val="Normal"/>
    <w:link w:val="EndnoteTextChar"/>
    <w:semiHidden/>
    <w:locked/>
    <w:rsid w:val="00E747C7"/>
    <w:rPr>
      <w:sz w:val="20"/>
    </w:rPr>
  </w:style>
  <w:style w:type="character" w:customStyle="1" w:styleId="EndnoteTextChar">
    <w:name w:val="Endnote Text Char"/>
    <w:basedOn w:val="DefaultParagraphFont"/>
    <w:link w:val="EndnoteText"/>
    <w:semiHidden/>
    <w:rsid w:val="00671A5F"/>
    <w:rPr>
      <w:snapToGrid w:val="0"/>
      <w:kern w:val="28"/>
      <w:sz w:val="20"/>
      <w:szCs w:val="20"/>
    </w:rPr>
  </w:style>
  <w:style w:type="character" w:styleId="EndnoteReference">
    <w:name w:val="endnote reference"/>
    <w:semiHidden/>
    <w:locked/>
    <w:rsid w:val="00E747C7"/>
    <w:rPr>
      <w:vertAlign w:val="superscript"/>
    </w:rPr>
  </w:style>
  <w:style w:type="paragraph" w:styleId="TOAHeading">
    <w:name w:val="toa heading"/>
    <w:basedOn w:val="Normal"/>
    <w:next w:val="Normal"/>
    <w:semiHidden/>
    <w:locked/>
    <w:rsid w:val="00E747C7"/>
    <w:pPr>
      <w:tabs>
        <w:tab w:val="right" w:pos="9360"/>
      </w:tabs>
      <w:suppressAutoHyphens/>
    </w:pPr>
  </w:style>
  <w:style w:type="character" w:customStyle="1" w:styleId="EquationCaption">
    <w:name w:val="_Equation Caption"/>
    <w:rsid w:val="00E747C7"/>
  </w:style>
  <w:style w:type="paragraph" w:customStyle="1" w:styleId="Paratitle">
    <w:name w:val="Para title"/>
    <w:basedOn w:val="Normal"/>
    <w:rsid w:val="00E747C7"/>
    <w:pPr>
      <w:tabs>
        <w:tab w:val="center" w:pos="9270"/>
      </w:tabs>
      <w:spacing w:after="240"/>
    </w:pPr>
    <w:rPr>
      <w:spacing w:val="-2"/>
    </w:rPr>
  </w:style>
  <w:style w:type="paragraph" w:customStyle="1" w:styleId="TOCTitle">
    <w:name w:val="TOC Title"/>
    <w:basedOn w:val="Normal"/>
    <w:rsid w:val="00E747C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747C7"/>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471">
      <w:marLeft w:val="0"/>
      <w:marRight w:val="0"/>
      <w:marTop w:val="0"/>
      <w:marBottom w:val="0"/>
      <w:divBdr>
        <w:top w:val="none" w:sz="0" w:space="0" w:color="auto"/>
        <w:left w:val="none" w:sz="0" w:space="0" w:color="auto"/>
        <w:bottom w:val="none" w:sz="0" w:space="0" w:color="auto"/>
        <w:right w:val="none" w:sz="0" w:space="0" w:color="auto"/>
      </w:divBdr>
    </w:div>
    <w:div w:id="62222472">
      <w:marLeft w:val="0"/>
      <w:marRight w:val="0"/>
      <w:marTop w:val="0"/>
      <w:marBottom w:val="0"/>
      <w:divBdr>
        <w:top w:val="none" w:sz="0" w:space="0" w:color="auto"/>
        <w:left w:val="none" w:sz="0" w:space="0" w:color="auto"/>
        <w:bottom w:val="none" w:sz="0" w:space="0" w:color="auto"/>
        <w:right w:val="none" w:sz="0" w:space="0" w:color="auto"/>
      </w:divBdr>
    </w:div>
    <w:div w:id="62222473">
      <w:marLeft w:val="0"/>
      <w:marRight w:val="0"/>
      <w:marTop w:val="0"/>
      <w:marBottom w:val="0"/>
      <w:divBdr>
        <w:top w:val="none" w:sz="0" w:space="0" w:color="auto"/>
        <w:left w:val="none" w:sz="0" w:space="0" w:color="auto"/>
        <w:bottom w:val="none" w:sz="0" w:space="0" w:color="auto"/>
        <w:right w:val="none" w:sz="0" w:space="0" w:color="auto"/>
      </w:divBdr>
    </w:div>
    <w:div w:id="62222474">
      <w:marLeft w:val="0"/>
      <w:marRight w:val="0"/>
      <w:marTop w:val="0"/>
      <w:marBottom w:val="0"/>
      <w:divBdr>
        <w:top w:val="none" w:sz="0" w:space="0" w:color="auto"/>
        <w:left w:val="none" w:sz="0" w:space="0" w:color="auto"/>
        <w:bottom w:val="none" w:sz="0" w:space="0" w:color="auto"/>
        <w:right w:val="none" w:sz="0" w:space="0" w:color="auto"/>
      </w:divBdr>
    </w:div>
    <w:div w:id="62222475">
      <w:marLeft w:val="0"/>
      <w:marRight w:val="0"/>
      <w:marTop w:val="0"/>
      <w:marBottom w:val="0"/>
      <w:divBdr>
        <w:top w:val="none" w:sz="0" w:space="0" w:color="auto"/>
        <w:left w:val="none" w:sz="0" w:space="0" w:color="auto"/>
        <w:bottom w:val="none" w:sz="0" w:space="0" w:color="auto"/>
        <w:right w:val="none" w:sz="0" w:space="0" w:color="auto"/>
      </w:divBdr>
    </w:div>
    <w:div w:id="62222476">
      <w:marLeft w:val="0"/>
      <w:marRight w:val="0"/>
      <w:marTop w:val="0"/>
      <w:marBottom w:val="0"/>
      <w:divBdr>
        <w:top w:val="none" w:sz="0" w:space="0" w:color="auto"/>
        <w:left w:val="none" w:sz="0" w:space="0" w:color="auto"/>
        <w:bottom w:val="none" w:sz="0" w:space="0" w:color="auto"/>
        <w:right w:val="none" w:sz="0" w:space="0" w:color="auto"/>
      </w:divBdr>
    </w:div>
    <w:div w:id="17824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rs=dfa1.0&amp;vr=2.0&amp;DB=1000546&amp;DocName=47USCAS151&amp;FindType=L" TargetMode="External"/><Relationship Id="rId13" Type="http://schemas.openxmlformats.org/officeDocument/2006/relationships/hyperlink" Target="http://www.westlaw.com/Find/Default.wl?rs=dfa1.0&amp;vr=2.0&amp;DB=1000546&amp;DocName=47USCAS201&amp;FindType=L" TargetMode="External"/><Relationship Id="rId18" Type="http://schemas.openxmlformats.org/officeDocument/2006/relationships/hyperlink" Target="http://www.westlaw.com/Find/Default.wl?rs=dfa1.0&amp;vr=2.0&amp;DB=1000546&amp;DocName=47USCAS309&amp;FindType=L"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westlaw.com/Find/Default.wl?rs=dfa1.0&amp;vr=2.0&amp;DB=1000547&amp;DocName=47CFRS63.14&amp;FindType=L" TargetMode="External"/><Relationship Id="rId7" Type="http://schemas.openxmlformats.org/officeDocument/2006/relationships/endnotes" Target="endnotes.xml"/><Relationship Id="rId12" Type="http://schemas.openxmlformats.org/officeDocument/2006/relationships/hyperlink" Target="http://www.westlaw.com/Find/Default.wl?rs=dfa1.0&amp;vr=2.0&amp;DB=1000546&amp;DocName=47USCAS155&amp;FindType=L" TargetMode="External"/><Relationship Id="rId17" Type="http://schemas.openxmlformats.org/officeDocument/2006/relationships/hyperlink" Target="http://www.westlaw.com/Find/Default.wl?rs=dfa1.0&amp;vr=2.0&amp;DB=1000546&amp;DocName=47USCAS303&amp;FindType=L&amp;ReferencePositionType=T&amp;ReferencePosition=SP_3505000063ea7"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westlaw.com/Find/Default.wl?rs=dfa1.0&amp;vr=2.0&amp;DB=1000546&amp;DocName=47USCAS214&amp;FindType=L" TargetMode="External"/><Relationship Id="rId20" Type="http://schemas.openxmlformats.org/officeDocument/2006/relationships/hyperlink" Target="http://www.westlaw.com/Find/Default.wl?rs=dfa1.0&amp;vr=2.0&amp;DB=1000547&amp;DocName=47CFRS43.51&amp;FindType=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stlaw.com/Find/Default.wl?rs=dfa1.0&amp;vr=2.0&amp;DB=1000546&amp;DocName=47USCAS154&amp;FindType=L&amp;ReferencePositionType=T&amp;ReferencePosition=SP_267600008f86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estlaw.com/Find/Default.wl?rs=dfa1.0&amp;vr=2.0&amp;DB=1000546&amp;DocName=47USCAS211&amp;FindType=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westlaw.com/Find/Default.wl?rs=dfa1.0&amp;vr=2.0&amp;DB=1000546&amp;DocName=47USCAS154&amp;FindType=L&amp;ReferencePositionType=T&amp;ReferencePosition=SP_17a3000024864" TargetMode="External"/><Relationship Id="rId19" Type="http://schemas.openxmlformats.org/officeDocument/2006/relationships/hyperlink" Target="http://www.westlaw.com/Find/Default.wl?rs=dfa1.0&amp;vr=2.0&amp;DB=1000547&amp;DocName=47CFRS0.51&amp;FindType=L" TargetMode="External"/><Relationship Id="rId4" Type="http://schemas.openxmlformats.org/officeDocument/2006/relationships/settings" Target="settings.xml"/><Relationship Id="rId9" Type="http://schemas.openxmlformats.org/officeDocument/2006/relationships/hyperlink" Target="http://www.westlaw.com/Find/Default.wl?rs=dfa1.0&amp;vr=2.0&amp;DB=1000546&amp;DocName=47USCAS152&amp;FindType=L" TargetMode="External"/><Relationship Id="rId14" Type="http://schemas.openxmlformats.org/officeDocument/2006/relationships/hyperlink" Target="http://www.westlaw.com/Find/Default.wl?rs=dfa1.0&amp;vr=2.0&amp;DB=1000546&amp;DocName=47USCAS205&amp;FindType=L"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2299</Words>
  <Characters>12241</Characters>
  <Application>Microsoft Office Word</Application>
  <DocSecurity>0</DocSecurity>
  <Lines>185</Lines>
  <Paragraphs>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14591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2013-03-05T18:19:00Z</cp:lastPrinted>
  <dcterms:created xsi:type="dcterms:W3CDTF">2016-02-18T20:56:00Z</dcterms:created>
  <dcterms:modified xsi:type="dcterms:W3CDTF">2016-02-18T20:56:00Z</dcterms:modified>
  <cp:category> </cp:category>
  <cp:contentStatus> </cp:contentStatus>
</cp:coreProperties>
</file>