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2EF7" w14:textId="77777777" w:rsidR="004C2EE3" w:rsidRPr="001E31B1" w:rsidRDefault="004C2EE3">
      <w:pPr>
        <w:jc w:val="center"/>
        <w:rPr>
          <w:b/>
          <w:szCs w:val="22"/>
        </w:rPr>
      </w:pPr>
      <w:bookmarkStart w:id="0" w:name="_GoBack"/>
      <w:bookmarkEnd w:id="0"/>
      <w:r w:rsidRPr="001E31B1">
        <w:rPr>
          <w:b/>
          <w:kern w:val="0"/>
          <w:szCs w:val="22"/>
        </w:rPr>
        <w:t>Before</w:t>
      </w:r>
      <w:r w:rsidRPr="001E31B1">
        <w:rPr>
          <w:b/>
          <w:szCs w:val="22"/>
        </w:rPr>
        <w:t xml:space="preserve"> the</w:t>
      </w:r>
    </w:p>
    <w:p w14:paraId="36EAAC99" w14:textId="77777777" w:rsidR="00921803" w:rsidRPr="001E31B1" w:rsidRDefault="00921803" w:rsidP="00921803">
      <w:pPr>
        <w:pStyle w:val="StyleBoldCentered"/>
        <w:rPr>
          <w:rFonts w:ascii="Times New Roman" w:hAnsi="Times New Roman"/>
        </w:rPr>
      </w:pPr>
      <w:r w:rsidRPr="001E31B1">
        <w:rPr>
          <w:rFonts w:ascii="Times New Roman" w:hAnsi="Times New Roman"/>
        </w:rPr>
        <w:t>F</w:t>
      </w:r>
      <w:r w:rsidRPr="001E31B1">
        <w:rPr>
          <w:rFonts w:ascii="Times New Roman" w:hAnsi="Times New Roman"/>
          <w:caps w:val="0"/>
        </w:rPr>
        <w:t>ederal Communications Commission</w:t>
      </w:r>
    </w:p>
    <w:p w14:paraId="63EC3CFA" w14:textId="77777777" w:rsidR="004C2EE3" w:rsidRPr="001E31B1" w:rsidRDefault="00810B6F" w:rsidP="00096D8C">
      <w:pPr>
        <w:pStyle w:val="StyleBoldCentered"/>
        <w:rPr>
          <w:rFonts w:ascii="Times New Roman" w:hAnsi="Times New Roman"/>
        </w:rPr>
      </w:pPr>
      <w:r w:rsidRPr="001E31B1">
        <w:rPr>
          <w:rFonts w:ascii="Times New Roman" w:hAnsi="Times New Roman"/>
          <w:caps w:val="0"/>
        </w:rPr>
        <w:t>Washington, D.C. 20554</w:t>
      </w:r>
    </w:p>
    <w:p w14:paraId="78EC2306" w14:textId="77777777" w:rsidR="004C2EE3" w:rsidRPr="001E31B1" w:rsidRDefault="004C2EE3" w:rsidP="0070224F">
      <w:pPr>
        <w:rPr>
          <w:szCs w:val="22"/>
        </w:rPr>
      </w:pPr>
    </w:p>
    <w:p w14:paraId="1608A614" w14:textId="77777777" w:rsidR="004C2EE3" w:rsidRPr="001E31B1"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E31B1" w14:paraId="30F01D47" w14:textId="77777777">
        <w:tc>
          <w:tcPr>
            <w:tcW w:w="4698" w:type="dxa"/>
          </w:tcPr>
          <w:p w14:paraId="64D7FB58" w14:textId="77777777" w:rsidR="004C2EE3" w:rsidRPr="001E31B1" w:rsidRDefault="004C2EE3">
            <w:pPr>
              <w:tabs>
                <w:tab w:val="center" w:pos="4680"/>
              </w:tabs>
              <w:suppressAutoHyphens/>
              <w:rPr>
                <w:spacing w:val="-2"/>
                <w:szCs w:val="22"/>
              </w:rPr>
            </w:pPr>
            <w:r w:rsidRPr="001E31B1">
              <w:rPr>
                <w:spacing w:val="-2"/>
                <w:szCs w:val="22"/>
              </w:rPr>
              <w:t>In the Matter of</w:t>
            </w:r>
          </w:p>
          <w:p w14:paraId="4CD25402" w14:textId="77777777" w:rsidR="004C2EE3" w:rsidRPr="001E31B1" w:rsidRDefault="004C2EE3">
            <w:pPr>
              <w:tabs>
                <w:tab w:val="center" w:pos="4680"/>
              </w:tabs>
              <w:suppressAutoHyphens/>
              <w:rPr>
                <w:spacing w:val="-2"/>
                <w:szCs w:val="22"/>
              </w:rPr>
            </w:pPr>
          </w:p>
          <w:p w14:paraId="51B1681C" w14:textId="77777777" w:rsidR="00C74EDA" w:rsidRPr="001E31B1" w:rsidRDefault="005D735F" w:rsidP="005D735F">
            <w:pPr>
              <w:tabs>
                <w:tab w:val="center" w:pos="4680"/>
              </w:tabs>
              <w:suppressAutoHyphens/>
              <w:rPr>
                <w:spacing w:val="-2"/>
                <w:szCs w:val="22"/>
              </w:rPr>
            </w:pPr>
            <w:r w:rsidRPr="001E31B1">
              <w:rPr>
                <w:spacing w:val="-2"/>
                <w:szCs w:val="22"/>
              </w:rPr>
              <w:t>TEACH, Inc. Waiver Request and Application for New Nationwide 3650-3700 MHz Service License</w:t>
            </w:r>
          </w:p>
          <w:p w14:paraId="3BED9FED" w14:textId="5A8E8C77" w:rsidR="00C74EDA" w:rsidRPr="001E31B1" w:rsidRDefault="00C74EDA" w:rsidP="005D735F">
            <w:pPr>
              <w:tabs>
                <w:tab w:val="center" w:pos="4680"/>
              </w:tabs>
              <w:suppressAutoHyphens/>
              <w:rPr>
                <w:spacing w:val="-2"/>
                <w:szCs w:val="22"/>
              </w:rPr>
            </w:pPr>
          </w:p>
        </w:tc>
        <w:tc>
          <w:tcPr>
            <w:tcW w:w="630" w:type="dxa"/>
          </w:tcPr>
          <w:p w14:paraId="261D20B7" w14:textId="77777777" w:rsidR="004C2EE3" w:rsidRPr="001E31B1" w:rsidRDefault="004C2EE3">
            <w:pPr>
              <w:tabs>
                <w:tab w:val="center" w:pos="4680"/>
              </w:tabs>
              <w:suppressAutoHyphens/>
              <w:rPr>
                <w:b/>
                <w:spacing w:val="-2"/>
                <w:szCs w:val="22"/>
              </w:rPr>
            </w:pPr>
            <w:r w:rsidRPr="001E31B1">
              <w:rPr>
                <w:b/>
                <w:spacing w:val="-2"/>
                <w:szCs w:val="22"/>
              </w:rPr>
              <w:t>)</w:t>
            </w:r>
          </w:p>
          <w:p w14:paraId="467CC93F" w14:textId="77777777" w:rsidR="004C2EE3" w:rsidRPr="001E31B1" w:rsidRDefault="004C2EE3">
            <w:pPr>
              <w:tabs>
                <w:tab w:val="center" w:pos="4680"/>
              </w:tabs>
              <w:suppressAutoHyphens/>
              <w:rPr>
                <w:b/>
                <w:spacing w:val="-2"/>
                <w:szCs w:val="22"/>
              </w:rPr>
            </w:pPr>
            <w:r w:rsidRPr="001E31B1">
              <w:rPr>
                <w:b/>
                <w:spacing w:val="-2"/>
                <w:szCs w:val="22"/>
              </w:rPr>
              <w:t>)</w:t>
            </w:r>
          </w:p>
          <w:p w14:paraId="3C415BA4" w14:textId="77777777" w:rsidR="004C2EE3" w:rsidRPr="001E31B1" w:rsidRDefault="004C2EE3">
            <w:pPr>
              <w:tabs>
                <w:tab w:val="center" w:pos="4680"/>
              </w:tabs>
              <w:suppressAutoHyphens/>
              <w:rPr>
                <w:b/>
                <w:spacing w:val="-2"/>
                <w:szCs w:val="22"/>
              </w:rPr>
            </w:pPr>
            <w:r w:rsidRPr="001E31B1">
              <w:rPr>
                <w:b/>
                <w:spacing w:val="-2"/>
                <w:szCs w:val="22"/>
              </w:rPr>
              <w:t>)</w:t>
            </w:r>
          </w:p>
          <w:p w14:paraId="32656FAE" w14:textId="77777777" w:rsidR="004C2EE3" w:rsidRPr="001E31B1" w:rsidRDefault="004C2EE3">
            <w:pPr>
              <w:tabs>
                <w:tab w:val="center" w:pos="4680"/>
              </w:tabs>
              <w:suppressAutoHyphens/>
              <w:rPr>
                <w:b/>
                <w:spacing w:val="-2"/>
                <w:szCs w:val="22"/>
              </w:rPr>
            </w:pPr>
            <w:r w:rsidRPr="001E31B1">
              <w:rPr>
                <w:b/>
                <w:spacing w:val="-2"/>
                <w:szCs w:val="22"/>
              </w:rPr>
              <w:t>)</w:t>
            </w:r>
          </w:p>
          <w:p w14:paraId="787A3C86" w14:textId="77777777" w:rsidR="004C2EE3" w:rsidRPr="001E31B1" w:rsidRDefault="004C2EE3">
            <w:pPr>
              <w:tabs>
                <w:tab w:val="center" w:pos="4680"/>
              </w:tabs>
              <w:suppressAutoHyphens/>
              <w:rPr>
                <w:b/>
                <w:spacing w:val="-2"/>
                <w:szCs w:val="22"/>
              </w:rPr>
            </w:pPr>
            <w:r w:rsidRPr="001E31B1">
              <w:rPr>
                <w:b/>
                <w:spacing w:val="-2"/>
                <w:szCs w:val="22"/>
              </w:rPr>
              <w:t>)</w:t>
            </w:r>
          </w:p>
          <w:p w14:paraId="0470EA7A" w14:textId="77777777" w:rsidR="004C2EE3" w:rsidRPr="001E31B1" w:rsidRDefault="004C2EE3">
            <w:pPr>
              <w:tabs>
                <w:tab w:val="center" w:pos="4680"/>
              </w:tabs>
              <w:suppressAutoHyphens/>
              <w:rPr>
                <w:b/>
                <w:spacing w:val="-2"/>
                <w:szCs w:val="22"/>
              </w:rPr>
            </w:pPr>
            <w:r w:rsidRPr="001E31B1">
              <w:rPr>
                <w:b/>
                <w:spacing w:val="-2"/>
                <w:szCs w:val="22"/>
              </w:rPr>
              <w:t>)</w:t>
            </w:r>
          </w:p>
          <w:p w14:paraId="7ADFFF4B" w14:textId="77777777" w:rsidR="004C2EE3" w:rsidRPr="001E31B1" w:rsidRDefault="004C2EE3">
            <w:pPr>
              <w:tabs>
                <w:tab w:val="center" w:pos="4680"/>
              </w:tabs>
              <w:suppressAutoHyphens/>
              <w:rPr>
                <w:b/>
                <w:spacing w:val="-2"/>
                <w:szCs w:val="22"/>
              </w:rPr>
            </w:pPr>
            <w:r w:rsidRPr="001E31B1">
              <w:rPr>
                <w:b/>
                <w:spacing w:val="-2"/>
                <w:szCs w:val="22"/>
              </w:rPr>
              <w:t>)</w:t>
            </w:r>
          </w:p>
          <w:p w14:paraId="7E51CA31" w14:textId="77777777" w:rsidR="004C2EE3" w:rsidRPr="001E31B1" w:rsidRDefault="004C2EE3">
            <w:pPr>
              <w:tabs>
                <w:tab w:val="center" w:pos="4680"/>
              </w:tabs>
              <w:suppressAutoHyphens/>
              <w:rPr>
                <w:b/>
                <w:spacing w:val="-2"/>
                <w:szCs w:val="22"/>
              </w:rPr>
            </w:pPr>
            <w:r w:rsidRPr="001E31B1">
              <w:rPr>
                <w:b/>
                <w:spacing w:val="-2"/>
                <w:szCs w:val="22"/>
              </w:rPr>
              <w:t>)</w:t>
            </w:r>
          </w:p>
          <w:p w14:paraId="22C6B403" w14:textId="77777777" w:rsidR="004C2EE3" w:rsidRPr="001E31B1" w:rsidRDefault="004C2EE3">
            <w:pPr>
              <w:tabs>
                <w:tab w:val="center" w:pos="4680"/>
              </w:tabs>
              <w:suppressAutoHyphens/>
              <w:rPr>
                <w:spacing w:val="-2"/>
                <w:szCs w:val="22"/>
              </w:rPr>
            </w:pPr>
            <w:r w:rsidRPr="001E31B1">
              <w:rPr>
                <w:b/>
                <w:spacing w:val="-2"/>
                <w:szCs w:val="22"/>
              </w:rPr>
              <w:t>)</w:t>
            </w:r>
          </w:p>
        </w:tc>
        <w:tc>
          <w:tcPr>
            <w:tcW w:w="4248" w:type="dxa"/>
          </w:tcPr>
          <w:p w14:paraId="12F28F67" w14:textId="77777777" w:rsidR="004C2EE3" w:rsidRPr="001E31B1" w:rsidRDefault="004C2EE3" w:rsidP="00624BC4">
            <w:pPr>
              <w:tabs>
                <w:tab w:val="center" w:pos="4680"/>
              </w:tabs>
              <w:suppressAutoHyphens/>
              <w:rPr>
                <w:spacing w:val="-2"/>
                <w:szCs w:val="22"/>
              </w:rPr>
            </w:pPr>
          </w:p>
          <w:p w14:paraId="7E74137E" w14:textId="77777777" w:rsidR="006906BB" w:rsidRPr="001E31B1" w:rsidRDefault="006906BB" w:rsidP="00624BC4">
            <w:pPr>
              <w:tabs>
                <w:tab w:val="center" w:pos="4680"/>
              </w:tabs>
              <w:suppressAutoHyphens/>
              <w:rPr>
                <w:spacing w:val="-2"/>
                <w:szCs w:val="22"/>
              </w:rPr>
            </w:pPr>
          </w:p>
          <w:p w14:paraId="3BF49475" w14:textId="461CC800" w:rsidR="006906BB" w:rsidRPr="001E31B1" w:rsidRDefault="006906BB" w:rsidP="00624BC4">
            <w:pPr>
              <w:tabs>
                <w:tab w:val="center" w:pos="4680"/>
              </w:tabs>
              <w:suppressAutoHyphens/>
              <w:rPr>
                <w:spacing w:val="-2"/>
                <w:szCs w:val="22"/>
              </w:rPr>
            </w:pPr>
            <w:r w:rsidRPr="001E31B1">
              <w:rPr>
                <w:spacing w:val="-2"/>
                <w:szCs w:val="22"/>
              </w:rPr>
              <w:t>File No. 0007044353</w:t>
            </w:r>
          </w:p>
        </w:tc>
      </w:tr>
    </w:tbl>
    <w:p w14:paraId="069FFF4B" w14:textId="77777777" w:rsidR="004C2EE3" w:rsidRPr="001E31B1" w:rsidRDefault="004C2EE3" w:rsidP="0070224F">
      <w:pPr>
        <w:rPr>
          <w:szCs w:val="22"/>
        </w:rPr>
      </w:pPr>
    </w:p>
    <w:p w14:paraId="43119333" w14:textId="77777777" w:rsidR="00841AB1" w:rsidRPr="001E31B1" w:rsidRDefault="00C54BFD" w:rsidP="00F021FA">
      <w:pPr>
        <w:pStyle w:val="StyleBoldCentered"/>
        <w:rPr>
          <w:rFonts w:ascii="Times New Roman" w:hAnsi="Times New Roman"/>
        </w:rPr>
      </w:pPr>
      <w:r w:rsidRPr="001E31B1">
        <w:rPr>
          <w:rFonts w:ascii="Times New Roman" w:hAnsi="Times New Roman"/>
        </w:rPr>
        <w:t>Order</w:t>
      </w:r>
    </w:p>
    <w:p w14:paraId="1448D2CA" w14:textId="77777777" w:rsidR="004C2EE3" w:rsidRPr="001E31B1" w:rsidRDefault="004C2EE3">
      <w:pPr>
        <w:tabs>
          <w:tab w:val="left" w:pos="-720"/>
        </w:tabs>
        <w:suppressAutoHyphens/>
        <w:spacing w:line="227" w:lineRule="auto"/>
        <w:rPr>
          <w:spacing w:val="-2"/>
          <w:szCs w:val="22"/>
        </w:rPr>
      </w:pPr>
    </w:p>
    <w:p w14:paraId="48CB38E5" w14:textId="68E2DBE1" w:rsidR="004C2EE3" w:rsidRPr="001E31B1" w:rsidRDefault="004C2EE3" w:rsidP="00133F79">
      <w:pPr>
        <w:tabs>
          <w:tab w:val="left" w:pos="720"/>
          <w:tab w:val="right" w:pos="9360"/>
        </w:tabs>
        <w:suppressAutoHyphens/>
        <w:spacing w:line="227" w:lineRule="auto"/>
        <w:rPr>
          <w:spacing w:val="-2"/>
          <w:szCs w:val="22"/>
        </w:rPr>
      </w:pPr>
      <w:r w:rsidRPr="001E31B1">
        <w:rPr>
          <w:b/>
          <w:spacing w:val="-2"/>
          <w:szCs w:val="22"/>
        </w:rPr>
        <w:t xml:space="preserve">Adopted:  </w:t>
      </w:r>
      <w:r w:rsidR="007F5F73">
        <w:rPr>
          <w:b/>
          <w:spacing w:val="-2"/>
          <w:szCs w:val="22"/>
        </w:rPr>
        <w:t>February 19</w:t>
      </w:r>
      <w:r w:rsidR="00D83C08" w:rsidRPr="001E31B1">
        <w:rPr>
          <w:b/>
          <w:spacing w:val="-2"/>
          <w:szCs w:val="22"/>
        </w:rPr>
        <w:t>, 2016</w:t>
      </w:r>
      <w:r w:rsidRPr="001E31B1">
        <w:rPr>
          <w:b/>
          <w:spacing w:val="-2"/>
          <w:szCs w:val="22"/>
        </w:rPr>
        <w:tab/>
      </w:r>
      <w:r w:rsidR="00822CE0" w:rsidRPr="001E31B1">
        <w:rPr>
          <w:b/>
          <w:spacing w:val="-2"/>
          <w:szCs w:val="22"/>
        </w:rPr>
        <w:t>Released</w:t>
      </w:r>
      <w:r w:rsidRPr="001E31B1">
        <w:rPr>
          <w:b/>
          <w:spacing w:val="-2"/>
          <w:szCs w:val="22"/>
        </w:rPr>
        <w:t>:</w:t>
      </w:r>
      <w:r w:rsidR="00822CE0" w:rsidRPr="001E31B1">
        <w:rPr>
          <w:b/>
          <w:spacing w:val="-2"/>
          <w:szCs w:val="22"/>
        </w:rPr>
        <w:t xml:space="preserve"> </w:t>
      </w:r>
      <w:r w:rsidRPr="001E31B1">
        <w:rPr>
          <w:b/>
          <w:spacing w:val="-2"/>
          <w:szCs w:val="22"/>
        </w:rPr>
        <w:t xml:space="preserve"> </w:t>
      </w:r>
      <w:r w:rsidR="007F5F73">
        <w:rPr>
          <w:b/>
          <w:spacing w:val="-2"/>
          <w:szCs w:val="22"/>
        </w:rPr>
        <w:t>February 19</w:t>
      </w:r>
      <w:r w:rsidR="00D83C08" w:rsidRPr="001E31B1">
        <w:rPr>
          <w:b/>
          <w:spacing w:val="-2"/>
          <w:szCs w:val="22"/>
        </w:rPr>
        <w:t>, 2016</w:t>
      </w:r>
    </w:p>
    <w:p w14:paraId="375274CB" w14:textId="77777777" w:rsidR="00822CE0" w:rsidRPr="001E31B1" w:rsidRDefault="00822CE0">
      <w:pPr>
        <w:rPr>
          <w:szCs w:val="22"/>
        </w:rPr>
      </w:pPr>
    </w:p>
    <w:p w14:paraId="71577426" w14:textId="1BD324BE" w:rsidR="004C2EE3" w:rsidRPr="001E31B1" w:rsidRDefault="004C2EE3">
      <w:pPr>
        <w:rPr>
          <w:spacing w:val="-2"/>
          <w:szCs w:val="22"/>
        </w:rPr>
      </w:pPr>
      <w:r w:rsidRPr="00476648">
        <w:rPr>
          <w:szCs w:val="22"/>
        </w:rPr>
        <w:t xml:space="preserve">By </w:t>
      </w:r>
      <w:r w:rsidR="004E4A22" w:rsidRPr="00476648">
        <w:rPr>
          <w:szCs w:val="22"/>
        </w:rPr>
        <w:t>the</w:t>
      </w:r>
      <w:r w:rsidR="002A2D2E" w:rsidRPr="00476648">
        <w:rPr>
          <w:szCs w:val="22"/>
        </w:rPr>
        <w:t xml:space="preserve"> </w:t>
      </w:r>
      <w:r w:rsidR="002405BF" w:rsidRPr="00476648">
        <w:rPr>
          <w:spacing w:val="-2"/>
          <w:szCs w:val="22"/>
        </w:rPr>
        <w:t>Chief, Wireless Telecommunications Bureau</w:t>
      </w:r>
      <w:r w:rsidRPr="00476648">
        <w:rPr>
          <w:spacing w:val="-2"/>
          <w:szCs w:val="22"/>
        </w:rPr>
        <w:t>:</w:t>
      </w:r>
    </w:p>
    <w:p w14:paraId="430FBEEE" w14:textId="77777777" w:rsidR="00822CE0" w:rsidRPr="001E31B1" w:rsidRDefault="00822CE0">
      <w:pPr>
        <w:rPr>
          <w:spacing w:val="-2"/>
          <w:szCs w:val="22"/>
        </w:rPr>
      </w:pPr>
    </w:p>
    <w:p w14:paraId="4E1C844E" w14:textId="77777777" w:rsidR="00412FC5" w:rsidRPr="001E31B1" w:rsidRDefault="00412FC5" w:rsidP="00412FC5">
      <w:pPr>
        <w:rPr>
          <w:szCs w:val="22"/>
        </w:rPr>
      </w:pPr>
    </w:p>
    <w:p w14:paraId="370C87FE" w14:textId="77777777" w:rsidR="002C00E8" w:rsidRPr="001E31B1" w:rsidRDefault="002405BF" w:rsidP="002C00E8">
      <w:pPr>
        <w:pStyle w:val="Heading1"/>
        <w:rPr>
          <w:rFonts w:ascii="Times New Roman" w:hAnsi="Times New Roman"/>
          <w:szCs w:val="22"/>
        </w:rPr>
      </w:pPr>
      <w:r w:rsidRPr="001E31B1">
        <w:rPr>
          <w:rFonts w:ascii="Times New Roman" w:hAnsi="Times New Roman"/>
          <w:szCs w:val="22"/>
        </w:rPr>
        <w:t>Introduction</w:t>
      </w:r>
    </w:p>
    <w:p w14:paraId="76C9E513" w14:textId="5C3CE6B9" w:rsidR="002405BF" w:rsidRPr="001E31B1" w:rsidRDefault="008E6783" w:rsidP="00D52D49">
      <w:pPr>
        <w:pStyle w:val="ParaNum"/>
        <w:rPr>
          <w:szCs w:val="22"/>
        </w:rPr>
      </w:pPr>
      <w:r w:rsidRPr="001E31B1">
        <w:rPr>
          <w:szCs w:val="22"/>
        </w:rPr>
        <w:t xml:space="preserve">In this </w:t>
      </w:r>
      <w:r w:rsidRPr="001E31B1">
        <w:rPr>
          <w:i/>
          <w:szCs w:val="22"/>
        </w:rPr>
        <w:t>Orde</w:t>
      </w:r>
      <w:r w:rsidR="00030E51" w:rsidRPr="001E31B1">
        <w:rPr>
          <w:i/>
          <w:szCs w:val="22"/>
        </w:rPr>
        <w:t>r</w:t>
      </w:r>
      <w:r w:rsidRPr="001E31B1">
        <w:rPr>
          <w:szCs w:val="22"/>
        </w:rPr>
        <w:t xml:space="preserve">, we </w:t>
      </w:r>
      <w:r w:rsidR="00030E51" w:rsidRPr="001E31B1">
        <w:rPr>
          <w:szCs w:val="22"/>
        </w:rPr>
        <w:t>consider</w:t>
      </w:r>
      <w:r w:rsidRPr="001E31B1">
        <w:rPr>
          <w:szCs w:val="22"/>
        </w:rPr>
        <w:t xml:space="preserve"> </w:t>
      </w:r>
      <w:r w:rsidR="00030E51" w:rsidRPr="001E31B1">
        <w:rPr>
          <w:szCs w:val="22"/>
        </w:rPr>
        <w:t>the application</w:t>
      </w:r>
      <w:r w:rsidRPr="001E31B1">
        <w:rPr>
          <w:szCs w:val="22"/>
        </w:rPr>
        <w:t xml:space="preserve"> for waiver </w:t>
      </w:r>
      <w:r w:rsidR="002C4F95" w:rsidRPr="001E31B1">
        <w:rPr>
          <w:szCs w:val="22"/>
        </w:rPr>
        <w:t xml:space="preserve">of </w:t>
      </w:r>
      <w:r w:rsidR="001109FE" w:rsidRPr="001E31B1">
        <w:rPr>
          <w:szCs w:val="22"/>
        </w:rPr>
        <w:t>sections 1.913(b)</w:t>
      </w:r>
      <w:r w:rsidR="00553BED" w:rsidRPr="001E31B1">
        <w:rPr>
          <w:rStyle w:val="FootnoteReference"/>
          <w:sz w:val="22"/>
          <w:szCs w:val="22"/>
        </w:rPr>
        <w:footnoteReference w:id="2"/>
      </w:r>
      <w:r w:rsidR="001109FE" w:rsidRPr="001E31B1">
        <w:rPr>
          <w:szCs w:val="22"/>
        </w:rPr>
        <w:t xml:space="preserve"> and 90.1307(b)</w:t>
      </w:r>
      <w:r w:rsidR="00553BED" w:rsidRPr="001E31B1">
        <w:rPr>
          <w:rStyle w:val="FootnoteReference"/>
          <w:sz w:val="22"/>
          <w:szCs w:val="22"/>
        </w:rPr>
        <w:footnoteReference w:id="3"/>
      </w:r>
      <w:r w:rsidR="001109FE" w:rsidRPr="001E31B1">
        <w:rPr>
          <w:szCs w:val="22"/>
        </w:rPr>
        <w:t xml:space="preserve"> </w:t>
      </w:r>
      <w:r w:rsidRPr="001E31B1">
        <w:rPr>
          <w:szCs w:val="22"/>
        </w:rPr>
        <w:t xml:space="preserve">of the Commission’s rules filed by </w:t>
      </w:r>
      <w:r w:rsidR="00030E51" w:rsidRPr="001E31B1">
        <w:rPr>
          <w:szCs w:val="22"/>
        </w:rPr>
        <w:t>TEACH,</w:t>
      </w:r>
      <w:r w:rsidR="001D4599" w:rsidRPr="001E31B1">
        <w:rPr>
          <w:rStyle w:val="FootnoteReference"/>
          <w:sz w:val="22"/>
          <w:szCs w:val="22"/>
        </w:rPr>
        <w:footnoteReference w:id="4"/>
      </w:r>
      <w:r w:rsidR="00030E51" w:rsidRPr="001E31B1">
        <w:rPr>
          <w:szCs w:val="22"/>
        </w:rPr>
        <w:t xml:space="preserve"> Inc. (TEACH)</w:t>
      </w:r>
      <w:r w:rsidR="001D4599" w:rsidRPr="001E31B1">
        <w:rPr>
          <w:szCs w:val="22"/>
        </w:rPr>
        <w:t>.</w:t>
      </w:r>
      <w:r w:rsidR="00553BED" w:rsidRPr="001E31B1">
        <w:rPr>
          <w:rStyle w:val="FootnoteReference"/>
          <w:sz w:val="22"/>
          <w:szCs w:val="22"/>
        </w:rPr>
        <w:footnoteReference w:id="5"/>
      </w:r>
      <w:r w:rsidR="00030E51" w:rsidRPr="001E31B1">
        <w:rPr>
          <w:szCs w:val="22"/>
        </w:rPr>
        <w:t xml:space="preserve">  We find </w:t>
      </w:r>
      <w:r w:rsidR="00D52D49" w:rsidRPr="001E31B1">
        <w:rPr>
          <w:szCs w:val="22"/>
        </w:rPr>
        <w:t xml:space="preserve">that TEACH has satisfied our waiver standard </w:t>
      </w:r>
      <w:r w:rsidR="00454C42" w:rsidRPr="001E31B1">
        <w:rPr>
          <w:szCs w:val="22"/>
        </w:rPr>
        <w:t xml:space="preserve">on the basis of the unique circumstances underlying its request </w:t>
      </w:r>
      <w:r w:rsidR="00D52D49" w:rsidRPr="001E31B1">
        <w:rPr>
          <w:szCs w:val="22"/>
        </w:rPr>
        <w:t>and that</w:t>
      </w:r>
      <w:r w:rsidR="00454C42" w:rsidRPr="001E31B1">
        <w:rPr>
          <w:szCs w:val="22"/>
        </w:rPr>
        <w:t xml:space="preserve"> on balance</w:t>
      </w:r>
      <w:r w:rsidR="00D52D49" w:rsidRPr="001E31B1">
        <w:rPr>
          <w:szCs w:val="22"/>
        </w:rPr>
        <w:t xml:space="preserve"> granting its Request would serve the public interest.</w:t>
      </w:r>
      <w:r w:rsidR="00030E51" w:rsidRPr="001E31B1">
        <w:rPr>
          <w:szCs w:val="22"/>
        </w:rPr>
        <w:t xml:space="preserve"> </w:t>
      </w:r>
      <w:r w:rsidR="00D52D49" w:rsidRPr="001E31B1">
        <w:rPr>
          <w:szCs w:val="22"/>
        </w:rPr>
        <w:t xml:space="preserve"> We therefore</w:t>
      </w:r>
      <w:r w:rsidR="00030E51" w:rsidRPr="001E31B1">
        <w:rPr>
          <w:szCs w:val="22"/>
        </w:rPr>
        <w:t xml:space="preserve"> accept and grant its applica</w:t>
      </w:r>
      <w:r w:rsidR="00DB6993" w:rsidRPr="001E31B1">
        <w:rPr>
          <w:szCs w:val="22"/>
        </w:rPr>
        <w:t xml:space="preserve">tion for </w:t>
      </w:r>
      <w:r w:rsidR="009E3971">
        <w:rPr>
          <w:szCs w:val="22"/>
        </w:rPr>
        <w:t>a</w:t>
      </w:r>
      <w:r w:rsidR="009B427A">
        <w:rPr>
          <w:szCs w:val="22"/>
        </w:rPr>
        <w:t xml:space="preserve"> non-exclusive nationwide</w:t>
      </w:r>
      <w:r w:rsidR="009E3971">
        <w:rPr>
          <w:szCs w:val="22"/>
        </w:rPr>
        <w:t xml:space="preserve"> license </w:t>
      </w:r>
      <w:r w:rsidR="00DB6993" w:rsidRPr="001E31B1">
        <w:rPr>
          <w:szCs w:val="22"/>
        </w:rPr>
        <w:t>in the 3650-</w:t>
      </w:r>
      <w:r w:rsidR="00030E51" w:rsidRPr="001E31B1">
        <w:rPr>
          <w:szCs w:val="22"/>
        </w:rPr>
        <w:t xml:space="preserve">3700 MHz </w:t>
      </w:r>
      <w:r w:rsidR="009B427A">
        <w:rPr>
          <w:szCs w:val="22"/>
        </w:rPr>
        <w:t>band.</w:t>
      </w:r>
      <w:r w:rsidR="009B427A">
        <w:rPr>
          <w:rStyle w:val="FootnoteReference"/>
          <w:szCs w:val="22"/>
        </w:rPr>
        <w:footnoteReference w:id="6"/>
      </w:r>
    </w:p>
    <w:p w14:paraId="3A6606E2" w14:textId="77777777" w:rsidR="002405BF" w:rsidRPr="001E31B1" w:rsidRDefault="002405BF" w:rsidP="002405BF">
      <w:pPr>
        <w:pStyle w:val="Heading1"/>
        <w:rPr>
          <w:rFonts w:ascii="Times New Roman" w:hAnsi="Times New Roman"/>
          <w:szCs w:val="22"/>
        </w:rPr>
      </w:pPr>
      <w:r w:rsidRPr="001E31B1">
        <w:rPr>
          <w:rFonts w:ascii="Times New Roman" w:hAnsi="Times New Roman"/>
          <w:szCs w:val="22"/>
        </w:rPr>
        <w:t>Background</w:t>
      </w:r>
    </w:p>
    <w:p w14:paraId="7722E50A" w14:textId="77777777" w:rsidR="00342B68" w:rsidRPr="001E31B1" w:rsidRDefault="00342B68" w:rsidP="00E56AD8">
      <w:pPr>
        <w:pStyle w:val="Heading2"/>
        <w:rPr>
          <w:szCs w:val="22"/>
        </w:rPr>
      </w:pPr>
      <w:r w:rsidRPr="001E31B1">
        <w:rPr>
          <w:szCs w:val="22"/>
        </w:rPr>
        <w:t>Procedural Background</w:t>
      </w:r>
    </w:p>
    <w:p w14:paraId="10B9A1C7" w14:textId="12A36700" w:rsidR="000F1F4A" w:rsidRPr="001E31B1" w:rsidRDefault="002C4F95" w:rsidP="002405BF">
      <w:pPr>
        <w:pStyle w:val="ParaNum"/>
        <w:rPr>
          <w:szCs w:val="22"/>
        </w:rPr>
      </w:pPr>
      <w:r w:rsidRPr="001E31B1">
        <w:rPr>
          <w:szCs w:val="22"/>
        </w:rPr>
        <w:t xml:space="preserve">On December 12, 2012, the Commission released a </w:t>
      </w:r>
      <w:r w:rsidRPr="001E31B1">
        <w:rPr>
          <w:i/>
          <w:szCs w:val="22"/>
        </w:rPr>
        <w:t xml:space="preserve">Notice of Proposed Rulemaking and Order </w:t>
      </w:r>
      <w:r w:rsidR="006B339D" w:rsidRPr="001E31B1">
        <w:rPr>
          <w:szCs w:val="22"/>
        </w:rPr>
        <w:t>that proposed to establish a new Citizens Broadband Radio Service in the 3550-3650 MHz band.</w:t>
      </w:r>
      <w:r w:rsidR="006B339D" w:rsidRPr="001E31B1">
        <w:rPr>
          <w:rStyle w:val="FootnoteReference"/>
          <w:sz w:val="22"/>
          <w:szCs w:val="22"/>
        </w:rPr>
        <w:footnoteReference w:id="7"/>
      </w:r>
      <w:r w:rsidR="006B339D" w:rsidRPr="001E31B1">
        <w:rPr>
          <w:szCs w:val="22"/>
        </w:rPr>
        <w:t xml:space="preserve">  The </w:t>
      </w:r>
      <w:r w:rsidR="001579AF" w:rsidRPr="001E31B1">
        <w:rPr>
          <w:i/>
          <w:szCs w:val="22"/>
        </w:rPr>
        <w:t>3.5 GHz NPRM</w:t>
      </w:r>
      <w:r w:rsidR="006B339D" w:rsidRPr="001E31B1">
        <w:rPr>
          <w:i/>
          <w:szCs w:val="22"/>
        </w:rPr>
        <w:t xml:space="preserve"> </w:t>
      </w:r>
      <w:r w:rsidR="006B339D" w:rsidRPr="001E31B1">
        <w:rPr>
          <w:szCs w:val="22"/>
        </w:rPr>
        <w:t xml:space="preserve">also included a supplemental proposal to include the </w:t>
      </w:r>
      <w:r w:rsidRPr="001E31B1">
        <w:rPr>
          <w:szCs w:val="22"/>
        </w:rPr>
        <w:t xml:space="preserve">adjacent </w:t>
      </w:r>
      <w:r w:rsidR="006B339D" w:rsidRPr="001E31B1">
        <w:rPr>
          <w:szCs w:val="22"/>
        </w:rPr>
        <w:t>3650-3700 MHz band in the new Citizens Broadband Radio Service</w:t>
      </w:r>
      <w:r w:rsidR="002E119A" w:rsidRPr="001E31B1">
        <w:rPr>
          <w:szCs w:val="22"/>
        </w:rPr>
        <w:t xml:space="preserve">.  Under the </w:t>
      </w:r>
      <w:r w:rsidR="00C93640" w:rsidRPr="001E31B1">
        <w:rPr>
          <w:szCs w:val="22"/>
        </w:rPr>
        <w:t xml:space="preserve">supplemental proposal, </w:t>
      </w:r>
      <w:r w:rsidR="000F1F4A" w:rsidRPr="001E31B1">
        <w:rPr>
          <w:szCs w:val="22"/>
        </w:rPr>
        <w:t>the Commission anticipated providing “existing 3650-3700 MHz licensees” with a reasonable period of time to transition “from their existing system to the new licensing regime,” and sought comment on this transition period, including the cost to “existing service providers.”</w:t>
      </w:r>
      <w:r w:rsidR="000F1F4A" w:rsidRPr="001E31B1">
        <w:rPr>
          <w:rStyle w:val="FootnoteReference"/>
          <w:sz w:val="22"/>
          <w:szCs w:val="22"/>
        </w:rPr>
        <w:footnoteReference w:id="8"/>
      </w:r>
    </w:p>
    <w:p w14:paraId="3C800D8F" w14:textId="7FA54793" w:rsidR="006B339D" w:rsidRPr="001E31B1" w:rsidRDefault="000F1F4A" w:rsidP="00E17A3C">
      <w:pPr>
        <w:pStyle w:val="ParaNum"/>
        <w:rPr>
          <w:szCs w:val="22"/>
        </w:rPr>
      </w:pPr>
      <w:r w:rsidRPr="001E31B1">
        <w:rPr>
          <w:szCs w:val="22"/>
        </w:rPr>
        <w:lastRenderedPageBreak/>
        <w:t xml:space="preserve">On November 1, 2013, </w:t>
      </w:r>
      <w:r w:rsidR="00A41D9C" w:rsidRPr="001E31B1">
        <w:rPr>
          <w:szCs w:val="22"/>
        </w:rPr>
        <w:t xml:space="preserve">the Commission </w:t>
      </w:r>
      <w:r w:rsidRPr="001E31B1">
        <w:rPr>
          <w:szCs w:val="22"/>
        </w:rPr>
        <w:t xml:space="preserve">released a </w:t>
      </w:r>
      <w:r w:rsidRPr="001E31B1">
        <w:rPr>
          <w:i/>
          <w:szCs w:val="22"/>
        </w:rPr>
        <w:t>Licensing Public Notice</w:t>
      </w:r>
      <w:r w:rsidRPr="001E31B1">
        <w:rPr>
          <w:szCs w:val="22"/>
        </w:rPr>
        <w:t>, see</w:t>
      </w:r>
      <w:r w:rsidR="00F71F0B" w:rsidRPr="001E31B1">
        <w:rPr>
          <w:szCs w:val="22"/>
        </w:rPr>
        <w:t>k</w:t>
      </w:r>
      <w:r w:rsidRPr="001E31B1">
        <w:rPr>
          <w:szCs w:val="22"/>
        </w:rPr>
        <w:t>ing additional</w:t>
      </w:r>
      <w:r w:rsidR="00646330" w:rsidRPr="001E31B1">
        <w:rPr>
          <w:szCs w:val="22"/>
        </w:rPr>
        <w:t xml:space="preserve"> comment on this </w:t>
      </w:r>
      <w:r w:rsidR="006020DD" w:rsidRPr="001E31B1">
        <w:rPr>
          <w:szCs w:val="22"/>
        </w:rPr>
        <w:t>transition, including protections</w:t>
      </w:r>
      <w:r w:rsidR="00646330" w:rsidRPr="001E31B1">
        <w:rPr>
          <w:szCs w:val="22"/>
        </w:rPr>
        <w:t xml:space="preserve"> for “incumbent operators.”</w:t>
      </w:r>
      <w:r w:rsidR="00646330" w:rsidRPr="001E31B1">
        <w:rPr>
          <w:rStyle w:val="FootnoteReference"/>
          <w:sz w:val="22"/>
          <w:szCs w:val="22"/>
        </w:rPr>
        <w:footnoteReference w:id="9"/>
      </w:r>
      <w:r w:rsidR="00646330" w:rsidRPr="001E31B1">
        <w:rPr>
          <w:szCs w:val="22"/>
        </w:rPr>
        <w:t xml:space="preserve"> </w:t>
      </w:r>
      <w:r w:rsidR="000261C2" w:rsidRPr="001E31B1">
        <w:rPr>
          <w:szCs w:val="22"/>
        </w:rPr>
        <w:t xml:space="preserve"> On April 23, 2014, the Commission released a </w:t>
      </w:r>
      <w:r w:rsidR="000261C2" w:rsidRPr="001E31B1">
        <w:rPr>
          <w:i/>
          <w:szCs w:val="22"/>
        </w:rPr>
        <w:t>Further Notice of Proposed Rulemaking</w:t>
      </w:r>
      <w:r w:rsidR="001579AF" w:rsidRPr="001E31B1">
        <w:rPr>
          <w:szCs w:val="22"/>
        </w:rPr>
        <w:t>,</w:t>
      </w:r>
      <w:r w:rsidR="000261C2" w:rsidRPr="001E31B1">
        <w:rPr>
          <w:i/>
          <w:szCs w:val="22"/>
        </w:rPr>
        <w:t xml:space="preserve"> </w:t>
      </w:r>
      <w:r w:rsidR="000261C2" w:rsidRPr="001E31B1">
        <w:rPr>
          <w:szCs w:val="22"/>
        </w:rPr>
        <w:t>noting again that certain commenters had urged that “existing 3650-3700 MHz users” should be provided with a period to transition to the new framework.</w:t>
      </w:r>
      <w:r w:rsidR="000261C2" w:rsidRPr="001E31B1">
        <w:rPr>
          <w:rStyle w:val="FootnoteReference"/>
          <w:sz w:val="22"/>
          <w:szCs w:val="22"/>
        </w:rPr>
        <w:footnoteReference w:id="10"/>
      </w:r>
      <w:r w:rsidR="00646330" w:rsidRPr="001E31B1">
        <w:rPr>
          <w:szCs w:val="22"/>
        </w:rPr>
        <w:t xml:space="preserve"> </w:t>
      </w:r>
      <w:r w:rsidR="000261C2" w:rsidRPr="001E31B1">
        <w:rPr>
          <w:szCs w:val="22"/>
        </w:rPr>
        <w:t xml:space="preserve"> The </w:t>
      </w:r>
      <w:r w:rsidR="001579AF" w:rsidRPr="001E31B1">
        <w:rPr>
          <w:i/>
          <w:szCs w:val="22"/>
        </w:rPr>
        <w:t>3.5 GHz FNPRM</w:t>
      </w:r>
      <w:r w:rsidR="00C93F71" w:rsidRPr="001E31B1">
        <w:rPr>
          <w:i/>
          <w:szCs w:val="22"/>
        </w:rPr>
        <w:t xml:space="preserve"> </w:t>
      </w:r>
      <w:r w:rsidR="00C93F71" w:rsidRPr="001E31B1">
        <w:rPr>
          <w:szCs w:val="22"/>
        </w:rPr>
        <w:t>recognized “the significant investment that incumbent 3650-3700 MHz licensees have made,” and proposed specific rules designed to accommodate that investment.</w:t>
      </w:r>
      <w:r w:rsidR="002D02B7" w:rsidRPr="001E31B1">
        <w:rPr>
          <w:rStyle w:val="FootnoteReference"/>
          <w:sz w:val="22"/>
          <w:szCs w:val="22"/>
        </w:rPr>
        <w:footnoteReference w:id="11"/>
      </w:r>
      <w:r w:rsidR="002D02B7" w:rsidRPr="001E31B1">
        <w:rPr>
          <w:szCs w:val="22"/>
        </w:rPr>
        <w:t xml:space="preserve">  Under these proposed rules, “</w:t>
      </w:r>
      <w:r w:rsidR="00C93640" w:rsidRPr="001E31B1">
        <w:rPr>
          <w:szCs w:val="22"/>
        </w:rPr>
        <w:t xml:space="preserve">existing 3650-3700 MHz </w:t>
      </w:r>
      <w:r w:rsidR="002D02B7" w:rsidRPr="001E31B1">
        <w:rPr>
          <w:szCs w:val="22"/>
        </w:rPr>
        <w:t>operations”</w:t>
      </w:r>
      <w:r w:rsidR="00C93640" w:rsidRPr="001E31B1">
        <w:rPr>
          <w:szCs w:val="22"/>
        </w:rPr>
        <w:t xml:space="preserve"> would be</w:t>
      </w:r>
      <w:r w:rsidR="002E119A" w:rsidRPr="001E31B1">
        <w:rPr>
          <w:szCs w:val="22"/>
        </w:rPr>
        <w:t xml:space="preserve"> </w:t>
      </w:r>
      <w:r w:rsidR="001E419E" w:rsidRPr="001E31B1">
        <w:rPr>
          <w:szCs w:val="22"/>
        </w:rPr>
        <w:t>“</w:t>
      </w:r>
      <w:r w:rsidR="002E119A" w:rsidRPr="001E31B1">
        <w:rPr>
          <w:szCs w:val="22"/>
        </w:rPr>
        <w:t>grandfathered</w:t>
      </w:r>
      <w:r w:rsidR="001E419E" w:rsidRPr="001E31B1">
        <w:rPr>
          <w:szCs w:val="22"/>
        </w:rPr>
        <w:t>”</w:t>
      </w:r>
      <w:r w:rsidR="002E119A" w:rsidRPr="001E31B1">
        <w:rPr>
          <w:szCs w:val="22"/>
        </w:rPr>
        <w:t xml:space="preserve"> for a period of five years after the effective date of the proposed rules.</w:t>
      </w:r>
      <w:r w:rsidR="002E119A" w:rsidRPr="001E31B1">
        <w:rPr>
          <w:rStyle w:val="FootnoteReference"/>
          <w:sz w:val="22"/>
          <w:szCs w:val="22"/>
        </w:rPr>
        <w:footnoteReference w:id="12"/>
      </w:r>
      <w:r w:rsidR="002E119A" w:rsidRPr="001E31B1">
        <w:rPr>
          <w:szCs w:val="22"/>
        </w:rPr>
        <w:t xml:space="preserve">  Under the </w:t>
      </w:r>
      <w:r w:rsidR="00F062AF" w:rsidRPr="001E31B1">
        <w:rPr>
          <w:szCs w:val="22"/>
        </w:rPr>
        <w:t xml:space="preserve">rules proposed in the </w:t>
      </w:r>
      <w:r w:rsidR="001579AF" w:rsidRPr="001E31B1">
        <w:rPr>
          <w:i/>
          <w:szCs w:val="22"/>
        </w:rPr>
        <w:t>3.5 GHz FNPRM</w:t>
      </w:r>
      <w:r w:rsidR="00F062AF" w:rsidRPr="001E31B1">
        <w:rPr>
          <w:szCs w:val="22"/>
        </w:rPr>
        <w:t xml:space="preserve"> to address existing 3650-3700 MHz licensees, eligibility would be limited to entities “authorized under this Part as of [adoption date],” and no new licenses would be issued after that date.</w:t>
      </w:r>
      <w:r w:rsidR="00F062AF" w:rsidRPr="001E31B1">
        <w:rPr>
          <w:rStyle w:val="FootnoteReference"/>
          <w:sz w:val="22"/>
          <w:szCs w:val="22"/>
        </w:rPr>
        <w:footnoteReference w:id="13"/>
      </w:r>
      <w:r w:rsidR="00F062AF" w:rsidRPr="001E31B1">
        <w:rPr>
          <w:szCs w:val="22"/>
        </w:rPr>
        <w:t xml:space="preserve">  </w:t>
      </w:r>
    </w:p>
    <w:p w14:paraId="1794FE9E" w14:textId="76CD7322" w:rsidR="002405BF" w:rsidRPr="001E31B1" w:rsidRDefault="00D95DCB" w:rsidP="00155BE0">
      <w:pPr>
        <w:pStyle w:val="ParaNum"/>
        <w:rPr>
          <w:szCs w:val="22"/>
        </w:rPr>
      </w:pPr>
      <w:r w:rsidRPr="001E31B1">
        <w:rPr>
          <w:szCs w:val="22"/>
        </w:rPr>
        <w:t xml:space="preserve">On April 17, 2015, the Commission </w:t>
      </w:r>
      <w:r w:rsidR="00F062AF" w:rsidRPr="001E31B1">
        <w:rPr>
          <w:szCs w:val="22"/>
        </w:rPr>
        <w:t>a</w:t>
      </w:r>
      <w:r w:rsidRPr="001E31B1">
        <w:rPr>
          <w:szCs w:val="22"/>
        </w:rPr>
        <w:t xml:space="preserve">dopted a </w:t>
      </w:r>
      <w:r w:rsidRPr="001E31B1">
        <w:rPr>
          <w:i/>
          <w:szCs w:val="22"/>
        </w:rPr>
        <w:t>Report and Order and Second Further Notice of Proposed Rulemaking</w:t>
      </w:r>
      <w:r w:rsidRPr="001E31B1">
        <w:rPr>
          <w:szCs w:val="22"/>
        </w:rPr>
        <w:t xml:space="preserve"> that established a new Citizens Broadband Radio Service in the 3550-3700 MHz band (3.5 GHz Band).</w:t>
      </w:r>
      <w:r w:rsidRPr="001E31B1">
        <w:rPr>
          <w:rStyle w:val="FootnoteReference"/>
          <w:sz w:val="22"/>
          <w:szCs w:val="22"/>
        </w:rPr>
        <w:footnoteReference w:id="14"/>
      </w:r>
      <w:r w:rsidR="006B339D" w:rsidRPr="001E31B1">
        <w:rPr>
          <w:szCs w:val="22"/>
        </w:rPr>
        <w:t xml:space="preserve">  The </w:t>
      </w:r>
      <w:r w:rsidR="006B339D" w:rsidRPr="001E31B1">
        <w:rPr>
          <w:i/>
          <w:szCs w:val="22"/>
        </w:rPr>
        <w:t>3.5 GHz Order</w:t>
      </w:r>
      <w:r w:rsidR="006B339D" w:rsidRPr="001E31B1">
        <w:rPr>
          <w:szCs w:val="22"/>
        </w:rPr>
        <w:t xml:space="preserve"> </w:t>
      </w:r>
      <w:r w:rsidR="001E419E" w:rsidRPr="001E31B1">
        <w:rPr>
          <w:szCs w:val="22"/>
        </w:rPr>
        <w:t xml:space="preserve">adopted the supplemental proposal to </w:t>
      </w:r>
      <w:r w:rsidR="00454C42" w:rsidRPr="001E31B1">
        <w:rPr>
          <w:szCs w:val="22"/>
        </w:rPr>
        <w:t xml:space="preserve">incorporate </w:t>
      </w:r>
      <w:r w:rsidR="001E419E" w:rsidRPr="001E31B1">
        <w:rPr>
          <w:szCs w:val="22"/>
        </w:rPr>
        <w:t>the 3650-3700 MHz band</w:t>
      </w:r>
      <w:r w:rsidR="00454C42" w:rsidRPr="001E31B1">
        <w:rPr>
          <w:szCs w:val="22"/>
        </w:rPr>
        <w:t xml:space="preserve"> into the Citizens Broadband Radio Service</w:t>
      </w:r>
      <w:r w:rsidR="00A859DF" w:rsidRPr="001E31B1">
        <w:rPr>
          <w:szCs w:val="22"/>
        </w:rPr>
        <w:t>.  However, the Commission</w:t>
      </w:r>
      <w:r w:rsidR="001E419E" w:rsidRPr="001E31B1">
        <w:rPr>
          <w:szCs w:val="22"/>
        </w:rPr>
        <w:t xml:space="preserve"> </w:t>
      </w:r>
      <w:r w:rsidR="00A859DF" w:rsidRPr="001E31B1">
        <w:rPr>
          <w:szCs w:val="22"/>
        </w:rPr>
        <w:t>again recognized that many incumbents in that band had made “substantial investments in equipment deploying various services in the band,” and accordingly established specific protections designed to preserve th</w:t>
      </w:r>
      <w:r w:rsidR="00454C42" w:rsidRPr="001E31B1">
        <w:rPr>
          <w:szCs w:val="22"/>
        </w:rPr>
        <w:t>e</w:t>
      </w:r>
      <w:r w:rsidR="00A859DF" w:rsidRPr="001E31B1">
        <w:rPr>
          <w:szCs w:val="22"/>
        </w:rPr>
        <w:t xml:space="preserve"> “existing . . . investment” of these “prior existing 3650-3700 MHz licensees.”</w:t>
      </w:r>
      <w:r w:rsidR="00A859DF" w:rsidRPr="001E31B1">
        <w:rPr>
          <w:rStyle w:val="FootnoteReference"/>
          <w:sz w:val="22"/>
          <w:szCs w:val="22"/>
        </w:rPr>
        <w:footnoteReference w:id="15"/>
      </w:r>
      <w:r w:rsidR="00A859DF" w:rsidRPr="001E31B1">
        <w:rPr>
          <w:szCs w:val="22"/>
        </w:rPr>
        <w:t xml:space="preserve">  </w:t>
      </w:r>
      <w:r w:rsidR="00E77738" w:rsidRPr="001E31B1">
        <w:rPr>
          <w:szCs w:val="22"/>
        </w:rPr>
        <w:t>Section 90.1307(b) of the new</w:t>
      </w:r>
      <w:r w:rsidR="00155BE0" w:rsidRPr="001E31B1">
        <w:rPr>
          <w:szCs w:val="22"/>
        </w:rPr>
        <w:t xml:space="preserve"> rules also stipulate</w:t>
      </w:r>
      <w:r w:rsidR="00E77738" w:rsidRPr="001E31B1">
        <w:rPr>
          <w:szCs w:val="22"/>
        </w:rPr>
        <w:t>s</w:t>
      </w:r>
      <w:r w:rsidR="00155BE0" w:rsidRPr="001E31B1">
        <w:rPr>
          <w:szCs w:val="22"/>
        </w:rPr>
        <w:t xml:space="preserve"> that “</w:t>
      </w:r>
      <w:r w:rsidR="00155BE0" w:rsidRPr="001E31B1">
        <w:rPr>
          <w:rFonts w:eastAsiaTheme="minorHAnsi"/>
          <w:snapToGrid/>
          <w:kern w:val="0"/>
          <w:szCs w:val="22"/>
          <w:shd w:val="clear" w:color="auto" w:fill="FFFFFF"/>
        </w:rPr>
        <w:t xml:space="preserve">The Commission shall issue no new licenses </w:t>
      </w:r>
      <w:r w:rsidR="00A859DF" w:rsidRPr="001E31B1">
        <w:rPr>
          <w:rFonts w:eastAsiaTheme="minorHAnsi"/>
          <w:snapToGrid/>
          <w:kern w:val="0"/>
          <w:szCs w:val="22"/>
          <w:shd w:val="clear" w:color="auto" w:fill="FFFFFF"/>
        </w:rPr>
        <w:t xml:space="preserve">. . . </w:t>
      </w:r>
      <w:r w:rsidR="00155BE0" w:rsidRPr="001E31B1">
        <w:rPr>
          <w:rFonts w:eastAsiaTheme="minorHAnsi"/>
          <w:snapToGrid/>
          <w:kern w:val="0"/>
          <w:szCs w:val="22"/>
          <w:shd w:val="clear" w:color="auto" w:fill="FFFFFF"/>
        </w:rPr>
        <w:t>under this section after April 17, 2015</w:t>
      </w:r>
      <w:r w:rsidR="00454C42" w:rsidRPr="001E31B1">
        <w:rPr>
          <w:rFonts w:eastAsiaTheme="minorHAnsi"/>
          <w:snapToGrid/>
          <w:kern w:val="0"/>
          <w:szCs w:val="22"/>
          <w:shd w:val="clear" w:color="auto" w:fill="FFFFFF"/>
        </w:rPr>
        <w:t xml:space="preserve"> . . . .</w:t>
      </w:r>
      <w:r w:rsidR="00155BE0" w:rsidRPr="001E31B1">
        <w:rPr>
          <w:rFonts w:eastAsiaTheme="minorHAnsi"/>
          <w:snapToGrid/>
          <w:kern w:val="0"/>
          <w:szCs w:val="22"/>
          <w:shd w:val="clear" w:color="auto" w:fill="FFFFFF"/>
        </w:rPr>
        <w:t>”</w:t>
      </w:r>
      <w:r w:rsidR="00155BE0" w:rsidRPr="001E31B1">
        <w:rPr>
          <w:rStyle w:val="FootnoteReference"/>
          <w:rFonts w:eastAsiaTheme="minorHAnsi"/>
          <w:snapToGrid/>
          <w:kern w:val="0"/>
          <w:sz w:val="22"/>
          <w:szCs w:val="22"/>
          <w:shd w:val="clear" w:color="auto" w:fill="FFFFFF"/>
        </w:rPr>
        <w:footnoteReference w:id="16"/>
      </w:r>
      <w:r w:rsidR="00155BE0" w:rsidRPr="001E31B1">
        <w:rPr>
          <w:rFonts w:eastAsiaTheme="minorHAnsi"/>
          <w:snapToGrid/>
          <w:kern w:val="0"/>
          <w:szCs w:val="22"/>
          <w:shd w:val="clear" w:color="auto" w:fill="FFFFFF"/>
        </w:rPr>
        <w:t xml:space="preserve"> </w:t>
      </w:r>
    </w:p>
    <w:p w14:paraId="49F8BACE" w14:textId="77777777" w:rsidR="00342B68" w:rsidRPr="001E31B1" w:rsidRDefault="002A3AD5" w:rsidP="00E56AD8">
      <w:pPr>
        <w:pStyle w:val="Heading2"/>
        <w:rPr>
          <w:szCs w:val="22"/>
        </w:rPr>
      </w:pPr>
      <w:r w:rsidRPr="001E31B1">
        <w:rPr>
          <w:szCs w:val="22"/>
        </w:rPr>
        <w:t>TEACH Waiver Request</w:t>
      </w:r>
    </w:p>
    <w:p w14:paraId="66234EA5" w14:textId="77777777" w:rsidR="00FC785C" w:rsidRPr="001E31B1" w:rsidRDefault="001D4599" w:rsidP="00CB0419">
      <w:pPr>
        <w:pStyle w:val="ParaNum"/>
        <w:rPr>
          <w:szCs w:val="22"/>
        </w:rPr>
      </w:pPr>
      <w:r w:rsidRPr="001E31B1">
        <w:rPr>
          <w:szCs w:val="22"/>
        </w:rPr>
        <w:t xml:space="preserve">TEACH is a non-profit corporation based in rural Muhlenberg County, Kentucky, </w:t>
      </w:r>
      <w:r w:rsidR="00A97236" w:rsidRPr="001E31B1">
        <w:rPr>
          <w:szCs w:val="22"/>
        </w:rPr>
        <w:t>that</w:t>
      </w:r>
      <w:r w:rsidRPr="001E31B1">
        <w:rPr>
          <w:szCs w:val="22"/>
        </w:rPr>
        <w:t xml:space="preserve"> </w:t>
      </w:r>
      <w:r w:rsidR="00A97236" w:rsidRPr="001E31B1">
        <w:rPr>
          <w:szCs w:val="22"/>
        </w:rPr>
        <w:t>“</w:t>
      </w:r>
      <w:r w:rsidRPr="001E31B1">
        <w:rPr>
          <w:szCs w:val="22"/>
        </w:rPr>
        <w:t>emphasizes</w:t>
      </w:r>
      <w:r w:rsidR="00A97236" w:rsidRPr="001E31B1">
        <w:rPr>
          <w:szCs w:val="22"/>
        </w:rPr>
        <w:t xml:space="preserve"> </w:t>
      </w:r>
      <w:r w:rsidRPr="001E31B1">
        <w:rPr>
          <w:szCs w:val="22"/>
        </w:rPr>
        <w:t>supporting the Work Ready Community</w:t>
      </w:r>
      <w:r w:rsidR="00CB0419" w:rsidRPr="001E31B1">
        <w:rPr>
          <w:rStyle w:val="FootnoteReference"/>
          <w:sz w:val="22"/>
          <w:szCs w:val="22"/>
        </w:rPr>
        <w:footnoteReference w:id="17"/>
      </w:r>
      <w:r w:rsidRPr="001E31B1">
        <w:rPr>
          <w:szCs w:val="22"/>
        </w:rPr>
        <w:t xml:space="preserve"> initiatives</w:t>
      </w:r>
      <w:r w:rsidR="00CB0419" w:rsidRPr="001E31B1">
        <w:rPr>
          <w:szCs w:val="22"/>
        </w:rPr>
        <w:t xml:space="preserve"> </w:t>
      </w:r>
      <w:r w:rsidR="00A97236" w:rsidRPr="001E31B1">
        <w:rPr>
          <w:szCs w:val="22"/>
        </w:rPr>
        <w:t>surrounding</w:t>
      </w:r>
      <w:r w:rsidRPr="001E31B1">
        <w:rPr>
          <w:szCs w:val="22"/>
        </w:rPr>
        <w:t xml:space="preserve"> broadband availability, GED and</w:t>
      </w:r>
      <w:r w:rsidR="00A97236" w:rsidRPr="001E31B1">
        <w:rPr>
          <w:szCs w:val="22"/>
        </w:rPr>
        <w:t xml:space="preserve"> </w:t>
      </w:r>
      <w:r w:rsidRPr="001E31B1">
        <w:rPr>
          <w:szCs w:val="22"/>
        </w:rPr>
        <w:t>higher education attainment, National Career Readiness Certificate, and soft skills certifications,</w:t>
      </w:r>
      <w:r w:rsidR="00A97236" w:rsidRPr="001E31B1">
        <w:rPr>
          <w:szCs w:val="22"/>
        </w:rPr>
        <w:t xml:space="preserve"> </w:t>
      </w:r>
      <w:r w:rsidRPr="001E31B1">
        <w:rPr>
          <w:szCs w:val="22"/>
        </w:rPr>
        <w:t>and college and career readiness.</w:t>
      </w:r>
      <w:r w:rsidR="00A97236" w:rsidRPr="001E31B1">
        <w:rPr>
          <w:szCs w:val="22"/>
        </w:rPr>
        <w:t>”</w:t>
      </w:r>
      <w:r w:rsidR="00A97236" w:rsidRPr="001E31B1">
        <w:rPr>
          <w:rStyle w:val="FootnoteReference"/>
          <w:sz w:val="22"/>
          <w:szCs w:val="22"/>
        </w:rPr>
        <w:footnoteReference w:id="18"/>
      </w:r>
      <w:r w:rsidR="00CB0419" w:rsidRPr="001E31B1">
        <w:rPr>
          <w:szCs w:val="22"/>
        </w:rPr>
        <w:t xml:space="preserve">  </w:t>
      </w:r>
      <w:r w:rsidRPr="001E31B1">
        <w:rPr>
          <w:szCs w:val="22"/>
        </w:rPr>
        <w:t xml:space="preserve">In 2012, Muhlenberg County began the process of </w:t>
      </w:r>
      <w:r w:rsidRPr="001E31B1">
        <w:rPr>
          <w:szCs w:val="22"/>
        </w:rPr>
        <w:lastRenderedPageBreak/>
        <w:t>obtaini</w:t>
      </w:r>
      <w:r w:rsidR="00A97236" w:rsidRPr="001E31B1">
        <w:rPr>
          <w:szCs w:val="22"/>
        </w:rPr>
        <w:t xml:space="preserve">ng a </w:t>
      </w:r>
      <w:r w:rsidRPr="001E31B1">
        <w:rPr>
          <w:szCs w:val="22"/>
        </w:rPr>
        <w:t xml:space="preserve">Work Ready </w:t>
      </w:r>
      <w:r w:rsidR="00CB0419" w:rsidRPr="001E31B1">
        <w:rPr>
          <w:szCs w:val="22"/>
        </w:rPr>
        <w:t>Community c</w:t>
      </w:r>
      <w:r w:rsidRPr="001E31B1">
        <w:rPr>
          <w:szCs w:val="22"/>
        </w:rPr>
        <w:t>ertification from the Commonwealth of Kentucky.</w:t>
      </w:r>
      <w:r w:rsidR="00CB0419" w:rsidRPr="001E31B1">
        <w:rPr>
          <w:rStyle w:val="FootnoteReference"/>
          <w:sz w:val="22"/>
          <w:szCs w:val="22"/>
        </w:rPr>
        <w:footnoteReference w:id="19"/>
      </w:r>
      <w:r w:rsidRPr="001E31B1">
        <w:rPr>
          <w:szCs w:val="22"/>
        </w:rPr>
        <w:t xml:space="preserve">  </w:t>
      </w:r>
    </w:p>
    <w:p w14:paraId="738CF9AA" w14:textId="42C6DDFB" w:rsidR="003C7395" w:rsidRPr="001E31B1" w:rsidRDefault="001D4599" w:rsidP="005C1AC9">
      <w:pPr>
        <w:pStyle w:val="ParaNum"/>
        <w:rPr>
          <w:szCs w:val="22"/>
        </w:rPr>
      </w:pPr>
      <w:r w:rsidRPr="001E31B1">
        <w:rPr>
          <w:szCs w:val="22"/>
        </w:rPr>
        <w:t xml:space="preserve">As a part of the </w:t>
      </w:r>
      <w:r w:rsidR="00BE5649" w:rsidRPr="001E31B1">
        <w:rPr>
          <w:szCs w:val="22"/>
        </w:rPr>
        <w:t xml:space="preserve">Work </w:t>
      </w:r>
      <w:r w:rsidRPr="001E31B1">
        <w:rPr>
          <w:szCs w:val="22"/>
        </w:rPr>
        <w:t xml:space="preserve">Ready </w:t>
      </w:r>
      <w:r w:rsidR="00CB0419" w:rsidRPr="001E31B1">
        <w:rPr>
          <w:szCs w:val="22"/>
        </w:rPr>
        <w:t>Community certification process</w:t>
      </w:r>
      <w:r w:rsidRPr="001E31B1">
        <w:rPr>
          <w:szCs w:val="22"/>
        </w:rPr>
        <w:t xml:space="preserve">, the Muhlenberg County Fiscal Court </w:t>
      </w:r>
      <w:r w:rsidR="00FC785C" w:rsidRPr="001E31B1">
        <w:rPr>
          <w:szCs w:val="22"/>
        </w:rPr>
        <w:t>(</w:t>
      </w:r>
      <w:r w:rsidR="00396232" w:rsidRPr="001E31B1">
        <w:rPr>
          <w:szCs w:val="22"/>
        </w:rPr>
        <w:t>Fiscal Court</w:t>
      </w:r>
      <w:r w:rsidR="00FC785C" w:rsidRPr="001E31B1">
        <w:rPr>
          <w:szCs w:val="22"/>
        </w:rPr>
        <w:t xml:space="preserve">) </w:t>
      </w:r>
      <w:r w:rsidRPr="001E31B1">
        <w:rPr>
          <w:szCs w:val="22"/>
        </w:rPr>
        <w:t>pledged to provide $250,000 over three years to increas</w:t>
      </w:r>
      <w:r w:rsidR="00454C42" w:rsidRPr="001E31B1">
        <w:rPr>
          <w:szCs w:val="22"/>
        </w:rPr>
        <w:t>e</w:t>
      </w:r>
      <w:r w:rsidRPr="001E31B1">
        <w:rPr>
          <w:szCs w:val="22"/>
        </w:rPr>
        <w:t xml:space="preserve"> broadband availability within the county.</w:t>
      </w:r>
      <w:r w:rsidRPr="001E31B1">
        <w:rPr>
          <w:rStyle w:val="FootnoteReference"/>
          <w:sz w:val="22"/>
          <w:szCs w:val="22"/>
        </w:rPr>
        <w:footnoteReference w:id="20"/>
      </w:r>
      <w:r w:rsidRPr="001E31B1">
        <w:rPr>
          <w:szCs w:val="22"/>
        </w:rPr>
        <w:t xml:space="preserve">  </w:t>
      </w:r>
      <w:r w:rsidR="00FC785C" w:rsidRPr="001E31B1">
        <w:rPr>
          <w:szCs w:val="22"/>
        </w:rPr>
        <w:t>In addition, o</w:t>
      </w:r>
      <w:r w:rsidR="003C7395" w:rsidRPr="001E31B1">
        <w:rPr>
          <w:szCs w:val="22"/>
        </w:rPr>
        <w:t>n November 12, 2013, the Delta Regional Authority (DRA)</w:t>
      </w:r>
      <w:r w:rsidR="00BE5649" w:rsidRPr="001E31B1">
        <w:rPr>
          <w:rStyle w:val="FootnoteReference"/>
          <w:sz w:val="22"/>
          <w:szCs w:val="22"/>
        </w:rPr>
        <w:footnoteReference w:id="21"/>
      </w:r>
      <w:r w:rsidR="003C7395" w:rsidRPr="001E31B1">
        <w:rPr>
          <w:szCs w:val="22"/>
        </w:rPr>
        <w:t xml:space="preserve"> awarded the </w:t>
      </w:r>
      <w:r w:rsidR="005C1AC9" w:rsidRPr="001E31B1">
        <w:rPr>
          <w:szCs w:val="22"/>
        </w:rPr>
        <w:t>County</w:t>
      </w:r>
      <w:r w:rsidR="003C7395" w:rsidRPr="001E31B1">
        <w:rPr>
          <w:szCs w:val="22"/>
        </w:rPr>
        <w:t xml:space="preserve"> a $119,965 grant to fund broadband infrastructure in Muhlenberg County;</w:t>
      </w:r>
      <w:r w:rsidR="009B79D0" w:rsidRPr="001E31B1">
        <w:rPr>
          <w:rStyle w:val="FootnoteReference"/>
          <w:sz w:val="22"/>
          <w:szCs w:val="22"/>
        </w:rPr>
        <w:footnoteReference w:id="22"/>
      </w:r>
      <w:r w:rsidR="003C7395" w:rsidRPr="001E31B1">
        <w:rPr>
          <w:szCs w:val="22"/>
        </w:rPr>
        <w:t xml:space="preserve"> </w:t>
      </w:r>
      <w:r w:rsidR="005C1AC9" w:rsidRPr="001E31B1">
        <w:rPr>
          <w:szCs w:val="22"/>
        </w:rPr>
        <w:t xml:space="preserve">the DRA grant requires the </w:t>
      </w:r>
      <w:r w:rsidR="00396232" w:rsidRPr="001E31B1">
        <w:rPr>
          <w:szCs w:val="22"/>
        </w:rPr>
        <w:t>Fiscal Court</w:t>
      </w:r>
      <w:r w:rsidR="005C1AC9" w:rsidRPr="001E31B1">
        <w:rPr>
          <w:szCs w:val="22"/>
        </w:rPr>
        <w:t xml:space="preserve"> to complete the proposed project by March 2016.</w:t>
      </w:r>
      <w:r w:rsidR="003C7395" w:rsidRPr="001E31B1">
        <w:rPr>
          <w:rStyle w:val="FootnoteReference"/>
          <w:sz w:val="22"/>
          <w:szCs w:val="22"/>
        </w:rPr>
        <w:footnoteReference w:id="23"/>
      </w:r>
      <w:r w:rsidR="003C7395" w:rsidRPr="001E31B1">
        <w:rPr>
          <w:szCs w:val="22"/>
        </w:rPr>
        <w:t xml:space="preserve">  On March 20, 2015, the Felix E. Martin Jr. Foundation</w:t>
      </w:r>
      <w:r w:rsidR="00921CE3" w:rsidRPr="001E31B1">
        <w:rPr>
          <w:rStyle w:val="FootnoteReference"/>
          <w:sz w:val="22"/>
          <w:szCs w:val="22"/>
        </w:rPr>
        <w:footnoteReference w:id="24"/>
      </w:r>
      <w:r w:rsidR="003C7395" w:rsidRPr="001E31B1">
        <w:rPr>
          <w:szCs w:val="22"/>
        </w:rPr>
        <w:t xml:space="preserve"> awarded a</w:t>
      </w:r>
      <w:r w:rsidR="00700253" w:rsidRPr="001E31B1">
        <w:rPr>
          <w:szCs w:val="22"/>
        </w:rPr>
        <w:t>n additional</w:t>
      </w:r>
      <w:r w:rsidR="003C7395" w:rsidRPr="001E31B1">
        <w:rPr>
          <w:szCs w:val="22"/>
        </w:rPr>
        <w:t xml:space="preserve"> $220,000 grant to the </w:t>
      </w:r>
      <w:r w:rsidR="00396232" w:rsidRPr="001E31B1">
        <w:rPr>
          <w:szCs w:val="22"/>
        </w:rPr>
        <w:t>Fiscal Court</w:t>
      </w:r>
      <w:r w:rsidR="003C7395" w:rsidRPr="001E31B1">
        <w:rPr>
          <w:szCs w:val="22"/>
        </w:rPr>
        <w:t xml:space="preserve">, such that the total amount represented by the </w:t>
      </w:r>
      <w:r w:rsidR="00396232" w:rsidRPr="001E31B1">
        <w:rPr>
          <w:szCs w:val="22"/>
        </w:rPr>
        <w:t>Fiscal Court</w:t>
      </w:r>
      <w:r w:rsidR="003C7395" w:rsidRPr="001E31B1">
        <w:rPr>
          <w:szCs w:val="22"/>
        </w:rPr>
        <w:t>, DRA</w:t>
      </w:r>
      <w:r w:rsidR="005C1AC9" w:rsidRPr="001E31B1">
        <w:rPr>
          <w:szCs w:val="22"/>
        </w:rPr>
        <w:t>,</w:t>
      </w:r>
      <w:r w:rsidR="003C7395" w:rsidRPr="001E31B1">
        <w:rPr>
          <w:szCs w:val="22"/>
        </w:rPr>
        <w:t xml:space="preserve"> and </w:t>
      </w:r>
      <w:r w:rsidR="005C1AC9" w:rsidRPr="001E31B1">
        <w:rPr>
          <w:szCs w:val="22"/>
        </w:rPr>
        <w:t>Felix E. Martin Jr. Foundation</w:t>
      </w:r>
      <w:r w:rsidR="003C7395" w:rsidRPr="001E31B1">
        <w:rPr>
          <w:szCs w:val="22"/>
        </w:rPr>
        <w:t xml:space="preserve"> grants is $591,802.14.</w:t>
      </w:r>
      <w:r w:rsidR="005C1AC9" w:rsidRPr="001E31B1">
        <w:rPr>
          <w:rStyle w:val="FootnoteReference"/>
          <w:sz w:val="22"/>
          <w:szCs w:val="22"/>
        </w:rPr>
        <w:footnoteReference w:id="25"/>
      </w:r>
      <w:r w:rsidR="005C1AC9" w:rsidRPr="001E31B1">
        <w:rPr>
          <w:szCs w:val="22"/>
        </w:rPr>
        <w:t xml:space="preserve">  </w:t>
      </w:r>
      <w:r w:rsidR="003C7395" w:rsidRPr="001E31B1">
        <w:rPr>
          <w:szCs w:val="22"/>
        </w:rPr>
        <w:t xml:space="preserve">On April 30, 2015, the </w:t>
      </w:r>
      <w:r w:rsidR="00396232" w:rsidRPr="001E31B1">
        <w:rPr>
          <w:szCs w:val="22"/>
        </w:rPr>
        <w:t>Fiscal Court</w:t>
      </w:r>
      <w:r w:rsidR="003C7395" w:rsidRPr="001E31B1">
        <w:rPr>
          <w:szCs w:val="22"/>
        </w:rPr>
        <w:t xml:space="preserve"> awarded </w:t>
      </w:r>
      <w:r w:rsidR="005C1AC9" w:rsidRPr="001E31B1">
        <w:rPr>
          <w:szCs w:val="22"/>
        </w:rPr>
        <w:t xml:space="preserve">the entire sum </w:t>
      </w:r>
      <w:r w:rsidR="009B79D0" w:rsidRPr="001E31B1">
        <w:rPr>
          <w:szCs w:val="22"/>
        </w:rPr>
        <w:t xml:space="preserve">to TEACH to complete the </w:t>
      </w:r>
      <w:r w:rsidR="003C7395" w:rsidRPr="001E31B1">
        <w:rPr>
          <w:szCs w:val="22"/>
        </w:rPr>
        <w:t>project</w:t>
      </w:r>
      <w:r w:rsidR="00454C42" w:rsidRPr="001E31B1">
        <w:rPr>
          <w:szCs w:val="22"/>
        </w:rPr>
        <w:t xml:space="preserve"> to increase broadband availability</w:t>
      </w:r>
      <w:r w:rsidR="009B79D0" w:rsidRPr="001E31B1">
        <w:rPr>
          <w:szCs w:val="22"/>
        </w:rPr>
        <w:t xml:space="preserve"> using </w:t>
      </w:r>
      <w:r w:rsidR="00ED6DED" w:rsidRPr="001E31B1">
        <w:rPr>
          <w:szCs w:val="22"/>
        </w:rPr>
        <w:t xml:space="preserve">3650-3700 MHz </w:t>
      </w:r>
      <w:r w:rsidR="009B79D0" w:rsidRPr="001E31B1">
        <w:rPr>
          <w:szCs w:val="22"/>
        </w:rPr>
        <w:t>spectrum</w:t>
      </w:r>
      <w:r w:rsidR="003C7395" w:rsidRPr="001E31B1">
        <w:rPr>
          <w:szCs w:val="22"/>
        </w:rPr>
        <w:t>.</w:t>
      </w:r>
      <w:r w:rsidR="005C1AC9" w:rsidRPr="001E31B1">
        <w:rPr>
          <w:rStyle w:val="FootnoteReference"/>
          <w:sz w:val="22"/>
          <w:szCs w:val="22"/>
        </w:rPr>
        <w:footnoteReference w:id="26"/>
      </w:r>
    </w:p>
    <w:p w14:paraId="0252D3EA" w14:textId="22456E54" w:rsidR="00B87547" w:rsidRPr="001E31B1" w:rsidRDefault="009B79D0" w:rsidP="00F97059">
      <w:pPr>
        <w:pStyle w:val="ParaNum"/>
        <w:rPr>
          <w:szCs w:val="22"/>
        </w:rPr>
      </w:pPr>
      <w:r w:rsidRPr="001E31B1">
        <w:rPr>
          <w:szCs w:val="22"/>
        </w:rPr>
        <w:t xml:space="preserve">TEACH states that it learned of section 90.1307(b)’s </w:t>
      </w:r>
      <w:r w:rsidR="009A20FF" w:rsidRPr="001E31B1">
        <w:rPr>
          <w:szCs w:val="22"/>
        </w:rPr>
        <w:t>“</w:t>
      </w:r>
      <w:r w:rsidRPr="001E31B1">
        <w:rPr>
          <w:szCs w:val="22"/>
        </w:rPr>
        <w:t>freeze</w:t>
      </w:r>
      <w:r w:rsidR="009A20FF" w:rsidRPr="001E31B1">
        <w:rPr>
          <w:szCs w:val="22"/>
        </w:rPr>
        <w:t>”</w:t>
      </w:r>
      <w:r w:rsidRPr="001E31B1">
        <w:rPr>
          <w:szCs w:val="22"/>
        </w:rPr>
        <w:t xml:space="preserve"> on new 3650-3700 MHz licenses on May 14, 2015, after TEACH had </w:t>
      </w:r>
      <w:r w:rsidR="003121CF" w:rsidRPr="001E31B1">
        <w:rPr>
          <w:szCs w:val="22"/>
        </w:rPr>
        <w:t xml:space="preserve">been awarded the grant and </w:t>
      </w:r>
      <w:r w:rsidRPr="001E31B1">
        <w:rPr>
          <w:szCs w:val="22"/>
        </w:rPr>
        <w:t>purchased a</w:t>
      </w:r>
      <w:r w:rsidR="003C7395" w:rsidRPr="001E31B1">
        <w:rPr>
          <w:szCs w:val="22"/>
        </w:rPr>
        <w:t xml:space="preserve">ll transmission and customer premise </w:t>
      </w:r>
      <w:r w:rsidRPr="001E31B1">
        <w:rPr>
          <w:szCs w:val="22"/>
        </w:rPr>
        <w:t>equipment.</w:t>
      </w:r>
      <w:r w:rsidR="003627E3" w:rsidRPr="001E31B1">
        <w:rPr>
          <w:rStyle w:val="FootnoteReference"/>
          <w:sz w:val="22"/>
          <w:szCs w:val="22"/>
        </w:rPr>
        <w:footnoteReference w:id="27"/>
      </w:r>
      <w:r w:rsidR="003627E3" w:rsidRPr="001E31B1">
        <w:rPr>
          <w:szCs w:val="22"/>
        </w:rPr>
        <w:t xml:space="preserve">  </w:t>
      </w:r>
      <w:r w:rsidR="00B87547" w:rsidRPr="001E31B1">
        <w:rPr>
          <w:szCs w:val="22"/>
        </w:rPr>
        <w:t>TEACH states that it now has secured rights to use space to mount it</w:t>
      </w:r>
      <w:r w:rsidR="00F97059" w:rsidRPr="001E31B1">
        <w:rPr>
          <w:szCs w:val="22"/>
        </w:rPr>
        <w:t>s transmission equipment at all five proposed access points within Muhlenberg County</w:t>
      </w:r>
      <w:r w:rsidR="00B87547" w:rsidRPr="001E31B1">
        <w:rPr>
          <w:szCs w:val="22"/>
        </w:rPr>
        <w:t>, and is completing coordination in order to apply for five new 11 GHz point-to-point links for network connectivity and backhaul.</w:t>
      </w:r>
      <w:r w:rsidR="00B87547" w:rsidRPr="001E31B1">
        <w:rPr>
          <w:rStyle w:val="FootnoteReference"/>
          <w:sz w:val="22"/>
          <w:szCs w:val="22"/>
        </w:rPr>
        <w:footnoteReference w:id="28"/>
      </w:r>
      <w:r w:rsidR="00B87547" w:rsidRPr="001E31B1">
        <w:rPr>
          <w:szCs w:val="22"/>
        </w:rPr>
        <w:t xml:space="preserve">  It claims that it currently has a waiting list of 156 people and that “[b]ut for the absence of a license or other operating rights to 3650-3700 MHz spectrum, TEACH would have already completed construction of its network, installed customer premise equipment and initiated service.”</w:t>
      </w:r>
      <w:r w:rsidR="00B87547" w:rsidRPr="001E31B1">
        <w:rPr>
          <w:rStyle w:val="FootnoteReference"/>
          <w:sz w:val="22"/>
          <w:szCs w:val="22"/>
        </w:rPr>
        <w:footnoteReference w:id="29"/>
      </w:r>
    </w:p>
    <w:p w14:paraId="3E9873E0" w14:textId="7214C3ED" w:rsidR="003C7395" w:rsidRPr="001E31B1" w:rsidRDefault="003627E3" w:rsidP="002A18EF">
      <w:pPr>
        <w:pStyle w:val="ParaNum"/>
        <w:rPr>
          <w:szCs w:val="22"/>
        </w:rPr>
      </w:pPr>
      <w:r w:rsidRPr="001E31B1">
        <w:rPr>
          <w:szCs w:val="22"/>
        </w:rPr>
        <w:t>O</w:t>
      </w:r>
      <w:r w:rsidR="00247EAC" w:rsidRPr="001E31B1">
        <w:rPr>
          <w:szCs w:val="22"/>
        </w:rPr>
        <w:t xml:space="preserve">n November 18, 2015, </w:t>
      </w:r>
      <w:r w:rsidRPr="001E31B1">
        <w:rPr>
          <w:szCs w:val="22"/>
        </w:rPr>
        <w:t xml:space="preserve">TEACH submitted </w:t>
      </w:r>
      <w:r w:rsidR="00265A5B" w:rsidRPr="001E31B1">
        <w:rPr>
          <w:szCs w:val="22"/>
        </w:rPr>
        <w:t xml:space="preserve">the Request, which included </w:t>
      </w:r>
      <w:r w:rsidRPr="001E31B1">
        <w:rPr>
          <w:szCs w:val="22"/>
        </w:rPr>
        <w:t xml:space="preserve">a manual application for a new nationwide 3650-3700 MHz </w:t>
      </w:r>
      <w:r w:rsidR="004D6467" w:rsidRPr="001E31B1">
        <w:rPr>
          <w:szCs w:val="22"/>
        </w:rPr>
        <w:t>license</w:t>
      </w:r>
      <w:r w:rsidR="00C51251" w:rsidRPr="001E31B1">
        <w:rPr>
          <w:szCs w:val="22"/>
        </w:rPr>
        <w:t>,</w:t>
      </w:r>
      <w:r w:rsidR="00265A5B" w:rsidRPr="001E31B1">
        <w:rPr>
          <w:szCs w:val="22"/>
        </w:rPr>
        <w:t xml:space="preserve"> as well as request </w:t>
      </w:r>
      <w:r w:rsidRPr="001E31B1">
        <w:rPr>
          <w:szCs w:val="22"/>
        </w:rPr>
        <w:t>for waiver of section 1.913(b) to permit the manual filing of the application and of section 90.1307(b) to permit acceptance and grant of the application.</w:t>
      </w:r>
      <w:r w:rsidRPr="001E31B1">
        <w:rPr>
          <w:rStyle w:val="FootnoteReference"/>
          <w:sz w:val="22"/>
          <w:szCs w:val="22"/>
        </w:rPr>
        <w:footnoteReference w:id="30"/>
      </w:r>
      <w:r w:rsidR="00B87547" w:rsidRPr="001E31B1">
        <w:rPr>
          <w:szCs w:val="22"/>
        </w:rPr>
        <w:t xml:space="preserve">  </w:t>
      </w:r>
      <w:r w:rsidR="00454C42" w:rsidRPr="001E31B1">
        <w:rPr>
          <w:szCs w:val="22"/>
        </w:rPr>
        <w:t>The waiver of 90.1307(b) was necessary because the Commission, as it had envisioned thro</w:t>
      </w:r>
      <w:r w:rsidR="00CC6094" w:rsidRPr="001E31B1">
        <w:rPr>
          <w:szCs w:val="22"/>
        </w:rPr>
        <w:t xml:space="preserve">ughout the proceeding creating </w:t>
      </w:r>
      <w:r w:rsidR="00454C42" w:rsidRPr="001E31B1">
        <w:rPr>
          <w:szCs w:val="22"/>
        </w:rPr>
        <w:t xml:space="preserve">the Citizens Broadband Radio Service, decided to </w:t>
      </w:r>
      <w:r w:rsidR="002D3094" w:rsidRPr="001E31B1">
        <w:rPr>
          <w:szCs w:val="22"/>
        </w:rPr>
        <w:t>incorporate the 3650-3700 MHz band into the new rules and to stop</w:t>
      </w:r>
      <w:r w:rsidR="00454C42" w:rsidRPr="001E31B1">
        <w:rPr>
          <w:szCs w:val="22"/>
        </w:rPr>
        <w:t xml:space="preserve"> </w:t>
      </w:r>
      <w:r w:rsidR="002D3094" w:rsidRPr="001E31B1">
        <w:rPr>
          <w:szCs w:val="22"/>
        </w:rPr>
        <w:t>accepting new applications</w:t>
      </w:r>
      <w:r w:rsidR="00454C42" w:rsidRPr="001E31B1">
        <w:rPr>
          <w:szCs w:val="22"/>
        </w:rPr>
        <w:t xml:space="preserve"> under the previously applicable rules. </w:t>
      </w:r>
      <w:r w:rsidR="00CC6094" w:rsidRPr="001E31B1">
        <w:rPr>
          <w:szCs w:val="22"/>
        </w:rPr>
        <w:t xml:space="preserve"> </w:t>
      </w:r>
      <w:r w:rsidR="00B87547" w:rsidRPr="001E31B1">
        <w:rPr>
          <w:szCs w:val="22"/>
        </w:rPr>
        <w:t>On December 9, 2015, TEACH’s application was placed on public notice as accepted for filing.</w:t>
      </w:r>
      <w:r w:rsidR="00B87547" w:rsidRPr="001E31B1">
        <w:rPr>
          <w:rStyle w:val="FootnoteReference"/>
          <w:sz w:val="22"/>
          <w:szCs w:val="22"/>
        </w:rPr>
        <w:footnoteReference w:id="31"/>
      </w:r>
      <w:r w:rsidR="00B87547" w:rsidRPr="001E31B1">
        <w:rPr>
          <w:szCs w:val="22"/>
        </w:rPr>
        <w:t xml:space="preserve">  The public notice provided that acceptance for filing was “subject to the pre-grant notice and petition procedure of Section 309 of the Communications Act of 1934, as amended.”</w:t>
      </w:r>
      <w:r w:rsidR="00B87547" w:rsidRPr="001E31B1">
        <w:rPr>
          <w:rStyle w:val="FootnoteReference"/>
          <w:sz w:val="22"/>
          <w:szCs w:val="22"/>
        </w:rPr>
        <w:footnoteReference w:id="32"/>
      </w:r>
      <w:r w:rsidR="00B87547" w:rsidRPr="001E31B1">
        <w:rPr>
          <w:szCs w:val="22"/>
        </w:rPr>
        <w:t xml:space="preserve">  </w:t>
      </w:r>
      <w:r w:rsidR="003121CF" w:rsidRPr="001E31B1">
        <w:rPr>
          <w:szCs w:val="22"/>
        </w:rPr>
        <w:t xml:space="preserve">  </w:t>
      </w:r>
    </w:p>
    <w:p w14:paraId="79A2373C" w14:textId="77777777" w:rsidR="002405BF" w:rsidRPr="001E31B1" w:rsidRDefault="002405BF" w:rsidP="002405BF">
      <w:pPr>
        <w:pStyle w:val="Heading1"/>
        <w:rPr>
          <w:rFonts w:ascii="Times New Roman" w:hAnsi="Times New Roman"/>
          <w:szCs w:val="22"/>
        </w:rPr>
      </w:pPr>
      <w:r w:rsidRPr="001E31B1">
        <w:rPr>
          <w:rFonts w:ascii="Times New Roman" w:hAnsi="Times New Roman"/>
          <w:szCs w:val="22"/>
        </w:rPr>
        <w:t>Discussion</w:t>
      </w:r>
    </w:p>
    <w:p w14:paraId="5F2DE7FD" w14:textId="3C6E4C2C" w:rsidR="0010243C" w:rsidRPr="001E31B1" w:rsidRDefault="002A18EF" w:rsidP="00401712">
      <w:pPr>
        <w:pStyle w:val="ParaNum"/>
        <w:rPr>
          <w:szCs w:val="22"/>
        </w:rPr>
      </w:pPr>
      <w:r w:rsidRPr="001E31B1">
        <w:rPr>
          <w:szCs w:val="22"/>
        </w:rPr>
        <w:t>In its Request, TEACH argues t</w:t>
      </w:r>
      <w:r w:rsidR="00C50267" w:rsidRPr="001E31B1">
        <w:rPr>
          <w:szCs w:val="22"/>
        </w:rPr>
        <w:t>hat based</w:t>
      </w:r>
      <w:r w:rsidR="00401712" w:rsidRPr="001E31B1">
        <w:rPr>
          <w:szCs w:val="22"/>
        </w:rPr>
        <w:t xml:space="preserve"> on </w:t>
      </w:r>
      <w:r w:rsidR="00E84673" w:rsidRPr="001E31B1">
        <w:rPr>
          <w:szCs w:val="22"/>
        </w:rPr>
        <w:t xml:space="preserve">all of </w:t>
      </w:r>
      <w:r w:rsidR="00401712" w:rsidRPr="001E31B1">
        <w:rPr>
          <w:szCs w:val="22"/>
        </w:rPr>
        <w:t>the unique</w:t>
      </w:r>
      <w:r w:rsidR="00F80423" w:rsidRPr="001E31B1">
        <w:rPr>
          <w:szCs w:val="22"/>
        </w:rPr>
        <w:t xml:space="preserve"> and usual</w:t>
      </w:r>
      <w:r w:rsidR="00401712" w:rsidRPr="001E31B1">
        <w:rPr>
          <w:szCs w:val="22"/>
        </w:rPr>
        <w:t xml:space="preserve"> circumstances </w:t>
      </w:r>
      <w:r w:rsidR="00A41D9C" w:rsidRPr="001E31B1">
        <w:rPr>
          <w:szCs w:val="22"/>
        </w:rPr>
        <w:t>it presents</w:t>
      </w:r>
      <w:r w:rsidR="00201E16" w:rsidRPr="001E31B1">
        <w:rPr>
          <w:szCs w:val="22"/>
        </w:rPr>
        <w:t>, a waiver grant</w:t>
      </w:r>
      <w:r w:rsidRPr="001E31B1">
        <w:rPr>
          <w:szCs w:val="22"/>
        </w:rPr>
        <w:t xml:space="preserve"> is warranted.</w:t>
      </w:r>
      <w:r w:rsidR="007506DD" w:rsidRPr="001E31B1">
        <w:rPr>
          <w:rStyle w:val="FootnoteReference"/>
          <w:sz w:val="22"/>
          <w:szCs w:val="22"/>
        </w:rPr>
        <w:footnoteReference w:id="33"/>
      </w:r>
      <w:r w:rsidRPr="001E31B1">
        <w:rPr>
          <w:szCs w:val="22"/>
        </w:rPr>
        <w:t xml:space="preserve">  </w:t>
      </w:r>
      <w:r w:rsidR="00C50267" w:rsidRPr="001E31B1">
        <w:rPr>
          <w:szCs w:val="22"/>
        </w:rPr>
        <w:t>After careful review of the R</w:t>
      </w:r>
      <w:r w:rsidRPr="001E31B1">
        <w:rPr>
          <w:szCs w:val="22"/>
        </w:rPr>
        <w:t>equest, we find that TEACH has satisfied the requirements of secti</w:t>
      </w:r>
      <w:r w:rsidR="0046215F" w:rsidRPr="001E31B1">
        <w:rPr>
          <w:szCs w:val="22"/>
        </w:rPr>
        <w:t>on 1.925 and that granting its R</w:t>
      </w:r>
      <w:r w:rsidRPr="001E31B1">
        <w:rPr>
          <w:szCs w:val="22"/>
        </w:rPr>
        <w:t xml:space="preserve">equest </w:t>
      </w:r>
      <w:r w:rsidR="002D3094" w:rsidRPr="001E31B1">
        <w:rPr>
          <w:szCs w:val="22"/>
        </w:rPr>
        <w:t xml:space="preserve">on the basis of its unique circumstances </w:t>
      </w:r>
      <w:r w:rsidRPr="001E31B1">
        <w:rPr>
          <w:szCs w:val="22"/>
        </w:rPr>
        <w:t>would serve the public interest.</w:t>
      </w:r>
    </w:p>
    <w:p w14:paraId="6E708707" w14:textId="77777777" w:rsidR="009A20FF" w:rsidRPr="001E31B1" w:rsidRDefault="003E1C9B" w:rsidP="003E1C9B">
      <w:pPr>
        <w:pStyle w:val="ParaNum"/>
        <w:rPr>
          <w:szCs w:val="22"/>
        </w:rPr>
      </w:pPr>
      <w:r w:rsidRPr="001E31B1">
        <w:rPr>
          <w:szCs w:val="22"/>
        </w:rPr>
        <w:t>Under section 1.925, the Commission may grant an applicant’s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1E31B1">
        <w:rPr>
          <w:rStyle w:val="FootnoteReference"/>
          <w:sz w:val="22"/>
          <w:szCs w:val="22"/>
        </w:rPr>
        <w:footnoteReference w:id="34"/>
      </w:r>
      <w:r w:rsidRPr="001E31B1">
        <w:rPr>
          <w:szCs w:val="22"/>
        </w:rPr>
        <w:t xml:space="preserve">  </w:t>
      </w:r>
    </w:p>
    <w:p w14:paraId="090010FA" w14:textId="2CC9E949" w:rsidR="00596218" w:rsidRPr="001E31B1" w:rsidRDefault="003D1CBC" w:rsidP="001F65AA">
      <w:pPr>
        <w:pStyle w:val="ParaNum"/>
        <w:rPr>
          <w:szCs w:val="22"/>
        </w:rPr>
      </w:pPr>
      <w:r w:rsidRPr="001E31B1">
        <w:rPr>
          <w:szCs w:val="22"/>
        </w:rPr>
        <w:t>As stated above,</w:t>
      </w:r>
      <w:r w:rsidR="009A20FF" w:rsidRPr="001E31B1">
        <w:rPr>
          <w:szCs w:val="22"/>
        </w:rPr>
        <w:t xml:space="preserve"> </w:t>
      </w:r>
      <w:r w:rsidR="00247EAC" w:rsidRPr="001E31B1">
        <w:rPr>
          <w:szCs w:val="22"/>
        </w:rPr>
        <w:t xml:space="preserve">the Commission will not issue any new </w:t>
      </w:r>
      <w:r w:rsidR="009A20FF" w:rsidRPr="001E31B1">
        <w:rPr>
          <w:szCs w:val="22"/>
        </w:rPr>
        <w:t>nationwide 3650-3700 MHz</w:t>
      </w:r>
      <w:r w:rsidR="00FE522C" w:rsidRPr="001E31B1">
        <w:rPr>
          <w:szCs w:val="22"/>
        </w:rPr>
        <w:t xml:space="preserve"> Wireless Broadband Service</w:t>
      </w:r>
      <w:r w:rsidR="009A20FF" w:rsidRPr="001E31B1">
        <w:rPr>
          <w:szCs w:val="22"/>
        </w:rPr>
        <w:t xml:space="preserve"> licenses</w:t>
      </w:r>
      <w:r w:rsidR="004B63D2" w:rsidRPr="001E31B1">
        <w:rPr>
          <w:rFonts w:eastAsiaTheme="minorHAnsi"/>
          <w:snapToGrid/>
          <w:kern w:val="0"/>
          <w:szCs w:val="22"/>
          <w:shd w:val="clear" w:color="auto" w:fill="FFFFFF"/>
        </w:rPr>
        <w:t xml:space="preserve"> after April 17, 2015</w:t>
      </w:r>
      <w:r w:rsidR="009A20FF" w:rsidRPr="001E31B1">
        <w:rPr>
          <w:szCs w:val="22"/>
        </w:rPr>
        <w:t>.</w:t>
      </w:r>
      <w:r w:rsidR="009A20FF" w:rsidRPr="001E31B1">
        <w:rPr>
          <w:rStyle w:val="FootnoteReference"/>
          <w:sz w:val="22"/>
          <w:szCs w:val="22"/>
        </w:rPr>
        <w:footnoteReference w:id="35"/>
      </w:r>
      <w:r w:rsidR="009A20FF" w:rsidRPr="001E31B1">
        <w:rPr>
          <w:szCs w:val="22"/>
        </w:rPr>
        <w:t xml:space="preserve">  TEACH</w:t>
      </w:r>
      <w:r w:rsidR="003E1C9B" w:rsidRPr="001E31B1">
        <w:rPr>
          <w:szCs w:val="22"/>
        </w:rPr>
        <w:t xml:space="preserve"> </w:t>
      </w:r>
      <w:r w:rsidR="00017FF7" w:rsidRPr="001E31B1">
        <w:rPr>
          <w:szCs w:val="22"/>
        </w:rPr>
        <w:t>states</w:t>
      </w:r>
      <w:r w:rsidR="003E1C9B" w:rsidRPr="001E31B1">
        <w:rPr>
          <w:szCs w:val="22"/>
        </w:rPr>
        <w:t xml:space="preserve"> that </w:t>
      </w:r>
      <w:r w:rsidR="009A20FF" w:rsidRPr="001E31B1">
        <w:rPr>
          <w:szCs w:val="22"/>
        </w:rPr>
        <w:t>its</w:t>
      </w:r>
      <w:r w:rsidR="003E1C9B" w:rsidRPr="001E31B1">
        <w:rPr>
          <w:szCs w:val="22"/>
        </w:rPr>
        <w:t xml:space="preserve"> circumstances</w:t>
      </w:r>
      <w:r w:rsidR="00814DA2" w:rsidRPr="001E31B1">
        <w:rPr>
          <w:szCs w:val="22"/>
        </w:rPr>
        <w:t>, taken together,</w:t>
      </w:r>
      <w:r w:rsidR="003E1C9B" w:rsidRPr="001E31B1">
        <w:rPr>
          <w:szCs w:val="22"/>
        </w:rPr>
        <w:t xml:space="preserve"> satisfy</w:t>
      </w:r>
      <w:r w:rsidR="00FE522C" w:rsidRPr="001E31B1">
        <w:rPr>
          <w:szCs w:val="22"/>
        </w:rPr>
        <w:t xml:space="preserve"> the conditions required for the Commission to </w:t>
      </w:r>
      <w:r w:rsidR="00136E98" w:rsidRPr="001E31B1">
        <w:rPr>
          <w:szCs w:val="22"/>
        </w:rPr>
        <w:t xml:space="preserve">waive </w:t>
      </w:r>
      <w:r w:rsidR="006E28A0" w:rsidRPr="001E31B1">
        <w:rPr>
          <w:szCs w:val="22"/>
        </w:rPr>
        <w:t>t</w:t>
      </w:r>
      <w:r w:rsidR="00017FF7" w:rsidRPr="001E31B1">
        <w:rPr>
          <w:szCs w:val="22"/>
        </w:rPr>
        <w:t>his rule</w:t>
      </w:r>
      <w:r w:rsidR="00136E98" w:rsidRPr="001E31B1">
        <w:rPr>
          <w:szCs w:val="22"/>
        </w:rPr>
        <w:t xml:space="preserve"> under </w:t>
      </w:r>
      <w:r w:rsidR="009A20FF" w:rsidRPr="001E31B1">
        <w:rPr>
          <w:szCs w:val="22"/>
        </w:rPr>
        <w:t>the second prong</w:t>
      </w:r>
      <w:r w:rsidR="00136E98" w:rsidRPr="001E31B1">
        <w:rPr>
          <w:szCs w:val="22"/>
        </w:rPr>
        <w:t xml:space="preserve"> of section 1.925</w:t>
      </w:r>
      <w:r w:rsidR="003E1C9B" w:rsidRPr="001E31B1">
        <w:rPr>
          <w:szCs w:val="22"/>
        </w:rPr>
        <w:t>.</w:t>
      </w:r>
      <w:r w:rsidR="00F47CB7" w:rsidRPr="001E31B1">
        <w:rPr>
          <w:rStyle w:val="FootnoteReference"/>
          <w:sz w:val="22"/>
          <w:szCs w:val="22"/>
        </w:rPr>
        <w:footnoteReference w:id="36"/>
      </w:r>
      <w:r w:rsidR="00017FF7" w:rsidRPr="001E31B1">
        <w:rPr>
          <w:szCs w:val="22"/>
        </w:rPr>
        <w:t xml:space="preserve">  </w:t>
      </w:r>
      <w:r w:rsidR="00CF07D4" w:rsidRPr="001E31B1">
        <w:rPr>
          <w:szCs w:val="22"/>
        </w:rPr>
        <w:t>TEACH</w:t>
      </w:r>
      <w:r w:rsidR="00F47CB7" w:rsidRPr="001E31B1">
        <w:rPr>
          <w:szCs w:val="22"/>
        </w:rPr>
        <w:t xml:space="preserve"> argue</w:t>
      </w:r>
      <w:r w:rsidR="00CF07D4" w:rsidRPr="001E31B1">
        <w:rPr>
          <w:szCs w:val="22"/>
        </w:rPr>
        <w:t>s that due to the</w:t>
      </w:r>
      <w:r w:rsidR="00F47CB7" w:rsidRPr="001E31B1">
        <w:rPr>
          <w:szCs w:val="22"/>
        </w:rPr>
        <w:t xml:space="preserve"> “unique and unusual” factual circumstances</w:t>
      </w:r>
      <w:r w:rsidR="00CF07D4" w:rsidRPr="001E31B1">
        <w:rPr>
          <w:szCs w:val="22"/>
        </w:rPr>
        <w:t xml:space="preserve"> described above</w:t>
      </w:r>
      <w:r w:rsidR="00F47CB7" w:rsidRPr="001E31B1">
        <w:rPr>
          <w:szCs w:val="22"/>
        </w:rPr>
        <w:t xml:space="preserve">, strictly applying </w:t>
      </w:r>
      <w:r w:rsidR="00813254" w:rsidRPr="001E31B1">
        <w:rPr>
          <w:szCs w:val="22"/>
        </w:rPr>
        <w:t xml:space="preserve">section </w:t>
      </w:r>
      <w:r w:rsidR="00F47CB7" w:rsidRPr="001E31B1">
        <w:rPr>
          <w:szCs w:val="22"/>
        </w:rPr>
        <w:t>90.1037(b) would be inequitable, unduly burdensome, and contrary to the public interest.</w:t>
      </w:r>
      <w:r w:rsidR="00E56AD8" w:rsidRPr="001E31B1">
        <w:rPr>
          <w:rStyle w:val="FootnoteReference"/>
          <w:sz w:val="22"/>
          <w:szCs w:val="22"/>
        </w:rPr>
        <w:footnoteReference w:id="37"/>
      </w:r>
      <w:r w:rsidR="004F07D5" w:rsidRPr="001E31B1">
        <w:rPr>
          <w:szCs w:val="22"/>
        </w:rPr>
        <w:t xml:space="preserve">  </w:t>
      </w:r>
      <w:r w:rsidR="00D9794C" w:rsidRPr="001E31B1">
        <w:rPr>
          <w:szCs w:val="22"/>
        </w:rPr>
        <w:t>TEACH</w:t>
      </w:r>
      <w:r w:rsidR="00775280" w:rsidRPr="001E31B1">
        <w:rPr>
          <w:szCs w:val="22"/>
        </w:rPr>
        <w:t xml:space="preserve"> </w:t>
      </w:r>
      <w:r w:rsidR="00D9794C" w:rsidRPr="001E31B1">
        <w:rPr>
          <w:szCs w:val="22"/>
        </w:rPr>
        <w:t xml:space="preserve">explains that both it and Muhlenberg County </w:t>
      </w:r>
      <w:r w:rsidR="00F47611" w:rsidRPr="001E31B1">
        <w:rPr>
          <w:szCs w:val="22"/>
        </w:rPr>
        <w:t>“</w:t>
      </w:r>
      <w:r w:rsidR="00D9794C" w:rsidRPr="001E31B1">
        <w:rPr>
          <w:szCs w:val="22"/>
        </w:rPr>
        <w:t>have accepted legal obligations and expended significant funds to implement the project</w:t>
      </w:r>
      <w:r w:rsidR="00065AA9" w:rsidRPr="001E31B1">
        <w:rPr>
          <w:szCs w:val="22"/>
        </w:rPr>
        <w:t>.</w:t>
      </w:r>
      <w:r w:rsidR="00F47611" w:rsidRPr="001E31B1">
        <w:rPr>
          <w:szCs w:val="22"/>
        </w:rPr>
        <w:t>”</w:t>
      </w:r>
      <w:r w:rsidR="00D9794C" w:rsidRPr="001E31B1">
        <w:rPr>
          <w:rStyle w:val="FootnoteReference"/>
          <w:sz w:val="22"/>
          <w:szCs w:val="22"/>
        </w:rPr>
        <w:footnoteReference w:id="38"/>
      </w:r>
      <w:r w:rsidR="00AC03D9" w:rsidRPr="001E31B1">
        <w:rPr>
          <w:szCs w:val="22"/>
        </w:rPr>
        <w:t xml:space="preserve">  </w:t>
      </w:r>
      <w:r w:rsidR="005424DC" w:rsidRPr="001E31B1">
        <w:rPr>
          <w:szCs w:val="22"/>
        </w:rPr>
        <w:t xml:space="preserve">TEACH claims that if it is </w:t>
      </w:r>
      <w:r w:rsidR="00F47611" w:rsidRPr="001E31B1">
        <w:rPr>
          <w:szCs w:val="22"/>
        </w:rPr>
        <w:t>“</w:t>
      </w:r>
      <w:r w:rsidR="005424DC" w:rsidRPr="001E31B1">
        <w:rPr>
          <w:szCs w:val="22"/>
        </w:rPr>
        <w:t>unable to obtain the rights to use 3650-3700 MHz spectrum, the project may need to be unraveled and abandoned unless significant changes – which may not be possible – can be overcome</w:t>
      </w:r>
      <w:r w:rsidR="00B71956" w:rsidRPr="001E31B1">
        <w:rPr>
          <w:szCs w:val="22"/>
        </w:rPr>
        <w:t>.</w:t>
      </w:r>
      <w:r w:rsidR="00F47611" w:rsidRPr="001E31B1">
        <w:rPr>
          <w:szCs w:val="22"/>
        </w:rPr>
        <w:t>”</w:t>
      </w:r>
      <w:r w:rsidR="0015438E" w:rsidRPr="001E31B1">
        <w:rPr>
          <w:rStyle w:val="FootnoteReference"/>
          <w:sz w:val="22"/>
          <w:szCs w:val="22"/>
        </w:rPr>
        <w:footnoteReference w:id="39"/>
      </w:r>
      <w:r w:rsidR="00F47611" w:rsidRPr="001E31B1">
        <w:rPr>
          <w:szCs w:val="22"/>
        </w:rPr>
        <w:t xml:space="preserve"> </w:t>
      </w:r>
      <w:r w:rsidR="00B71956" w:rsidRPr="001E31B1">
        <w:rPr>
          <w:szCs w:val="22"/>
        </w:rPr>
        <w:t>TEACH also claims that “</w:t>
      </w:r>
      <w:r w:rsidR="005424DC" w:rsidRPr="001E31B1">
        <w:rPr>
          <w:szCs w:val="22"/>
        </w:rPr>
        <w:t>there is no certainty that Muhlenberg County or the DRA would be willing to accept any modified terms.</w:t>
      </w:r>
      <w:r w:rsidR="00F47611" w:rsidRPr="001E31B1">
        <w:rPr>
          <w:szCs w:val="22"/>
        </w:rPr>
        <w:t>”</w:t>
      </w:r>
      <w:r w:rsidR="005424DC" w:rsidRPr="001E31B1">
        <w:rPr>
          <w:rStyle w:val="FootnoteReference"/>
          <w:sz w:val="22"/>
          <w:szCs w:val="22"/>
        </w:rPr>
        <w:footnoteReference w:id="40"/>
      </w:r>
    </w:p>
    <w:p w14:paraId="13725EAF" w14:textId="061DA6FB" w:rsidR="00C64612" w:rsidRPr="001E31B1" w:rsidRDefault="004C3B87" w:rsidP="004B74C8">
      <w:pPr>
        <w:pStyle w:val="ParaNum"/>
        <w:rPr>
          <w:szCs w:val="22"/>
        </w:rPr>
      </w:pPr>
      <w:r w:rsidRPr="001E31B1">
        <w:rPr>
          <w:szCs w:val="22"/>
        </w:rPr>
        <w:t xml:space="preserve">TEACH </w:t>
      </w:r>
      <w:r w:rsidR="00065AA9" w:rsidRPr="001E31B1">
        <w:rPr>
          <w:szCs w:val="22"/>
        </w:rPr>
        <w:t xml:space="preserve">asserts </w:t>
      </w:r>
      <w:r w:rsidRPr="001E31B1">
        <w:rPr>
          <w:szCs w:val="22"/>
        </w:rPr>
        <w:t>that it is a non-profit organization</w:t>
      </w:r>
      <w:r w:rsidR="007828A3" w:rsidRPr="001E31B1">
        <w:rPr>
          <w:szCs w:val="22"/>
        </w:rPr>
        <w:t xml:space="preserve"> </w:t>
      </w:r>
      <w:r w:rsidR="00533B8E" w:rsidRPr="001E31B1">
        <w:rPr>
          <w:szCs w:val="22"/>
        </w:rPr>
        <w:t>that benefits</w:t>
      </w:r>
      <w:r w:rsidR="00065AA9" w:rsidRPr="001E31B1">
        <w:rPr>
          <w:szCs w:val="22"/>
        </w:rPr>
        <w:t xml:space="preserve"> </w:t>
      </w:r>
      <w:r w:rsidR="00533B8E" w:rsidRPr="001E31B1">
        <w:rPr>
          <w:szCs w:val="22"/>
        </w:rPr>
        <w:t>Kentucky’s</w:t>
      </w:r>
      <w:r w:rsidR="00065AA9" w:rsidRPr="001E31B1">
        <w:rPr>
          <w:szCs w:val="22"/>
        </w:rPr>
        <w:t xml:space="preserve"> </w:t>
      </w:r>
      <w:r w:rsidRPr="001E31B1">
        <w:rPr>
          <w:szCs w:val="22"/>
        </w:rPr>
        <w:t xml:space="preserve">rural citizens, including the 156 who already are on </w:t>
      </w:r>
      <w:r w:rsidR="00B71956" w:rsidRPr="001E31B1">
        <w:rPr>
          <w:szCs w:val="22"/>
        </w:rPr>
        <w:t xml:space="preserve">the </w:t>
      </w:r>
      <w:r w:rsidRPr="001E31B1">
        <w:rPr>
          <w:szCs w:val="22"/>
        </w:rPr>
        <w:t>waiting list</w:t>
      </w:r>
      <w:r w:rsidR="00B71956" w:rsidRPr="001E31B1">
        <w:rPr>
          <w:szCs w:val="22"/>
        </w:rPr>
        <w:t xml:space="preserve"> for its service</w:t>
      </w:r>
      <w:r w:rsidRPr="001E31B1">
        <w:rPr>
          <w:szCs w:val="22"/>
        </w:rPr>
        <w:t>.</w:t>
      </w:r>
      <w:r w:rsidRPr="001E31B1">
        <w:rPr>
          <w:rStyle w:val="FootnoteReference"/>
          <w:sz w:val="22"/>
          <w:szCs w:val="22"/>
        </w:rPr>
        <w:footnoteReference w:id="41"/>
      </w:r>
      <w:r w:rsidR="00AC03D9" w:rsidRPr="001E31B1">
        <w:rPr>
          <w:szCs w:val="22"/>
        </w:rPr>
        <w:t xml:space="preserve">  </w:t>
      </w:r>
      <w:r w:rsidR="00C24218" w:rsidRPr="001E31B1">
        <w:rPr>
          <w:szCs w:val="22"/>
        </w:rPr>
        <w:t xml:space="preserve">TEACH </w:t>
      </w:r>
      <w:r w:rsidR="00E22CEF" w:rsidRPr="001E31B1">
        <w:rPr>
          <w:szCs w:val="22"/>
        </w:rPr>
        <w:t xml:space="preserve">states that it </w:t>
      </w:r>
      <w:r w:rsidR="002835CB" w:rsidRPr="001E31B1">
        <w:rPr>
          <w:szCs w:val="22"/>
        </w:rPr>
        <w:t>“</w:t>
      </w:r>
      <w:r w:rsidR="00E22CEF" w:rsidRPr="001E31B1">
        <w:rPr>
          <w:szCs w:val="22"/>
        </w:rPr>
        <w:t xml:space="preserve">was </w:t>
      </w:r>
      <w:r w:rsidR="00C24218" w:rsidRPr="001E31B1">
        <w:rPr>
          <w:szCs w:val="22"/>
        </w:rPr>
        <w:t>established to implement grants that would result in the construction and operation of fixed</w:t>
      </w:r>
      <w:r w:rsidR="00E22CEF" w:rsidRPr="001E31B1">
        <w:rPr>
          <w:szCs w:val="22"/>
        </w:rPr>
        <w:t xml:space="preserve"> </w:t>
      </w:r>
      <w:r w:rsidR="00C24218" w:rsidRPr="001E31B1">
        <w:rPr>
          <w:szCs w:val="22"/>
        </w:rPr>
        <w:t>broadband services to a significant unserved and underserved population in rural Kentucky,</w:t>
      </w:r>
      <w:r w:rsidR="00E22CEF" w:rsidRPr="001E31B1">
        <w:rPr>
          <w:szCs w:val="22"/>
        </w:rPr>
        <w:t xml:space="preserve"> </w:t>
      </w:r>
      <w:r w:rsidR="00C24218" w:rsidRPr="001E31B1">
        <w:rPr>
          <w:szCs w:val="22"/>
        </w:rPr>
        <w:t>where cable, DSL and fiber connections are either non-existent or offer low speeds.</w:t>
      </w:r>
      <w:r w:rsidR="002835CB" w:rsidRPr="001E31B1">
        <w:rPr>
          <w:szCs w:val="22"/>
        </w:rPr>
        <w:t>”</w:t>
      </w:r>
      <w:r w:rsidR="00E22CEF" w:rsidRPr="001E31B1">
        <w:rPr>
          <w:rStyle w:val="FootnoteReference"/>
          <w:sz w:val="22"/>
          <w:szCs w:val="22"/>
        </w:rPr>
        <w:footnoteReference w:id="42"/>
      </w:r>
      <w:r w:rsidR="003E07B2" w:rsidRPr="001E31B1">
        <w:rPr>
          <w:szCs w:val="22"/>
        </w:rPr>
        <w:t xml:space="preserve">  TEACH further explains that as a non-profit entity dedicated to providing educational opportunities, TEACH will not be distributing profits to shareholders but will put those funds to use to further promote its community-based mission, including re-investing revenues into network expansion and technology.</w:t>
      </w:r>
      <w:r w:rsidR="003E07B2" w:rsidRPr="001E31B1">
        <w:rPr>
          <w:rStyle w:val="FootnoteReference"/>
          <w:sz w:val="22"/>
          <w:szCs w:val="22"/>
        </w:rPr>
        <w:footnoteReference w:id="43"/>
      </w:r>
      <w:r w:rsidR="003E07B2" w:rsidRPr="001E31B1">
        <w:rPr>
          <w:szCs w:val="22"/>
        </w:rPr>
        <w:t xml:space="preserve">  </w:t>
      </w:r>
      <w:r w:rsidR="00E22CEF" w:rsidRPr="001E31B1">
        <w:rPr>
          <w:szCs w:val="22"/>
        </w:rPr>
        <w:t>It bolsters its claim by including letters to the Commission from various Muhlenberg County entities stating the importance of the project to the County.</w:t>
      </w:r>
      <w:r w:rsidR="00E22CEF" w:rsidRPr="001E31B1">
        <w:rPr>
          <w:rStyle w:val="FootnoteReference"/>
          <w:sz w:val="22"/>
          <w:szCs w:val="22"/>
        </w:rPr>
        <w:footnoteReference w:id="44"/>
      </w:r>
      <w:r w:rsidR="004B74C8" w:rsidRPr="001E31B1">
        <w:rPr>
          <w:szCs w:val="22"/>
        </w:rPr>
        <w:t xml:space="preserve">  Additionally, TEACH states that it has done substantial research and determined that the 3650-3700 MHz band offered the best combination of coverage, throughput, and cost for the hilly and foliated environment of rural Western Kentucky.</w:t>
      </w:r>
      <w:r w:rsidR="004B74C8" w:rsidRPr="001E31B1">
        <w:rPr>
          <w:rStyle w:val="FootnoteReference"/>
          <w:sz w:val="22"/>
          <w:szCs w:val="22"/>
        </w:rPr>
        <w:footnoteReference w:id="45"/>
      </w:r>
    </w:p>
    <w:p w14:paraId="703E05EA" w14:textId="733D9F28" w:rsidR="00017FF7" w:rsidRPr="001E31B1" w:rsidRDefault="002C29C1" w:rsidP="00B95548">
      <w:pPr>
        <w:pStyle w:val="ParaNum"/>
        <w:rPr>
          <w:szCs w:val="22"/>
        </w:rPr>
      </w:pPr>
      <w:r w:rsidRPr="001E31B1">
        <w:rPr>
          <w:szCs w:val="22"/>
        </w:rPr>
        <w:t xml:space="preserve">Finally, </w:t>
      </w:r>
      <w:r w:rsidR="002C0C50" w:rsidRPr="001E31B1">
        <w:rPr>
          <w:szCs w:val="22"/>
        </w:rPr>
        <w:t>TEACH also requests a waiver of</w:t>
      </w:r>
      <w:r w:rsidR="00017FF7" w:rsidRPr="001E31B1">
        <w:rPr>
          <w:szCs w:val="22"/>
        </w:rPr>
        <w:t xml:space="preserve"> section 1.913(b)</w:t>
      </w:r>
      <w:r w:rsidR="002C0C50" w:rsidRPr="001E31B1">
        <w:rPr>
          <w:szCs w:val="22"/>
        </w:rPr>
        <w:t>,</w:t>
      </w:r>
      <w:r w:rsidR="00017FF7" w:rsidRPr="001E31B1">
        <w:rPr>
          <w:szCs w:val="22"/>
        </w:rPr>
        <w:t xml:space="preserve"> </w:t>
      </w:r>
      <w:r w:rsidR="00AD07CC" w:rsidRPr="001E31B1">
        <w:rPr>
          <w:szCs w:val="22"/>
        </w:rPr>
        <w:t xml:space="preserve">which </w:t>
      </w:r>
      <w:r w:rsidR="00017FF7" w:rsidRPr="001E31B1">
        <w:rPr>
          <w:szCs w:val="22"/>
        </w:rPr>
        <w:t>mandates electronic filing for licenses in most wireless services, including the 3650-3700 MHz band.</w:t>
      </w:r>
      <w:r w:rsidR="00017FF7" w:rsidRPr="001E31B1">
        <w:rPr>
          <w:rStyle w:val="FootnoteReference"/>
          <w:sz w:val="22"/>
          <w:szCs w:val="22"/>
        </w:rPr>
        <w:footnoteReference w:id="46"/>
      </w:r>
      <w:r w:rsidR="00017FF7" w:rsidRPr="001E31B1">
        <w:rPr>
          <w:szCs w:val="22"/>
        </w:rPr>
        <w:t xml:space="preserve">  As the Commission’s electronic Universal Licensing System (ULS) currently will not accept applications for the 3650-3700 MHz </w:t>
      </w:r>
      <w:r w:rsidR="009B427A">
        <w:rPr>
          <w:szCs w:val="22"/>
        </w:rPr>
        <w:t xml:space="preserve">band </w:t>
      </w:r>
      <w:r w:rsidR="00017FF7" w:rsidRPr="001E31B1">
        <w:rPr>
          <w:szCs w:val="22"/>
        </w:rPr>
        <w:t>due to section 90.1307(b)’s moratorium</w:t>
      </w:r>
      <w:r w:rsidR="009B427A">
        <w:rPr>
          <w:szCs w:val="22"/>
        </w:rPr>
        <w:t xml:space="preserve"> on new licenses</w:t>
      </w:r>
      <w:r w:rsidR="00017FF7" w:rsidRPr="001E31B1">
        <w:rPr>
          <w:szCs w:val="22"/>
        </w:rPr>
        <w:t>, the only way for TEACH to file its application is manually.</w:t>
      </w:r>
      <w:r w:rsidR="00017FF7" w:rsidRPr="001E31B1">
        <w:rPr>
          <w:rStyle w:val="FootnoteReference"/>
          <w:sz w:val="22"/>
          <w:szCs w:val="22"/>
        </w:rPr>
        <w:footnoteReference w:id="47"/>
      </w:r>
      <w:r w:rsidR="00017FF7" w:rsidRPr="001E31B1">
        <w:rPr>
          <w:szCs w:val="22"/>
        </w:rPr>
        <w:t xml:space="preserve">  </w:t>
      </w:r>
    </w:p>
    <w:p w14:paraId="61839DBC" w14:textId="73A10395" w:rsidR="00A94B72" w:rsidRPr="001E31B1" w:rsidRDefault="0015132C" w:rsidP="00E53A7B">
      <w:pPr>
        <w:pStyle w:val="ParaNum"/>
        <w:rPr>
          <w:szCs w:val="22"/>
        </w:rPr>
      </w:pPr>
      <w:r w:rsidRPr="001E31B1">
        <w:rPr>
          <w:szCs w:val="22"/>
        </w:rPr>
        <w:t xml:space="preserve">We find that </w:t>
      </w:r>
      <w:r w:rsidR="00B95548" w:rsidRPr="001E31B1">
        <w:rPr>
          <w:szCs w:val="22"/>
        </w:rPr>
        <w:t>TEACH has</w:t>
      </w:r>
      <w:r w:rsidRPr="001E31B1">
        <w:rPr>
          <w:szCs w:val="22"/>
        </w:rPr>
        <w:t xml:space="preserve"> described unique and unusual factual circumstances that warrant a waiver of section</w:t>
      </w:r>
      <w:r w:rsidR="00B95548" w:rsidRPr="001E31B1">
        <w:rPr>
          <w:szCs w:val="22"/>
        </w:rPr>
        <w:t>s</w:t>
      </w:r>
      <w:r w:rsidRPr="001E31B1">
        <w:rPr>
          <w:szCs w:val="22"/>
        </w:rPr>
        <w:t xml:space="preserve"> 90.1307(b) and </w:t>
      </w:r>
      <w:r w:rsidR="00A94B72" w:rsidRPr="001E31B1">
        <w:rPr>
          <w:szCs w:val="22"/>
        </w:rPr>
        <w:t>1.913(b), and that granting its request</w:t>
      </w:r>
      <w:r w:rsidRPr="001E31B1">
        <w:rPr>
          <w:szCs w:val="22"/>
        </w:rPr>
        <w:t xml:space="preserve"> would serve t</w:t>
      </w:r>
      <w:r w:rsidR="00361513" w:rsidRPr="001E31B1">
        <w:rPr>
          <w:szCs w:val="22"/>
        </w:rPr>
        <w:t xml:space="preserve">he public interest.  </w:t>
      </w:r>
      <w:r w:rsidR="0072795F" w:rsidRPr="001E31B1">
        <w:rPr>
          <w:szCs w:val="22"/>
        </w:rPr>
        <w:t xml:space="preserve">As noted above, parties had notice from the </w:t>
      </w:r>
      <w:r w:rsidR="001579AF" w:rsidRPr="001E31B1">
        <w:rPr>
          <w:i/>
          <w:szCs w:val="22"/>
        </w:rPr>
        <w:t>3.5 GHz FNPRM</w:t>
      </w:r>
      <w:r w:rsidR="001579AF" w:rsidRPr="001E31B1" w:rsidDel="001579AF">
        <w:rPr>
          <w:i/>
          <w:szCs w:val="22"/>
        </w:rPr>
        <w:t xml:space="preserve"> </w:t>
      </w:r>
      <w:r w:rsidR="00114508" w:rsidRPr="001E31B1">
        <w:rPr>
          <w:szCs w:val="22"/>
        </w:rPr>
        <w:t>that applications</w:t>
      </w:r>
      <w:r w:rsidR="0072795F" w:rsidRPr="001E31B1">
        <w:rPr>
          <w:szCs w:val="22"/>
        </w:rPr>
        <w:t xml:space="preserve"> no longer </w:t>
      </w:r>
      <w:r w:rsidR="00114508" w:rsidRPr="001E31B1">
        <w:rPr>
          <w:szCs w:val="22"/>
        </w:rPr>
        <w:t xml:space="preserve">would </w:t>
      </w:r>
      <w:r w:rsidR="0072795F" w:rsidRPr="001E31B1">
        <w:rPr>
          <w:szCs w:val="22"/>
        </w:rPr>
        <w:t xml:space="preserve">be granted after the adoption date of the </w:t>
      </w:r>
      <w:r w:rsidR="0072795F" w:rsidRPr="001E31B1">
        <w:rPr>
          <w:i/>
          <w:szCs w:val="22"/>
        </w:rPr>
        <w:t xml:space="preserve">3.5 GHz Order.  </w:t>
      </w:r>
      <w:r w:rsidR="00B71956" w:rsidRPr="001E31B1">
        <w:rPr>
          <w:szCs w:val="22"/>
        </w:rPr>
        <w:t xml:space="preserve">The Commission’s decision was clear and serves a significant policy purpose; specifically to create a 150 megahertz band of spectrum for a new innovative shared spectrum access scheme.  </w:t>
      </w:r>
      <w:r w:rsidR="0072795F" w:rsidRPr="001E31B1">
        <w:rPr>
          <w:szCs w:val="22"/>
        </w:rPr>
        <w:t xml:space="preserve">However, we believe that </w:t>
      </w:r>
      <w:r w:rsidR="00A94B72" w:rsidRPr="001E31B1">
        <w:rPr>
          <w:szCs w:val="22"/>
        </w:rPr>
        <w:t xml:space="preserve">based on the totality of the above circumstances, strictly applying the rules here </w:t>
      </w:r>
      <w:r w:rsidR="00826019" w:rsidRPr="001E31B1">
        <w:rPr>
          <w:szCs w:val="22"/>
        </w:rPr>
        <w:t>would be unduly burdensome</w:t>
      </w:r>
      <w:r w:rsidR="00487375" w:rsidRPr="001E31B1">
        <w:rPr>
          <w:szCs w:val="22"/>
        </w:rPr>
        <w:t xml:space="preserve"> and could have negative effects on broadband competition in the affected areas</w:t>
      </w:r>
      <w:r w:rsidR="00826019" w:rsidRPr="001E31B1">
        <w:rPr>
          <w:szCs w:val="22"/>
        </w:rPr>
        <w:t xml:space="preserve">.  </w:t>
      </w:r>
      <w:r w:rsidR="00E53A7B" w:rsidRPr="001E31B1">
        <w:rPr>
          <w:szCs w:val="22"/>
        </w:rPr>
        <w:t xml:space="preserve">We also believe that granting the waiver request would further the Commission’s </w:t>
      </w:r>
      <w:r w:rsidR="00A94B72" w:rsidRPr="001E31B1">
        <w:rPr>
          <w:szCs w:val="22"/>
        </w:rPr>
        <w:t>long-standing goal</w:t>
      </w:r>
      <w:r w:rsidR="007F5C1A" w:rsidRPr="001E31B1">
        <w:rPr>
          <w:szCs w:val="22"/>
        </w:rPr>
        <w:t xml:space="preserve"> of ensuring rural areas have access to broadband </w:t>
      </w:r>
      <w:r w:rsidR="00F735C1" w:rsidRPr="001E31B1">
        <w:rPr>
          <w:szCs w:val="22"/>
        </w:rPr>
        <w:t>communications</w:t>
      </w:r>
      <w:r w:rsidR="007F5C1A" w:rsidRPr="001E31B1">
        <w:rPr>
          <w:szCs w:val="22"/>
        </w:rPr>
        <w:t xml:space="preserve"> services.</w:t>
      </w:r>
      <w:r w:rsidR="007F5C1A" w:rsidRPr="001E31B1">
        <w:rPr>
          <w:rStyle w:val="FootnoteReference"/>
          <w:sz w:val="22"/>
          <w:szCs w:val="22"/>
        </w:rPr>
        <w:footnoteReference w:id="48"/>
      </w:r>
      <w:r w:rsidR="00E53A7B" w:rsidRPr="001E31B1">
        <w:rPr>
          <w:szCs w:val="22"/>
        </w:rPr>
        <w:t xml:space="preserve">  </w:t>
      </w:r>
      <w:r w:rsidR="00FE522C" w:rsidRPr="001E31B1">
        <w:rPr>
          <w:szCs w:val="22"/>
        </w:rPr>
        <w:t>O</w:t>
      </w:r>
      <w:r w:rsidR="00E53A7B" w:rsidRPr="001E31B1">
        <w:rPr>
          <w:szCs w:val="22"/>
        </w:rPr>
        <w:t>ne of the Commission’s stated goals in creating the Citizens Broadband Radio Service was to “add much-needed capacity to meet the ever increasing demands of wireless innovation.”</w:t>
      </w:r>
      <w:r w:rsidR="00E53A7B" w:rsidRPr="001E31B1">
        <w:rPr>
          <w:rStyle w:val="FootnoteReference"/>
          <w:sz w:val="22"/>
          <w:szCs w:val="22"/>
        </w:rPr>
        <w:footnoteReference w:id="49"/>
      </w:r>
      <w:r w:rsidR="00E53A7B" w:rsidRPr="001E31B1">
        <w:rPr>
          <w:szCs w:val="22"/>
        </w:rPr>
        <w:t xml:space="preserve">  Denying prospective customers</w:t>
      </w:r>
      <w:r w:rsidR="006E4343" w:rsidRPr="001E31B1">
        <w:rPr>
          <w:szCs w:val="22"/>
        </w:rPr>
        <w:t xml:space="preserve"> in rural or underserved areas</w:t>
      </w:r>
      <w:r w:rsidR="00E53A7B" w:rsidRPr="001E31B1">
        <w:rPr>
          <w:szCs w:val="22"/>
        </w:rPr>
        <w:t xml:space="preserve"> the opportunity to purchase wireless broadband service from TEACH </w:t>
      </w:r>
      <w:r w:rsidR="00E979F1" w:rsidRPr="001E31B1">
        <w:rPr>
          <w:szCs w:val="22"/>
        </w:rPr>
        <w:t xml:space="preserve">would </w:t>
      </w:r>
      <w:r w:rsidR="006E4343" w:rsidRPr="001E31B1">
        <w:rPr>
          <w:szCs w:val="22"/>
        </w:rPr>
        <w:t xml:space="preserve">be </w:t>
      </w:r>
      <w:r w:rsidR="00E53A7B" w:rsidRPr="001E31B1">
        <w:rPr>
          <w:szCs w:val="22"/>
        </w:rPr>
        <w:t xml:space="preserve">inconsistent with the Commission’s public interest goals for this band, and for promoting broadband deployment in such areas.  </w:t>
      </w:r>
    </w:p>
    <w:p w14:paraId="078A1FB7" w14:textId="3A9BACD2" w:rsidR="00913E92" w:rsidRPr="001E31B1" w:rsidRDefault="00487375" w:rsidP="00BB49AE">
      <w:pPr>
        <w:pStyle w:val="ParaNum"/>
        <w:rPr>
          <w:szCs w:val="22"/>
        </w:rPr>
      </w:pPr>
      <w:r w:rsidRPr="001E31B1">
        <w:rPr>
          <w:szCs w:val="22"/>
        </w:rPr>
        <w:t>In addition</w:t>
      </w:r>
      <w:r w:rsidR="00826019" w:rsidRPr="001E31B1">
        <w:rPr>
          <w:szCs w:val="22"/>
        </w:rPr>
        <w:t xml:space="preserve">, </w:t>
      </w:r>
      <w:r w:rsidR="0072795F" w:rsidRPr="001E31B1">
        <w:rPr>
          <w:szCs w:val="22"/>
        </w:rPr>
        <w:t xml:space="preserve">on balance, </w:t>
      </w:r>
      <w:r w:rsidR="00E53A7B" w:rsidRPr="001E31B1">
        <w:rPr>
          <w:szCs w:val="22"/>
        </w:rPr>
        <w:t>granting this</w:t>
      </w:r>
      <w:r w:rsidRPr="001E31B1">
        <w:rPr>
          <w:szCs w:val="22"/>
        </w:rPr>
        <w:t xml:space="preserve"> waiver request </w:t>
      </w:r>
      <w:r w:rsidR="0072795F" w:rsidRPr="001E31B1">
        <w:rPr>
          <w:szCs w:val="22"/>
        </w:rPr>
        <w:t xml:space="preserve">would not have a meaningful negative impact on the future development of the Citizens Broadband Radio Service.  </w:t>
      </w:r>
      <w:r w:rsidR="006E4343" w:rsidRPr="001E31B1">
        <w:rPr>
          <w:szCs w:val="22"/>
        </w:rPr>
        <w:t>S</w:t>
      </w:r>
      <w:r w:rsidR="0072795F" w:rsidRPr="001E31B1">
        <w:rPr>
          <w:szCs w:val="22"/>
        </w:rPr>
        <w:t>ection 90.1338 accords “grandfathered” status only to fixed or base station registrations filed in ULS on or before April 17, 2015</w:t>
      </w:r>
      <w:r w:rsidR="006E4343" w:rsidRPr="001E31B1">
        <w:rPr>
          <w:szCs w:val="22"/>
        </w:rPr>
        <w:t>.</w:t>
      </w:r>
      <w:r w:rsidR="0072795F" w:rsidRPr="001E31B1">
        <w:rPr>
          <w:rStyle w:val="FootnoteReference"/>
          <w:sz w:val="22"/>
          <w:szCs w:val="22"/>
        </w:rPr>
        <w:footnoteReference w:id="50"/>
      </w:r>
      <w:r w:rsidR="0072795F" w:rsidRPr="001E31B1">
        <w:rPr>
          <w:szCs w:val="22"/>
        </w:rPr>
        <w:t xml:space="preserve"> </w:t>
      </w:r>
      <w:r w:rsidR="006E4343" w:rsidRPr="001E31B1">
        <w:rPr>
          <w:szCs w:val="22"/>
        </w:rPr>
        <w:t xml:space="preserve">  Since </w:t>
      </w:r>
      <w:r w:rsidR="00A94B72" w:rsidRPr="001E31B1">
        <w:rPr>
          <w:szCs w:val="22"/>
        </w:rPr>
        <w:t xml:space="preserve">TEACH </w:t>
      </w:r>
      <w:r w:rsidR="006E4343" w:rsidRPr="001E31B1">
        <w:rPr>
          <w:szCs w:val="22"/>
        </w:rPr>
        <w:t>is no</w:t>
      </w:r>
      <w:r w:rsidR="006E1612" w:rsidRPr="001E31B1">
        <w:rPr>
          <w:szCs w:val="22"/>
        </w:rPr>
        <w:t xml:space="preserve">t eligible to register any grandfathered </w:t>
      </w:r>
      <w:r w:rsidR="006E4343" w:rsidRPr="001E31B1">
        <w:rPr>
          <w:szCs w:val="22"/>
        </w:rPr>
        <w:t>sites</w:t>
      </w:r>
      <w:r w:rsidR="0072795F" w:rsidRPr="001E31B1">
        <w:rPr>
          <w:szCs w:val="22"/>
        </w:rPr>
        <w:t xml:space="preserve">, </w:t>
      </w:r>
      <w:r w:rsidR="006E4343" w:rsidRPr="001E31B1">
        <w:rPr>
          <w:szCs w:val="22"/>
        </w:rPr>
        <w:t>its network deployments will</w:t>
      </w:r>
      <w:r w:rsidR="006E1612" w:rsidRPr="001E31B1">
        <w:rPr>
          <w:szCs w:val="22"/>
        </w:rPr>
        <w:t xml:space="preserve"> not</w:t>
      </w:r>
      <w:r w:rsidR="006E4343" w:rsidRPr="001E31B1">
        <w:rPr>
          <w:szCs w:val="22"/>
        </w:rPr>
        <w:t xml:space="preserve"> be protected from harmful interference under section 96.</w:t>
      </w:r>
      <w:r w:rsidR="006E1612" w:rsidRPr="001E31B1">
        <w:rPr>
          <w:szCs w:val="22"/>
        </w:rPr>
        <w:t>21</w:t>
      </w:r>
      <w:r w:rsidR="003777F5" w:rsidRPr="001E31B1">
        <w:rPr>
          <w:szCs w:val="22"/>
        </w:rPr>
        <w:t>,</w:t>
      </w:r>
      <w:r w:rsidR="006E1612" w:rsidRPr="001E31B1">
        <w:rPr>
          <w:rStyle w:val="FootnoteReference"/>
          <w:sz w:val="22"/>
          <w:szCs w:val="22"/>
        </w:rPr>
        <w:footnoteReference w:id="51"/>
      </w:r>
      <w:r w:rsidR="006E1612" w:rsidRPr="001E31B1">
        <w:rPr>
          <w:szCs w:val="22"/>
        </w:rPr>
        <w:t xml:space="preserve"> </w:t>
      </w:r>
      <w:r w:rsidR="003777F5" w:rsidRPr="001E31B1">
        <w:rPr>
          <w:szCs w:val="22"/>
        </w:rPr>
        <w:t>and</w:t>
      </w:r>
      <w:r w:rsidR="006E1612" w:rsidRPr="001E31B1">
        <w:rPr>
          <w:szCs w:val="22"/>
        </w:rPr>
        <w:t xml:space="preserve"> </w:t>
      </w:r>
      <w:r w:rsidR="00B71956" w:rsidRPr="001E31B1">
        <w:rPr>
          <w:szCs w:val="22"/>
        </w:rPr>
        <w:t>it must ultimately transition to the new Citizens Broadband Radio Service.</w:t>
      </w:r>
      <w:r w:rsidR="00B71956" w:rsidRPr="001E31B1">
        <w:rPr>
          <w:rStyle w:val="FootnoteReference"/>
          <w:sz w:val="22"/>
          <w:szCs w:val="22"/>
        </w:rPr>
        <w:footnoteReference w:id="52"/>
      </w:r>
      <w:r w:rsidR="00B71956" w:rsidRPr="001E31B1">
        <w:rPr>
          <w:szCs w:val="22"/>
        </w:rPr>
        <w:t xml:space="preserve">  </w:t>
      </w:r>
      <w:r w:rsidR="006E1612" w:rsidRPr="001E31B1">
        <w:rPr>
          <w:szCs w:val="22"/>
        </w:rPr>
        <w:t xml:space="preserve">As such, </w:t>
      </w:r>
      <w:r w:rsidR="0072795F" w:rsidRPr="001E31B1">
        <w:rPr>
          <w:szCs w:val="22"/>
        </w:rPr>
        <w:t xml:space="preserve">granting </w:t>
      </w:r>
      <w:r w:rsidR="006E1612" w:rsidRPr="001E31B1">
        <w:rPr>
          <w:szCs w:val="22"/>
        </w:rPr>
        <w:t xml:space="preserve">TEACH a </w:t>
      </w:r>
      <w:r w:rsidR="00A94B72" w:rsidRPr="001E31B1">
        <w:rPr>
          <w:szCs w:val="22"/>
        </w:rPr>
        <w:t>license</w:t>
      </w:r>
      <w:r w:rsidR="0072795F" w:rsidRPr="001E31B1">
        <w:rPr>
          <w:szCs w:val="22"/>
        </w:rPr>
        <w:t xml:space="preserve"> will not </w:t>
      </w:r>
      <w:r w:rsidR="006E1612" w:rsidRPr="001E31B1">
        <w:rPr>
          <w:szCs w:val="22"/>
        </w:rPr>
        <w:t xml:space="preserve">restrict future </w:t>
      </w:r>
      <w:r w:rsidR="0072795F" w:rsidRPr="001E31B1">
        <w:rPr>
          <w:szCs w:val="22"/>
        </w:rPr>
        <w:t>Citizens Broadband Radio Service</w:t>
      </w:r>
      <w:r w:rsidR="006E1612" w:rsidRPr="001E31B1">
        <w:rPr>
          <w:szCs w:val="22"/>
        </w:rPr>
        <w:t xml:space="preserve"> deployments or negatively affect spectrum availability in the band</w:t>
      </w:r>
      <w:r w:rsidR="0072795F" w:rsidRPr="001E31B1">
        <w:rPr>
          <w:i/>
          <w:szCs w:val="22"/>
        </w:rPr>
        <w:t>.</w:t>
      </w:r>
      <w:r w:rsidR="00A94B72" w:rsidRPr="001E31B1">
        <w:rPr>
          <w:rStyle w:val="FootnoteReference"/>
          <w:sz w:val="22"/>
          <w:szCs w:val="22"/>
        </w:rPr>
        <w:footnoteReference w:id="53"/>
      </w:r>
      <w:r w:rsidR="0072795F" w:rsidRPr="001E31B1">
        <w:rPr>
          <w:szCs w:val="22"/>
        </w:rPr>
        <w:t xml:space="preserve"> </w:t>
      </w:r>
      <w:r w:rsidR="0072795F" w:rsidRPr="001E31B1">
        <w:rPr>
          <w:i/>
          <w:szCs w:val="22"/>
        </w:rPr>
        <w:t xml:space="preserve"> </w:t>
      </w:r>
      <w:r w:rsidR="00E53A7B" w:rsidRPr="001E31B1">
        <w:rPr>
          <w:szCs w:val="22"/>
        </w:rPr>
        <w:t xml:space="preserve">We note that </w:t>
      </w:r>
      <w:r w:rsidR="00A47619" w:rsidRPr="001E31B1">
        <w:rPr>
          <w:szCs w:val="22"/>
        </w:rPr>
        <w:t xml:space="preserve">upon the issuance of this waiver, TEACH is subject to the same rules and </w:t>
      </w:r>
      <w:r w:rsidR="00E606B5" w:rsidRPr="001E31B1">
        <w:rPr>
          <w:szCs w:val="22"/>
        </w:rPr>
        <w:t>conditions</w:t>
      </w:r>
      <w:r w:rsidR="00A47619" w:rsidRPr="001E31B1">
        <w:rPr>
          <w:szCs w:val="22"/>
        </w:rPr>
        <w:t xml:space="preserve"> </w:t>
      </w:r>
      <w:r w:rsidR="00E606B5" w:rsidRPr="001E31B1">
        <w:rPr>
          <w:szCs w:val="22"/>
        </w:rPr>
        <w:t xml:space="preserve">as any other </w:t>
      </w:r>
      <w:r w:rsidR="00BB49AE" w:rsidRPr="001E31B1">
        <w:rPr>
          <w:szCs w:val="22"/>
        </w:rPr>
        <w:t xml:space="preserve">similarly situated </w:t>
      </w:r>
      <w:r w:rsidR="00E606B5" w:rsidRPr="001E31B1">
        <w:rPr>
          <w:szCs w:val="22"/>
        </w:rPr>
        <w:t>3650-3700 MHz licensee.</w:t>
      </w:r>
      <w:r w:rsidR="006D0E87" w:rsidRPr="001E31B1">
        <w:rPr>
          <w:rStyle w:val="FootnoteReference"/>
          <w:sz w:val="22"/>
          <w:szCs w:val="22"/>
        </w:rPr>
        <w:footnoteReference w:id="54"/>
      </w:r>
    </w:p>
    <w:p w14:paraId="13FA7DC3" w14:textId="5006CDF9" w:rsidR="00C04B9B" w:rsidRPr="001E31B1" w:rsidRDefault="006E1612" w:rsidP="00C57CC8">
      <w:pPr>
        <w:pStyle w:val="ParaNum"/>
        <w:rPr>
          <w:szCs w:val="22"/>
        </w:rPr>
      </w:pPr>
      <w:r w:rsidRPr="001E31B1">
        <w:rPr>
          <w:szCs w:val="22"/>
        </w:rPr>
        <w:t xml:space="preserve">For the reasons set forth above, we </w:t>
      </w:r>
      <w:r w:rsidR="00633BC7" w:rsidRPr="001E31B1">
        <w:rPr>
          <w:szCs w:val="22"/>
        </w:rPr>
        <w:t>grant TEACH’s</w:t>
      </w:r>
      <w:r w:rsidR="006320AC" w:rsidRPr="001E31B1">
        <w:rPr>
          <w:szCs w:val="22"/>
        </w:rPr>
        <w:t xml:space="preserve"> waiver petition </w:t>
      </w:r>
      <w:r w:rsidR="00C04B9B" w:rsidRPr="001E31B1">
        <w:rPr>
          <w:szCs w:val="22"/>
        </w:rPr>
        <w:t>and grant the requested</w:t>
      </w:r>
      <w:r w:rsidR="006320AC" w:rsidRPr="001E31B1">
        <w:rPr>
          <w:szCs w:val="22"/>
        </w:rPr>
        <w:t xml:space="preserve"> license</w:t>
      </w:r>
      <w:r w:rsidR="00C04B9B" w:rsidRPr="001E31B1">
        <w:rPr>
          <w:szCs w:val="22"/>
        </w:rPr>
        <w:t>.</w:t>
      </w:r>
      <w:r w:rsidR="00C57CC8" w:rsidRPr="001E31B1">
        <w:rPr>
          <w:szCs w:val="22"/>
        </w:rPr>
        <w:t xml:space="preserve">  </w:t>
      </w:r>
      <w:r w:rsidRPr="001E31B1">
        <w:rPr>
          <w:szCs w:val="22"/>
        </w:rPr>
        <w:t>We emphasize that, consistent with Commission precedent, we grant this waiver request based on all of the circumstances described – no one factor is dispositive of a grant or denial.</w:t>
      </w:r>
      <w:r w:rsidRPr="001E31B1">
        <w:rPr>
          <w:rStyle w:val="FootnoteReference"/>
          <w:sz w:val="22"/>
          <w:szCs w:val="22"/>
        </w:rPr>
        <w:footnoteReference w:id="55"/>
      </w:r>
    </w:p>
    <w:p w14:paraId="0BB75E9C" w14:textId="77777777" w:rsidR="002405BF" w:rsidRPr="001E31B1" w:rsidRDefault="002405BF" w:rsidP="002405BF">
      <w:pPr>
        <w:pStyle w:val="Heading1"/>
        <w:rPr>
          <w:rFonts w:ascii="Times New Roman" w:hAnsi="Times New Roman"/>
          <w:szCs w:val="22"/>
        </w:rPr>
      </w:pPr>
      <w:r w:rsidRPr="001E31B1">
        <w:rPr>
          <w:rFonts w:ascii="Times New Roman" w:hAnsi="Times New Roman"/>
          <w:szCs w:val="22"/>
        </w:rPr>
        <w:t>ordering clauses</w:t>
      </w:r>
    </w:p>
    <w:p w14:paraId="094DA0EB" w14:textId="2F40FB0D" w:rsidR="00185FF1" w:rsidRPr="001E31B1" w:rsidRDefault="00185FF1" w:rsidP="006320AC">
      <w:pPr>
        <w:pStyle w:val="ParaNum"/>
        <w:rPr>
          <w:szCs w:val="22"/>
        </w:rPr>
      </w:pPr>
      <w:r w:rsidRPr="001E31B1">
        <w:rPr>
          <w:szCs w:val="22"/>
        </w:rPr>
        <w:t>Accordingly, IT IS ORDERED that, pursuant to Section 1.925 of the Commission’s rules, 47 C.F.</w:t>
      </w:r>
      <w:r w:rsidR="006320AC" w:rsidRPr="001E31B1">
        <w:rPr>
          <w:szCs w:val="22"/>
        </w:rPr>
        <w:t>R. § 1.925, the waiver petition</w:t>
      </w:r>
      <w:r w:rsidRPr="001E31B1">
        <w:rPr>
          <w:szCs w:val="22"/>
        </w:rPr>
        <w:t xml:space="preserve"> filed by </w:t>
      </w:r>
      <w:r w:rsidR="006320AC" w:rsidRPr="001E31B1">
        <w:rPr>
          <w:szCs w:val="22"/>
        </w:rPr>
        <w:t>TEACH is</w:t>
      </w:r>
      <w:r w:rsidRPr="001E31B1">
        <w:rPr>
          <w:szCs w:val="22"/>
        </w:rPr>
        <w:t xml:space="preserve"> granted and, accordingly, </w:t>
      </w:r>
      <w:r w:rsidR="006320AC" w:rsidRPr="001E31B1">
        <w:rPr>
          <w:szCs w:val="22"/>
        </w:rPr>
        <w:t>its</w:t>
      </w:r>
      <w:r w:rsidRPr="001E31B1">
        <w:rPr>
          <w:szCs w:val="22"/>
        </w:rPr>
        <w:t xml:space="preserve"> license application</w:t>
      </w:r>
      <w:r w:rsidR="00CB4BC0" w:rsidRPr="001E31B1">
        <w:rPr>
          <w:szCs w:val="22"/>
        </w:rPr>
        <w:t>,</w:t>
      </w:r>
      <w:r w:rsidR="006320AC" w:rsidRPr="001E31B1">
        <w:rPr>
          <w:szCs w:val="22"/>
        </w:rPr>
        <w:t xml:space="preserve"> </w:t>
      </w:r>
      <w:r w:rsidR="00CB4BC0" w:rsidRPr="001E31B1">
        <w:rPr>
          <w:szCs w:val="22"/>
        </w:rPr>
        <w:t xml:space="preserve">File No. </w:t>
      </w:r>
      <w:r w:rsidR="00CB4BC0" w:rsidRPr="001E31B1">
        <w:rPr>
          <w:spacing w:val="-2"/>
          <w:szCs w:val="22"/>
        </w:rPr>
        <w:t xml:space="preserve">0007044353, </w:t>
      </w:r>
      <w:r w:rsidR="006320AC" w:rsidRPr="001E31B1">
        <w:rPr>
          <w:szCs w:val="22"/>
        </w:rPr>
        <w:t xml:space="preserve">is </w:t>
      </w:r>
      <w:r w:rsidRPr="001E31B1">
        <w:rPr>
          <w:szCs w:val="22"/>
        </w:rPr>
        <w:t>granted.</w:t>
      </w:r>
    </w:p>
    <w:p w14:paraId="02230754" w14:textId="77777777" w:rsidR="00717E60" w:rsidRPr="001E31B1" w:rsidRDefault="00717E60" w:rsidP="005B3427">
      <w:pPr>
        <w:pStyle w:val="ParaNum"/>
        <w:numPr>
          <w:ilvl w:val="0"/>
          <w:numId w:val="0"/>
        </w:numPr>
        <w:rPr>
          <w:szCs w:val="22"/>
        </w:rPr>
      </w:pPr>
    </w:p>
    <w:p w14:paraId="14DCDE96" w14:textId="77777777" w:rsidR="00717E60" w:rsidRPr="001E31B1" w:rsidRDefault="00717E60" w:rsidP="005B3427">
      <w:pPr>
        <w:pStyle w:val="ParaNum"/>
        <w:numPr>
          <w:ilvl w:val="0"/>
          <w:numId w:val="0"/>
        </w:numPr>
        <w:ind w:left="4320"/>
        <w:rPr>
          <w:szCs w:val="22"/>
        </w:rPr>
      </w:pPr>
      <w:r w:rsidRPr="001E31B1">
        <w:rPr>
          <w:szCs w:val="22"/>
        </w:rPr>
        <w:t>FEDERAL COMMUNICATIONS COMMISSION</w:t>
      </w:r>
    </w:p>
    <w:p w14:paraId="7853D564" w14:textId="77777777" w:rsidR="00717E60" w:rsidRPr="001E31B1" w:rsidRDefault="00717E60" w:rsidP="005B3427">
      <w:pPr>
        <w:pStyle w:val="ParaNum"/>
        <w:numPr>
          <w:ilvl w:val="0"/>
          <w:numId w:val="0"/>
        </w:numPr>
        <w:ind w:left="4320"/>
        <w:rPr>
          <w:szCs w:val="22"/>
        </w:rPr>
      </w:pPr>
    </w:p>
    <w:p w14:paraId="432E5750" w14:textId="77777777" w:rsidR="00717E60" w:rsidRPr="001E31B1" w:rsidRDefault="00717E60" w:rsidP="005B3427">
      <w:pPr>
        <w:pStyle w:val="ParaNum"/>
        <w:numPr>
          <w:ilvl w:val="0"/>
          <w:numId w:val="0"/>
        </w:numPr>
        <w:rPr>
          <w:szCs w:val="22"/>
        </w:rPr>
      </w:pPr>
    </w:p>
    <w:p w14:paraId="63D866CF" w14:textId="77777777" w:rsidR="00717E60" w:rsidRPr="001E31B1" w:rsidRDefault="00717E60" w:rsidP="005B3427">
      <w:pPr>
        <w:pStyle w:val="ParaNum"/>
        <w:numPr>
          <w:ilvl w:val="0"/>
          <w:numId w:val="0"/>
        </w:numPr>
        <w:ind w:firstLine="720"/>
        <w:rPr>
          <w:szCs w:val="22"/>
        </w:rPr>
      </w:pPr>
      <w:r w:rsidRPr="001E31B1">
        <w:rPr>
          <w:szCs w:val="22"/>
        </w:rPr>
        <w:t xml:space="preserve"> </w:t>
      </w:r>
    </w:p>
    <w:p w14:paraId="7FED0FBA" w14:textId="67151C53" w:rsidR="00717E60" w:rsidRPr="00476648" w:rsidRDefault="00476648" w:rsidP="005B3427">
      <w:pPr>
        <w:pStyle w:val="ParaNum"/>
        <w:numPr>
          <w:ilvl w:val="0"/>
          <w:numId w:val="0"/>
        </w:numPr>
        <w:ind w:left="3600" w:firstLine="720"/>
        <w:rPr>
          <w:szCs w:val="22"/>
        </w:rPr>
      </w:pPr>
      <w:r w:rsidRPr="00476648">
        <w:rPr>
          <w:szCs w:val="22"/>
        </w:rPr>
        <w:t>Roger C. Sherman</w:t>
      </w:r>
    </w:p>
    <w:p w14:paraId="44814E6D" w14:textId="219C133A" w:rsidR="00717E60" w:rsidRPr="001E31B1" w:rsidRDefault="00717E60" w:rsidP="005B3427">
      <w:pPr>
        <w:pStyle w:val="ParaNum"/>
        <w:numPr>
          <w:ilvl w:val="0"/>
          <w:numId w:val="0"/>
        </w:numPr>
        <w:ind w:left="3600" w:firstLine="720"/>
        <w:rPr>
          <w:szCs w:val="22"/>
        </w:rPr>
      </w:pPr>
      <w:r w:rsidRPr="00476648">
        <w:rPr>
          <w:szCs w:val="22"/>
        </w:rPr>
        <w:t>Chief, Wireless</w:t>
      </w:r>
      <w:r w:rsidRPr="001E31B1">
        <w:rPr>
          <w:szCs w:val="22"/>
        </w:rPr>
        <w:t xml:space="preserve"> Telecommunications Bureau</w:t>
      </w:r>
    </w:p>
    <w:sectPr w:rsidR="00717E60" w:rsidRPr="001E31B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EB0BD" w14:textId="77777777" w:rsidR="00C4474D" w:rsidRDefault="00C4474D">
      <w:pPr>
        <w:spacing w:line="20" w:lineRule="exact"/>
      </w:pPr>
    </w:p>
  </w:endnote>
  <w:endnote w:type="continuationSeparator" w:id="0">
    <w:p w14:paraId="56C02F46" w14:textId="77777777" w:rsidR="00C4474D" w:rsidRDefault="00C4474D">
      <w:r>
        <w:t xml:space="preserve"> </w:t>
      </w:r>
    </w:p>
  </w:endnote>
  <w:endnote w:type="continuationNotice" w:id="1">
    <w:p w14:paraId="7D55453B" w14:textId="77777777" w:rsidR="00C4474D" w:rsidRDefault="00C447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75A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AF39DC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A60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B0EC4">
      <w:rPr>
        <w:noProof/>
      </w:rPr>
      <w:t>2</w:t>
    </w:r>
    <w:r>
      <w:fldChar w:fldCharType="end"/>
    </w:r>
  </w:p>
  <w:p w14:paraId="42ED963D" w14:textId="77777777" w:rsidR="00D25FB5" w:rsidRDefault="00D25FB5">
    <w:pPr>
      <w:suppressAutoHyphens/>
      <w:spacing w:line="227" w:lineRule="auto"/>
    </w:pPr>
  </w:p>
  <w:p w14:paraId="3F0EFAE4" w14:textId="3E6212CF" w:rsidR="00176B8C" w:rsidRDefault="00176B8C" w:rsidP="00176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7442" w14:textId="77777777" w:rsidR="00190304" w:rsidRDefault="0019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1D63" w14:textId="77777777" w:rsidR="00C4474D" w:rsidRDefault="00C4474D">
      <w:r>
        <w:separator/>
      </w:r>
    </w:p>
  </w:footnote>
  <w:footnote w:type="continuationSeparator" w:id="0">
    <w:p w14:paraId="1BADEB7C" w14:textId="77777777" w:rsidR="00C4474D" w:rsidRDefault="00C4474D" w:rsidP="00C721AC">
      <w:pPr>
        <w:spacing w:before="120"/>
        <w:rPr>
          <w:sz w:val="20"/>
        </w:rPr>
      </w:pPr>
      <w:r>
        <w:rPr>
          <w:sz w:val="20"/>
        </w:rPr>
        <w:t xml:space="preserve">(Continued from previous page)  </w:t>
      </w:r>
      <w:r>
        <w:rPr>
          <w:sz w:val="20"/>
        </w:rPr>
        <w:separator/>
      </w:r>
    </w:p>
  </w:footnote>
  <w:footnote w:type="continuationNotice" w:id="1">
    <w:p w14:paraId="13DE12F7" w14:textId="77777777" w:rsidR="00C4474D" w:rsidRDefault="00C4474D" w:rsidP="00C721AC">
      <w:pPr>
        <w:jc w:val="right"/>
        <w:rPr>
          <w:sz w:val="20"/>
        </w:rPr>
      </w:pPr>
      <w:r>
        <w:rPr>
          <w:sz w:val="20"/>
        </w:rPr>
        <w:t>(continued….)</w:t>
      </w:r>
    </w:p>
  </w:footnote>
  <w:footnote w:id="2">
    <w:p w14:paraId="2702E1E5" w14:textId="77777777" w:rsidR="00553BED" w:rsidRPr="001E31B1" w:rsidRDefault="00553BED" w:rsidP="001E31B1">
      <w:pPr>
        <w:pStyle w:val="FootnoteText"/>
      </w:pPr>
      <w:r w:rsidRPr="001E31B1">
        <w:rPr>
          <w:rStyle w:val="FootnoteReference"/>
        </w:rPr>
        <w:footnoteRef/>
      </w:r>
      <w:r w:rsidRPr="001E31B1">
        <w:t xml:space="preserve"> </w:t>
      </w:r>
      <w:r w:rsidR="00F460E9" w:rsidRPr="001E31B1">
        <w:t>47 C.F.R. § 1.913(b).</w:t>
      </w:r>
    </w:p>
  </w:footnote>
  <w:footnote w:id="3">
    <w:p w14:paraId="34A0DC7E" w14:textId="77777777" w:rsidR="00553BED" w:rsidRPr="001E31B1" w:rsidRDefault="00553BED" w:rsidP="001E31B1">
      <w:pPr>
        <w:pStyle w:val="FootnoteText"/>
      </w:pPr>
      <w:r w:rsidRPr="001E31B1">
        <w:rPr>
          <w:rStyle w:val="FootnoteReference"/>
        </w:rPr>
        <w:footnoteRef/>
      </w:r>
      <w:r w:rsidRPr="001E31B1">
        <w:t xml:space="preserve"> </w:t>
      </w:r>
      <w:r w:rsidR="00F460E9" w:rsidRPr="001E31B1">
        <w:t>47 C.F.R. § 90.1307(b).</w:t>
      </w:r>
    </w:p>
  </w:footnote>
  <w:footnote w:id="4">
    <w:p w14:paraId="1A37A07F" w14:textId="77777777" w:rsidR="001D4599" w:rsidRPr="001E31B1" w:rsidRDefault="001D4599" w:rsidP="001E31B1">
      <w:pPr>
        <w:pStyle w:val="FootnoteText"/>
      </w:pPr>
      <w:r w:rsidRPr="001E31B1">
        <w:rPr>
          <w:rStyle w:val="FootnoteReference"/>
        </w:rPr>
        <w:footnoteRef/>
      </w:r>
      <w:r w:rsidRPr="001E31B1">
        <w:t xml:space="preserve"> TEACH is an acronym for Technology and Education for Adults and Children.</w:t>
      </w:r>
    </w:p>
  </w:footnote>
  <w:footnote w:id="5">
    <w:p w14:paraId="6314EFFE" w14:textId="380EFE3A" w:rsidR="00553BED" w:rsidRPr="001E31B1" w:rsidRDefault="00553BED" w:rsidP="001E31B1">
      <w:pPr>
        <w:pStyle w:val="FootnoteText"/>
      </w:pPr>
      <w:r w:rsidRPr="001E31B1">
        <w:rPr>
          <w:rStyle w:val="FootnoteReference"/>
        </w:rPr>
        <w:footnoteRef/>
      </w:r>
      <w:r w:rsidRPr="001E31B1">
        <w:t xml:space="preserve"> TEACH, Inc. </w:t>
      </w:r>
      <w:r w:rsidR="00FC785C" w:rsidRPr="001E31B1">
        <w:t xml:space="preserve">Application for New Nationwide 3650-3700 MHz Service License with Waiver Requests, </w:t>
      </w:r>
      <w:r w:rsidR="006906BB" w:rsidRPr="001E31B1">
        <w:t xml:space="preserve">File No. </w:t>
      </w:r>
      <w:r w:rsidR="006906BB" w:rsidRPr="001E31B1">
        <w:rPr>
          <w:spacing w:val="-2"/>
        </w:rPr>
        <w:t xml:space="preserve">0007044353, </w:t>
      </w:r>
      <w:r w:rsidR="00FC785C" w:rsidRPr="001E31B1">
        <w:t xml:space="preserve">filed </w:t>
      </w:r>
      <w:r w:rsidR="00FC785C" w:rsidRPr="001E31B1">
        <w:rPr>
          <w:color w:val="212221"/>
        </w:rPr>
        <w:t>November 18, 2015</w:t>
      </w:r>
      <w:r w:rsidR="00FC785C" w:rsidRPr="001E31B1">
        <w:t xml:space="preserve"> </w:t>
      </w:r>
      <w:r w:rsidRPr="001E31B1">
        <w:t>(</w:t>
      </w:r>
      <w:r w:rsidR="0032111A" w:rsidRPr="001E31B1">
        <w:t>Request or TEACH Request</w:t>
      </w:r>
      <w:r w:rsidRPr="001E31B1">
        <w:t>).</w:t>
      </w:r>
    </w:p>
  </w:footnote>
  <w:footnote w:id="6">
    <w:p w14:paraId="6CA157C2" w14:textId="5C1A4AD0" w:rsidR="009B427A" w:rsidRPr="009B427A" w:rsidRDefault="009B427A">
      <w:pPr>
        <w:pStyle w:val="FootnoteText"/>
      </w:pPr>
      <w:r>
        <w:rPr>
          <w:rStyle w:val="FootnoteReference"/>
        </w:rPr>
        <w:footnoteRef/>
      </w:r>
      <w:r>
        <w:t xml:space="preserve"> </w:t>
      </w:r>
      <w:r>
        <w:rPr>
          <w:i/>
        </w:rPr>
        <w:t xml:space="preserve">See </w:t>
      </w:r>
      <w:r>
        <w:t>47 C.F.R. § 90.1307.</w:t>
      </w:r>
    </w:p>
  </w:footnote>
  <w:footnote w:id="7">
    <w:p w14:paraId="3547C488" w14:textId="77777777" w:rsidR="006B339D" w:rsidRPr="001E31B1" w:rsidRDefault="006B339D" w:rsidP="001E31B1">
      <w:pPr>
        <w:pStyle w:val="FootnoteText"/>
      </w:pPr>
      <w:r w:rsidRPr="001E31B1">
        <w:rPr>
          <w:rStyle w:val="FootnoteReference"/>
        </w:rPr>
        <w:footnoteRef/>
      </w:r>
      <w:r w:rsidRPr="001E31B1">
        <w:t xml:space="preserve"> </w:t>
      </w:r>
      <w:r w:rsidR="002C4F95" w:rsidRPr="001E31B1">
        <w:t xml:space="preserve">Amendment of the Commission’s Rules with Regard to Commercial Operations in the 3550-3650 MHz Band, </w:t>
      </w:r>
      <w:r w:rsidR="002C4F95" w:rsidRPr="001E31B1">
        <w:rPr>
          <w:i/>
        </w:rPr>
        <w:t xml:space="preserve">Notice of Proposed Rulemaking and Order, </w:t>
      </w:r>
      <w:r w:rsidR="002C4F95" w:rsidRPr="001E31B1">
        <w:t>27 FCC Rcd 15594 (2012)</w:t>
      </w:r>
      <w:r w:rsidR="008A7837" w:rsidRPr="001E31B1">
        <w:t xml:space="preserve"> (</w:t>
      </w:r>
      <w:r w:rsidR="008A7837" w:rsidRPr="001E31B1">
        <w:rPr>
          <w:i/>
        </w:rPr>
        <w:t>3.5 GHz NPRM</w:t>
      </w:r>
      <w:r w:rsidR="008A7837" w:rsidRPr="001E31B1">
        <w:t>)</w:t>
      </w:r>
      <w:r w:rsidR="002C4F95" w:rsidRPr="001E31B1">
        <w:t>.</w:t>
      </w:r>
    </w:p>
  </w:footnote>
  <w:footnote w:id="8">
    <w:p w14:paraId="1D4B6668" w14:textId="77777777" w:rsidR="000F1F4A" w:rsidRPr="001E31B1" w:rsidRDefault="000F1F4A" w:rsidP="001E31B1">
      <w:pPr>
        <w:pStyle w:val="FootnoteText"/>
      </w:pPr>
      <w:r w:rsidRPr="001E31B1">
        <w:rPr>
          <w:rStyle w:val="FootnoteReference"/>
        </w:rPr>
        <w:footnoteRef/>
      </w:r>
      <w:r w:rsidRPr="001E31B1">
        <w:t xml:space="preserve"> </w:t>
      </w:r>
      <w:r w:rsidR="008A7837" w:rsidRPr="001E31B1">
        <w:rPr>
          <w:i/>
        </w:rPr>
        <w:t xml:space="preserve">3.5 GHz </w:t>
      </w:r>
      <w:r w:rsidRPr="001E31B1">
        <w:rPr>
          <w:i/>
        </w:rPr>
        <w:t xml:space="preserve">NPRM, </w:t>
      </w:r>
      <w:r w:rsidRPr="001E31B1">
        <w:t>27 FCC Rcd at</w:t>
      </w:r>
      <w:r w:rsidR="008A7837" w:rsidRPr="001E31B1">
        <w:t xml:space="preserve"> 15621-22, </w:t>
      </w:r>
      <w:r w:rsidRPr="001E31B1">
        <w:t>¶¶ 81-82.</w:t>
      </w:r>
    </w:p>
  </w:footnote>
  <w:footnote w:id="9">
    <w:p w14:paraId="70A464D1" w14:textId="2A5D4BBC" w:rsidR="00646330" w:rsidRPr="001E31B1" w:rsidRDefault="00646330" w:rsidP="001E31B1">
      <w:pPr>
        <w:pStyle w:val="FootnoteText"/>
      </w:pPr>
      <w:r w:rsidRPr="001E31B1">
        <w:rPr>
          <w:rStyle w:val="FootnoteReference"/>
        </w:rPr>
        <w:footnoteRef/>
      </w:r>
      <w:r w:rsidRPr="001E31B1">
        <w:t xml:space="preserve"> Commission Seeks Comment on Licensing Models and Technical Requirements in the 3550-3650 MHz Band, </w:t>
      </w:r>
      <w:r w:rsidRPr="001E31B1">
        <w:rPr>
          <w:i/>
        </w:rPr>
        <w:t xml:space="preserve">Public Notice, </w:t>
      </w:r>
      <w:r w:rsidR="000261C2" w:rsidRPr="001E31B1">
        <w:t>28 FCC Rcd 15300</w:t>
      </w:r>
      <w:r w:rsidR="00A158E2" w:rsidRPr="001E31B1">
        <w:t>,</w:t>
      </w:r>
      <w:r w:rsidR="000261C2" w:rsidRPr="001E31B1">
        <w:t xml:space="preserve"> ¶ 51 (2013)</w:t>
      </w:r>
      <w:r w:rsidR="00314ADB" w:rsidRPr="001E31B1">
        <w:t>.</w:t>
      </w:r>
    </w:p>
  </w:footnote>
  <w:footnote w:id="10">
    <w:p w14:paraId="6DBC993D" w14:textId="276C3B93" w:rsidR="000261C2" w:rsidRPr="001E31B1" w:rsidRDefault="000261C2" w:rsidP="001E31B1">
      <w:pPr>
        <w:pStyle w:val="FootnoteText"/>
      </w:pPr>
      <w:r w:rsidRPr="001E31B1">
        <w:rPr>
          <w:rStyle w:val="FootnoteReference"/>
        </w:rPr>
        <w:footnoteRef/>
      </w:r>
      <w:r w:rsidRPr="001E31B1">
        <w:t xml:space="preserve"> Amendment of the Commission’s Rules with Regard to Commercial Operations in the 3550-3650 MHz Band, </w:t>
      </w:r>
      <w:r w:rsidRPr="001E31B1">
        <w:rPr>
          <w:i/>
        </w:rPr>
        <w:t xml:space="preserve">Further Notice of Proposed Rulemaking, </w:t>
      </w:r>
      <w:r w:rsidRPr="001E31B1">
        <w:t>29 FCC Rcd 4273</w:t>
      </w:r>
      <w:r w:rsidR="009E3971">
        <w:t xml:space="preserve"> at 4322-23,</w:t>
      </w:r>
      <w:r w:rsidRPr="001E31B1">
        <w:t xml:space="preserve"> ¶ 164 (2014)</w:t>
      </w:r>
      <w:r w:rsidR="00487061" w:rsidRPr="001E31B1">
        <w:t xml:space="preserve"> </w:t>
      </w:r>
      <w:r w:rsidRPr="001E31B1">
        <w:t>(</w:t>
      </w:r>
      <w:r w:rsidR="00A158E2" w:rsidRPr="001E31B1">
        <w:rPr>
          <w:i/>
        </w:rPr>
        <w:t xml:space="preserve">3.5 GHz </w:t>
      </w:r>
      <w:r w:rsidRPr="001E31B1">
        <w:rPr>
          <w:i/>
        </w:rPr>
        <w:t>FNPRM</w:t>
      </w:r>
      <w:r w:rsidRPr="001E31B1">
        <w:t>).</w:t>
      </w:r>
    </w:p>
  </w:footnote>
  <w:footnote w:id="11">
    <w:p w14:paraId="774FA7FA" w14:textId="5620E3C0" w:rsidR="002D02B7" w:rsidRPr="001E31B1" w:rsidRDefault="002D02B7" w:rsidP="001E31B1">
      <w:pPr>
        <w:pStyle w:val="FootnoteText"/>
      </w:pPr>
      <w:r w:rsidRPr="001E31B1">
        <w:rPr>
          <w:rStyle w:val="FootnoteReference"/>
        </w:rPr>
        <w:footnoteRef/>
      </w:r>
      <w:r w:rsidRPr="001E31B1">
        <w:t xml:space="preserve"> </w:t>
      </w:r>
      <w:r w:rsidRPr="001E31B1">
        <w:rPr>
          <w:i/>
        </w:rPr>
        <w:t>Id.</w:t>
      </w:r>
      <w:r w:rsidR="009E3971">
        <w:t xml:space="preserve"> at 4323,</w:t>
      </w:r>
      <w:r w:rsidR="00170B77" w:rsidRPr="001E31B1">
        <w:rPr>
          <w:i/>
        </w:rPr>
        <w:t xml:space="preserve"> </w:t>
      </w:r>
      <w:r w:rsidRPr="001E31B1">
        <w:t>¶ 165.</w:t>
      </w:r>
    </w:p>
  </w:footnote>
  <w:footnote w:id="12">
    <w:p w14:paraId="45EC1489" w14:textId="7F72C896" w:rsidR="002E119A" w:rsidRPr="001E31B1" w:rsidRDefault="002E119A" w:rsidP="001E31B1">
      <w:pPr>
        <w:pStyle w:val="FootnoteText"/>
      </w:pPr>
      <w:r w:rsidRPr="001E31B1">
        <w:rPr>
          <w:rStyle w:val="FootnoteReference"/>
        </w:rPr>
        <w:footnoteRef/>
      </w:r>
      <w:r w:rsidRPr="001E31B1">
        <w:t xml:space="preserve"> </w:t>
      </w:r>
      <w:r w:rsidR="002D02B7" w:rsidRPr="001E31B1">
        <w:rPr>
          <w:i/>
        </w:rPr>
        <w:t>Id.</w:t>
      </w:r>
      <w:r w:rsidR="009E3971">
        <w:t xml:space="preserve"> at 4323</w:t>
      </w:r>
      <w:r w:rsidR="003F3E28">
        <w:t xml:space="preserve"> and 4351,</w:t>
      </w:r>
      <w:r w:rsidR="00170B77" w:rsidRPr="001E31B1">
        <w:t xml:space="preserve"> </w:t>
      </w:r>
      <w:r w:rsidR="002D02B7" w:rsidRPr="001E31B1">
        <w:t>¶ 166</w:t>
      </w:r>
      <w:r w:rsidR="009E3971">
        <w:t xml:space="preserve"> and</w:t>
      </w:r>
      <w:r w:rsidR="0029183B" w:rsidRPr="001E31B1">
        <w:t xml:space="preserve"> A</w:t>
      </w:r>
      <w:r w:rsidR="00F062AF" w:rsidRPr="001E31B1">
        <w:t>pp</w:t>
      </w:r>
      <w:r w:rsidR="0029183B" w:rsidRPr="001E31B1">
        <w:t>x</w:t>
      </w:r>
      <w:r w:rsidR="00F062AF" w:rsidRPr="001E31B1">
        <w:t>. B</w:t>
      </w:r>
      <w:r w:rsidR="0029183B" w:rsidRPr="001E31B1">
        <w:t xml:space="preserve"> </w:t>
      </w:r>
      <w:r w:rsidR="00A61423" w:rsidRPr="001E31B1">
        <w:t xml:space="preserve">(section </w:t>
      </w:r>
      <w:r w:rsidR="00F062AF" w:rsidRPr="001E31B1">
        <w:t>90.1338)</w:t>
      </w:r>
      <w:r w:rsidR="002D02B7" w:rsidRPr="001E31B1">
        <w:t>.</w:t>
      </w:r>
    </w:p>
  </w:footnote>
  <w:footnote w:id="13">
    <w:p w14:paraId="0CDCA935" w14:textId="2ECD8A70" w:rsidR="00F062AF" w:rsidRPr="001E31B1" w:rsidRDefault="00F062AF" w:rsidP="001E31B1">
      <w:pPr>
        <w:pStyle w:val="FootnoteText"/>
      </w:pPr>
      <w:r w:rsidRPr="001E31B1">
        <w:rPr>
          <w:rStyle w:val="FootnoteReference"/>
        </w:rPr>
        <w:footnoteRef/>
      </w:r>
      <w:r w:rsidRPr="001E31B1">
        <w:t xml:space="preserve"> </w:t>
      </w:r>
      <w:r w:rsidRPr="001E31B1">
        <w:rPr>
          <w:i/>
        </w:rPr>
        <w:t xml:space="preserve">Id. </w:t>
      </w:r>
      <w:r w:rsidR="00170B77" w:rsidRPr="001E31B1">
        <w:t>A</w:t>
      </w:r>
      <w:r w:rsidRPr="001E31B1">
        <w:t>pp</w:t>
      </w:r>
      <w:r w:rsidR="00170B77" w:rsidRPr="001E31B1">
        <w:t>x</w:t>
      </w:r>
      <w:r w:rsidRPr="001E31B1">
        <w:t>. B</w:t>
      </w:r>
      <w:r w:rsidR="00170B77" w:rsidRPr="001E31B1">
        <w:t xml:space="preserve"> at 4351</w:t>
      </w:r>
      <w:r w:rsidRPr="001E31B1">
        <w:t xml:space="preserve"> (sections 90.1303, 90.1307) (brackets in original).  These brackets served as a placeholder for the date of adoption of the proposed rules.</w:t>
      </w:r>
    </w:p>
  </w:footnote>
  <w:footnote w:id="14">
    <w:p w14:paraId="08541D24" w14:textId="77777777" w:rsidR="00D95DCB" w:rsidRPr="001E31B1" w:rsidRDefault="00D95DCB" w:rsidP="001E31B1">
      <w:pPr>
        <w:pStyle w:val="FootnoteText"/>
      </w:pPr>
      <w:r w:rsidRPr="001E31B1">
        <w:rPr>
          <w:rStyle w:val="FootnoteReference"/>
        </w:rPr>
        <w:footnoteRef/>
      </w:r>
      <w:r w:rsidRPr="001E31B1">
        <w:t xml:space="preserve"> </w:t>
      </w:r>
      <w:r w:rsidRPr="001E31B1">
        <w:rPr>
          <w:i/>
        </w:rPr>
        <w:t xml:space="preserve">See </w:t>
      </w:r>
      <w:r w:rsidRPr="001E31B1">
        <w:t xml:space="preserve">Amendment of the Commission's Rules with Regard to Commercial Operations in the 3550-3650 MHz Band, GN Docket No. 12-354, </w:t>
      </w:r>
      <w:r w:rsidRPr="001E31B1">
        <w:rPr>
          <w:i/>
        </w:rPr>
        <w:t>Report and Order and Second Further Notice of Proposed Rulemaking</w:t>
      </w:r>
      <w:r w:rsidRPr="001E31B1">
        <w:t>, 30 FCC Rcd 3959 (2015) (</w:t>
      </w:r>
      <w:r w:rsidRPr="001E31B1">
        <w:rPr>
          <w:i/>
        </w:rPr>
        <w:t>3.5 GHz Order</w:t>
      </w:r>
      <w:r w:rsidRPr="001E31B1">
        <w:t>).</w:t>
      </w:r>
    </w:p>
  </w:footnote>
  <w:footnote w:id="15">
    <w:p w14:paraId="1DEE9B1D" w14:textId="77777777" w:rsidR="00A859DF" w:rsidRPr="001E31B1" w:rsidRDefault="00A859DF" w:rsidP="001E31B1">
      <w:pPr>
        <w:pStyle w:val="FootnoteText"/>
      </w:pPr>
      <w:r w:rsidRPr="001E31B1">
        <w:rPr>
          <w:rStyle w:val="FootnoteReference"/>
        </w:rPr>
        <w:footnoteRef/>
      </w:r>
      <w:r w:rsidRPr="001E31B1">
        <w:t xml:space="preserve"> </w:t>
      </w:r>
      <w:r w:rsidRPr="001E31B1">
        <w:rPr>
          <w:i/>
        </w:rPr>
        <w:t xml:space="preserve">3.5 GHz Order, </w:t>
      </w:r>
      <w:r w:rsidRPr="001E31B1">
        <w:t>30 FCC Rcd at</w:t>
      </w:r>
      <w:r w:rsidR="006E0458" w:rsidRPr="001E31B1">
        <w:t xml:space="preserve"> 4074-76, </w:t>
      </w:r>
      <w:r w:rsidRPr="001E31B1">
        <w:t>¶¶ 394-99.</w:t>
      </w:r>
    </w:p>
  </w:footnote>
  <w:footnote w:id="16">
    <w:p w14:paraId="46C1A8C5" w14:textId="78CFCC05" w:rsidR="00155BE0" w:rsidRPr="001E31B1" w:rsidRDefault="00155BE0" w:rsidP="001E31B1">
      <w:pPr>
        <w:pStyle w:val="FootnoteText"/>
      </w:pPr>
      <w:r w:rsidRPr="001E31B1">
        <w:rPr>
          <w:rStyle w:val="FootnoteReference"/>
        </w:rPr>
        <w:footnoteRef/>
      </w:r>
      <w:r w:rsidRPr="001E31B1">
        <w:t xml:space="preserve"> </w:t>
      </w:r>
      <w:r w:rsidR="006E0458" w:rsidRPr="001E31B1">
        <w:rPr>
          <w:i/>
        </w:rPr>
        <w:t xml:space="preserve">Id. </w:t>
      </w:r>
      <w:r w:rsidR="00170B77" w:rsidRPr="001E31B1">
        <w:t>at A</w:t>
      </w:r>
      <w:r w:rsidR="00E77738" w:rsidRPr="001E31B1">
        <w:t>pp. A (</w:t>
      </w:r>
      <w:r w:rsidRPr="001E31B1">
        <w:t>47 C.F.R. §</w:t>
      </w:r>
      <w:r w:rsidR="00A859DF" w:rsidRPr="001E31B1">
        <w:t xml:space="preserve"> </w:t>
      </w:r>
      <w:r w:rsidRPr="001E31B1">
        <w:t>90.1307(b)</w:t>
      </w:r>
      <w:r w:rsidR="0048244B" w:rsidRPr="001E31B1">
        <w:t>)</w:t>
      </w:r>
      <w:r w:rsidRPr="001E31B1">
        <w:t>.</w:t>
      </w:r>
      <w:r w:rsidR="00454C42" w:rsidRPr="001E31B1">
        <w:t xml:space="preserve">  April 17, 2015 was the adoption date of the rules.</w:t>
      </w:r>
    </w:p>
  </w:footnote>
  <w:footnote w:id="17">
    <w:p w14:paraId="0E7461F0" w14:textId="25C585B5" w:rsidR="00CB0419" w:rsidRPr="001E31B1" w:rsidRDefault="00CB0419" w:rsidP="001E31B1">
      <w:pPr>
        <w:pStyle w:val="FootnoteText"/>
      </w:pPr>
      <w:r w:rsidRPr="001E31B1">
        <w:rPr>
          <w:rStyle w:val="FootnoteReference"/>
        </w:rPr>
        <w:footnoteRef/>
      </w:r>
      <w:r w:rsidRPr="001E31B1">
        <w:t xml:space="preserve"> Work Ready programs exist across the United States, whereby communities that meet certain educational, workforce development, and collaboration goals can earn a Work Ready Community certification.  </w:t>
      </w:r>
      <w:r w:rsidRPr="001E31B1">
        <w:rPr>
          <w:i/>
        </w:rPr>
        <w:t xml:space="preserve">See </w:t>
      </w:r>
      <w:r w:rsidRPr="001E31B1">
        <w:t>Kentucky Work Ready Communities</w:t>
      </w:r>
      <w:r w:rsidRPr="001E31B1">
        <w:rPr>
          <w:i/>
        </w:rPr>
        <w:t xml:space="preserve">, </w:t>
      </w:r>
      <w:r w:rsidRPr="001E31B1">
        <w:t xml:space="preserve">Common Questions About the Program, </w:t>
      </w:r>
      <w:r w:rsidRPr="001E31B1">
        <w:rPr>
          <w:i/>
        </w:rPr>
        <w:t>at</w:t>
      </w:r>
      <w:r w:rsidRPr="001E31B1">
        <w:t>:</w:t>
      </w:r>
      <w:r w:rsidRPr="001E31B1">
        <w:rPr>
          <w:i/>
        </w:rPr>
        <w:t xml:space="preserve"> </w:t>
      </w:r>
      <w:r w:rsidRPr="001E31B1">
        <w:t xml:space="preserve">http://workready.ky.gov/FAQ.aspx; Kentucky Work Ready Communities, Work Ready Community Application </w:t>
      </w:r>
      <w:r w:rsidR="00F37A63" w:rsidRPr="001E31B1">
        <w:t>at 2</w:t>
      </w:r>
      <w:r w:rsidRPr="001E31B1">
        <w:t xml:space="preserve">, </w:t>
      </w:r>
      <w:r w:rsidRPr="001E31B1">
        <w:rPr>
          <w:i/>
        </w:rPr>
        <w:t xml:space="preserve">available at: </w:t>
      </w:r>
      <w:r w:rsidRPr="001E31B1">
        <w:t>http://workready.ky.gov/Downloadable/2015WorkReadyCompleteApplicationPacket.pdf.</w:t>
      </w:r>
      <w:r w:rsidRPr="001E31B1">
        <w:rPr>
          <w:i/>
        </w:rPr>
        <w:t xml:space="preserve">  See also </w:t>
      </w:r>
      <w:r w:rsidRPr="001E31B1">
        <w:t>TEACH Request at 10.</w:t>
      </w:r>
    </w:p>
  </w:footnote>
  <w:footnote w:id="18">
    <w:p w14:paraId="21DDFBE5" w14:textId="4770DC8C" w:rsidR="00A97236" w:rsidRPr="001E31B1" w:rsidRDefault="00A97236" w:rsidP="001E31B1">
      <w:pPr>
        <w:pStyle w:val="FootnoteText"/>
      </w:pPr>
      <w:r w:rsidRPr="001E31B1">
        <w:rPr>
          <w:rStyle w:val="FootnoteReference"/>
        </w:rPr>
        <w:footnoteRef/>
      </w:r>
      <w:r w:rsidRPr="001E31B1">
        <w:t xml:space="preserve"> </w:t>
      </w:r>
      <w:r w:rsidR="005C1AC9" w:rsidRPr="001E31B1">
        <w:t>TEACH</w:t>
      </w:r>
      <w:r w:rsidRPr="001E31B1">
        <w:t xml:space="preserve"> Request at 10.</w:t>
      </w:r>
    </w:p>
  </w:footnote>
  <w:footnote w:id="19">
    <w:p w14:paraId="5C155383" w14:textId="53F896BD" w:rsidR="00CB0419" w:rsidRPr="001E31B1" w:rsidRDefault="00CB0419" w:rsidP="001E31B1">
      <w:pPr>
        <w:pStyle w:val="FootnoteText"/>
      </w:pPr>
      <w:r w:rsidRPr="001E31B1">
        <w:rPr>
          <w:rStyle w:val="FootnoteReference"/>
        </w:rPr>
        <w:footnoteRef/>
      </w:r>
      <w:r w:rsidRPr="001E31B1">
        <w:t xml:space="preserve"> </w:t>
      </w:r>
      <w:r w:rsidR="00381AC8" w:rsidRPr="001E31B1">
        <w:rPr>
          <w:i/>
        </w:rPr>
        <w:t>I</w:t>
      </w:r>
      <w:r w:rsidRPr="001E31B1">
        <w:rPr>
          <w:i/>
        </w:rPr>
        <w:t>d</w:t>
      </w:r>
      <w:r w:rsidR="00381AC8" w:rsidRPr="001E31B1">
        <w:t>.</w:t>
      </w:r>
    </w:p>
  </w:footnote>
  <w:footnote w:id="20">
    <w:p w14:paraId="3931A1D5" w14:textId="2BCA7D3D" w:rsidR="001D4599" w:rsidRPr="001E31B1" w:rsidRDefault="001D4599" w:rsidP="001E31B1">
      <w:pPr>
        <w:pStyle w:val="FootnoteText"/>
      </w:pPr>
      <w:r w:rsidRPr="001E31B1">
        <w:rPr>
          <w:rStyle w:val="FootnoteReference"/>
        </w:rPr>
        <w:footnoteRef/>
      </w:r>
      <w:r w:rsidRPr="001E31B1">
        <w:t xml:space="preserve"> </w:t>
      </w:r>
      <w:r w:rsidR="00CB0419" w:rsidRPr="001E31B1">
        <w:rPr>
          <w:i/>
        </w:rPr>
        <w:t>Id</w:t>
      </w:r>
      <w:r w:rsidR="00CB0419" w:rsidRPr="001E31B1">
        <w:t xml:space="preserve">. </w:t>
      </w:r>
    </w:p>
  </w:footnote>
  <w:footnote w:id="21">
    <w:p w14:paraId="401A28AB" w14:textId="77777777" w:rsidR="00BE5649" w:rsidRPr="001E31B1" w:rsidRDefault="00BE5649" w:rsidP="001E31B1">
      <w:pPr>
        <w:pStyle w:val="FootnoteText"/>
      </w:pPr>
      <w:r w:rsidRPr="001E31B1">
        <w:rPr>
          <w:rStyle w:val="FootnoteReference"/>
        </w:rPr>
        <w:footnoteRef/>
      </w:r>
      <w:r w:rsidRPr="001E31B1">
        <w:t xml:space="preserve"> </w:t>
      </w:r>
      <w:r w:rsidR="00553BED" w:rsidRPr="001E31B1">
        <w:t xml:space="preserve">The U.S. Congress established the DRA to “make strategic investments of federal appropriations into the physical and human infrastructure of Delta communities.” Delta Regional Authority, About Delta Regional Authority, </w:t>
      </w:r>
      <w:r w:rsidR="00553BED" w:rsidRPr="001E31B1">
        <w:rPr>
          <w:i/>
        </w:rPr>
        <w:t>at</w:t>
      </w:r>
      <w:r w:rsidR="00553BED" w:rsidRPr="001E31B1">
        <w:t>: http://dra.gov/about-dra/mission-and-vision/.</w:t>
      </w:r>
    </w:p>
  </w:footnote>
  <w:footnote w:id="22">
    <w:p w14:paraId="4696FC1E" w14:textId="77777777" w:rsidR="009B79D0" w:rsidRPr="001E31B1" w:rsidRDefault="009B79D0" w:rsidP="001E31B1">
      <w:pPr>
        <w:pStyle w:val="FootnoteText"/>
      </w:pPr>
      <w:r w:rsidRPr="001E31B1">
        <w:rPr>
          <w:rStyle w:val="FootnoteReference"/>
        </w:rPr>
        <w:footnoteRef/>
      </w:r>
      <w:r w:rsidRPr="001E31B1">
        <w:t xml:space="preserve"> The engineering and costs of the grant were based on using a 3.65 GHz base coverage for the service areas. TEACH Request at 11.</w:t>
      </w:r>
    </w:p>
  </w:footnote>
  <w:footnote w:id="23">
    <w:p w14:paraId="2952D621" w14:textId="5D986A0F" w:rsidR="003C7395" w:rsidRPr="001E31B1" w:rsidRDefault="003C7395" w:rsidP="001E31B1">
      <w:pPr>
        <w:pStyle w:val="FootnoteText"/>
      </w:pPr>
      <w:r w:rsidRPr="001E31B1">
        <w:rPr>
          <w:rStyle w:val="FootnoteReference"/>
        </w:rPr>
        <w:footnoteRef/>
      </w:r>
      <w:r w:rsidRPr="001E31B1">
        <w:t xml:space="preserve"> </w:t>
      </w:r>
      <w:r w:rsidR="00381AC8" w:rsidRPr="001E31B1">
        <w:rPr>
          <w:i/>
        </w:rPr>
        <w:t>I</w:t>
      </w:r>
      <w:r w:rsidR="009B79D0" w:rsidRPr="001E31B1">
        <w:rPr>
          <w:i/>
        </w:rPr>
        <w:t>d</w:t>
      </w:r>
      <w:r w:rsidR="00381AC8" w:rsidRPr="001E31B1">
        <w:t>.</w:t>
      </w:r>
    </w:p>
  </w:footnote>
  <w:footnote w:id="24">
    <w:p w14:paraId="69ED718C" w14:textId="1D6437B7" w:rsidR="00921CE3" w:rsidRPr="001E31B1" w:rsidRDefault="00921CE3" w:rsidP="001E31B1">
      <w:pPr>
        <w:pStyle w:val="FootnoteText"/>
      </w:pPr>
      <w:r w:rsidRPr="001E31B1">
        <w:rPr>
          <w:rStyle w:val="FootnoteReference"/>
        </w:rPr>
        <w:footnoteRef/>
      </w:r>
      <w:r w:rsidRPr="001E31B1">
        <w:t xml:space="preserve"> The Felix E. Martin Jr. Foundation is a private foundation based in Muhlenberg County.  </w:t>
      </w:r>
      <w:r w:rsidRPr="001E31B1">
        <w:rPr>
          <w:i/>
        </w:rPr>
        <w:t xml:space="preserve">See </w:t>
      </w:r>
      <w:r w:rsidR="005C1AC9" w:rsidRPr="001E31B1">
        <w:t>Felix E. Martin Jr. Foundation</w:t>
      </w:r>
      <w:r w:rsidR="005C1AC9" w:rsidRPr="001E31B1">
        <w:rPr>
          <w:i/>
        </w:rPr>
        <w:t xml:space="preserve">, at: </w:t>
      </w:r>
      <w:r w:rsidR="005C1AC9" w:rsidRPr="001E31B1">
        <w:t xml:space="preserve">http://www.felixmartinfoundation.org/.  </w:t>
      </w:r>
      <w:r w:rsidR="005C1AC9" w:rsidRPr="001E31B1">
        <w:rPr>
          <w:i/>
        </w:rPr>
        <w:t>See also</w:t>
      </w:r>
      <w:r w:rsidR="005C1AC9" w:rsidRPr="001E31B1">
        <w:t xml:space="preserve"> TEACH</w:t>
      </w:r>
      <w:r w:rsidRPr="001E31B1">
        <w:t xml:space="preserve"> Request at 11, 18.</w:t>
      </w:r>
    </w:p>
  </w:footnote>
  <w:footnote w:id="25">
    <w:p w14:paraId="552A0597" w14:textId="2822A47F" w:rsidR="005C1AC9" w:rsidRPr="001E31B1" w:rsidRDefault="005C1AC9" w:rsidP="001E31B1">
      <w:pPr>
        <w:pStyle w:val="FootnoteText"/>
      </w:pPr>
      <w:r w:rsidRPr="001E31B1">
        <w:rPr>
          <w:rStyle w:val="FootnoteReference"/>
        </w:rPr>
        <w:footnoteRef/>
      </w:r>
      <w:r w:rsidRPr="001E31B1">
        <w:t xml:space="preserve"> </w:t>
      </w:r>
      <w:r w:rsidR="00C96A47" w:rsidRPr="001E31B1">
        <w:t>TEACH Request at 11.</w:t>
      </w:r>
    </w:p>
  </w:footnote>
  <w:footnote w:id="26">
    <w:p w14:paraId="482543C0" w14:textId="2A37BC0A" w:rsidR="005C1AC9" w:rsidRPr="001E31B1" w:rsidRDefault="005C1AC9" w:rsidP="001E31B1">
      <w:pPr>
        <w:pStyle w:val="FootnoteText"/>
      </w:pPr>
      <w:r w:rsidRPr="001E31B1">
        <w:rPr>
          <w:rStyle w:val="FootnoteReference"/>
        </w:rPr>
        <w:footnoteRef/>
      </w:r>
      <w:r w:rsidRPr="001E31B1">
        <w:t xml:space="preserve"> </w:t>
      </w:r>
      <w:r w:rsidR="00381AC8" w:rsidRPr="001E31B1">
        <w:rPr>
          <w:i/>
        </w:rPr>
        <w:t>I</w:t>
      </w:r>
      <w:r w:rsidRPr="001E31B1">
        <w:rPr>
          <w:i/>
        </w:rPr>
        <w:t>d</w:t>
      </w:r>
      <w:r w:rsidRPr="001E31B1">
        <w:t xml:space="preserve">. </w:t>
      </w:r>
    </w:p>
  </w:footnote>
  <w:footnote w:id="27">
    <w:p w14:paraId="58A50B0B" w14:textId="3D430774" w:rsidR="003627E3" w:rsidRPr="001E31B1" w:rsidRDefault="003627E3" w:rsidP="001E31B1">
      <w:pPr>
        <w:pStyle w:val="FootnoteText"/>
      </w:pPr>
      <w:r w:rsidRPr="001E31B1">
        <w:rPr>
          <w:rStyle w:val="FootnoteReference"/>
        </w:rPr>
        <w:footnoteRef/>
      </w:r>
      <w:r w:rsidRPr="001E31B1">
        <w:t xml:space="preserve"> </w:t>
      </w:r>
      <w:r w:rsidR="00381AC8" w:rsidRPr="001E31B1">
        <w:rPr>
          <w:i/>
        </w:rPr>
        <w:t>I</w:t>
      </w:r>
      <w:r w:rsidRPr="001E31B1">
        <w:rPr>
          <w:i/>
        </w:rPr>
        <w:t>d</w:t>
      </w:r>
      <w:r w:rsidRPr="001E31B1">
        <w:t xml:space="preserve">. </w:t>
      </w:r>
      <w:r w:rsidR="00381AC8" w:rsidRPr="001E31B1">
        <w:t>at 11, 13.</w:t>
      </w:r>
    </w:p>
  </w:footnote>
  <w:footnote w:id="28">
    <w:p w14:paraId="4EA58D39" w14:textId="56F8136E" w:rsidR="00B87547" w:rsidRPr="001E31B1" w:rsidRDefault="00B87547" w:rsidP="001E31B1">
      <w:pPr>
        <w:pStyle w:val="FootnoteText"/>
      </w:pPr>
      <w:r w:rsidRPr="001E31B1">
        <w:rPr>
          <w:rStyle w:val="FootnoteReference"/>
        </w:rPr>
        <w:footnoteRef/>
      </w:r>
      <w:r w:rsidRPr="001E31B1">
        <w:t xml:space="preserve"> </w:t>
      </w:r>
      <w:r w:rsidRPr="001E31B1">
        <w:rPr>
          <w:i/>
        </w:rPr>
        <w:t>Id</w:t>
      </w:r>
      <w:r w:rsidRPr="001E31B1">
        <w:t>.</w:t>
      </w:r>
      <w:r w:rsidR="00C96A47" w:rsidRPr="001E31B1">
        <w:t xml:space="preserve"> at </w:t>
      </w:r>
      <w:r w:rsidR="00F80423" w:rsidRPr="001E31B1">
        <w:t xml:space="preserve">11, </w:t>
      </w:r>
      <w:r w:rsidR="00C96A47" w:rsidRPr="001E31B1">
        <w:t>12.</w:t>
      </w:r>
    </w:p>
  </w:footnote>
  <w:footnote w:id="29">
    <w:p w14:paraId="40279095" w14:textId="1E1EF8DC" w:rsidR="00B87547" w:rsidRPr="001E31B1" w:rsidRDefault="00B87547" w:rsidP="001E31B1">
      <w:pPr>
        <w:pStyle w:val="FootnoteText"/>
      </w:pPr>
      <w:r w:rsidRPr="001E31B1">
        <w:rPr>
          <w:rStyle w:val="FootnoteReference"/>
        </w:rPr>
        <w:footnoteRef/>
      </w:r>
      <w:r w:rsidRPr="001E31B1">
        <w:t xml:space="preserve"> </w:t>
      </w:r>
      <w:r w:rsidRPr="001E31B1">
        <w:rPr>
          <w:i/>
        </w:rPr>
        <w:t>Id</w:t>
      </w:r>
      <w:r w:rsidRPr="001E31B1">
        <w:t xml:space="preserve">. </w:t>
      </w:r>
      <w:r w:rsidR="00130DEB" w:rsidRPr="001E31B1">
        <w:t>at 12.</w:t>
      </w:r>
    </w:p>
  </w:footnote>
  <w:footnote w:id="30">
    <w:p w14:paraId="361E0CB6" w14:textId="505AF0BF" w:rsidR="003627E3" w:rsidRPr="001E31B1" w:rsidRDefault="003627E3" w:rsidP="001E31B1">
      <w:pPr>
        <w:pStyle w:val="FootnoteText"/>
      </w:pPr>
      <w:r w:rsidRPr="001E31B1">
        <w:rPr>
          <w:rStyle w:val="FootnoteReference"/>
        </w:rPr>
        <w:footnoteRef/>
      </w:r>
      <w:r w:rsidRPr="001E31B1">
        <w:t xml:space="preserve"> </w:t>
      </w:r>
      <w:r w:rsidRPr="001E31B1">
        <w:rPr>
          <w:i/>
        </w:rPr>
        <w:t>Id</w:t>
      </w:r>
      <w:r w:rsidRPr="001E31B1">
        <w:t>.</w:t>
      </w:r>
      <w:r w:rsidR="00C96A47" w:rsidRPr="001E31B1">
        <w:t xml:space="preserve"> at 11.</w:t>
      </w:r>
      <w:r w:rsidRPr="001E31B1">
        <w:t xml:space="preserve"> </w:t>
      </w:r>
      <w:r w:rsidR="00130DEB" w:rsidRPr="001E31B1">
        <w:t xml:space="preserve"> </w:t>
      </w:r>
      <w:r w:rsidR="00CB4BC0" w:rsidRPr="001E31B1">
        <w:rPr>
          <w:i/>
        </w:rPr>
        <w:t>See also</w:t>
      </w:r>
      <w:r w:rsidR="00CB4BC0" w:rsidRPr="001E31B1">
        <w:t xml:space="preserve"> File No. </w:t>
      </w:r>
      <w:r w:rsidR="00CB4BC0" w:rsidRPr="001E31B1">
        <w:rPr>
          <w:spacing w:val="-2"/>
        </w:rPr>
        <w:t>0007044353.</w:t>
      </w:r>
    </w:p>
  </w:footnote>
  <w:footnote w:id="31">
    <w:p w14:paraId="39DA7C42" w14:textId="77777777" w:rsidR="00B87547" w:rsidRPr="001E31B1" w:rsidRDefault="00B87547" w:rsidP="001E31B1">
      <w:pPr>
        <w:pStyle w:val="FootnoteText"/>
      </w:pPr>
      <w:r w:rsidRPr="001E31B1">
        <w:rPr>
          <w:rStyle w:val="FootnoteReference"/>
        </w:rPr>
        <w:footnoteRef/>
      </w:r>
      <w:r w:rsidRPr="001E31B1">
        <w:t xml:space="preserve"> Wireless Telecommunications Bureau Site-By-Site Accepted for Filing, </w:t>
      </w:r>
      <w:r w:rsidRPr="001E31B1">
        <w:rPr>
          <w:i/>
        </w:rPr>
        <w:t xml:space="preserve">Public Notice, </w:t>
      </w:r>
      <w:r w:rsidRPr="001E31B1">
        <w:t>FCC Report No. 10995 (rel. Dec. 9, 2015), at 68.</w:t>
      </w:r>
    </w:p>
  </w:footnote>
  <w:footnote w:id="32">
    <w:p w14:paraId="0DDDB729" w14:textId="77777777" w:rsidR="00B87547" w:rsidRPr="001E31B1" w:rsidRDefault="00B87547" w:rsidP="001E31B1">
      <w:pPr>
        <w:pStyle w:val="FootnoteText"/>
      </w:pPr>
      <w:r w:rsidRPr="001E31B1">
        <w:rPr>
          <w:rStyle w:val="FootnoteReference"/>
        </w:rPr>
        <w:footnoteRef/>
      </w:r>
      <w:r w:rsidRPr="001E31B1">
        <w:t xml:space="preserve"> </w:t>
      </w:r>
      <w:r w:rsidRPr="001E31B1">
        <w:rPr>
          <w:i/>
        </w:rPr>
        <w:t>Id</w:t>
      </w:r>
      <w:r w:rsidRPr="001E31B1">
        <w:t xml:space="preserve">. at 1.  </w:t>
      </w:r>
      <w:r w:rsidRPr="001E31B1">
        <w:rPr>
          <w:i/>
        </w:rPr>
        <w:t xml:space="preserve">See </w:t>
      </w:r>
      <w:r w:rsidRPr="001E31B1">
        <w:t>47 U.S.C. § 309(b).</w:t>
      </w:r>
    </w:p>
  </w:footnote>
  <w:footnote w:id="33">
    <w:p w14:paraId="4432B0BF" w14:textId="4EF4700D" w:rsidR="007506DD" w:rsidRPr="001E31B1" w:rsidRDefault="007506DD" w:rsidP="001E31B1">
      <w:pPr>
        <w:pStyle w:val="FootnoteText"/>
      </w:pPr>
      <w:r w:rsidRPr="001E31B1">
        <w:rPr>
          <w:rStyle w:val="FootnoteReference"/>
        </w:rPr>
        <w:footnoteRef/>
      </w:r>
      <w:r w:rsidRPr="001E31B1">
        <w:t xml:space="preserve"> TEACH Request at 12.</w:t>
      </w:r>
    </w:p>
  </w:footnote>
  <w:footnote w:id="34">
    <w:p w14:paraId="0DC868CE" w14:textId="77777777" w:rsidR="003E1C9B" w:rsidRPr="001E31B1" w:rsidRDefault="003E1C9B" w:rsidP="001E31B1">
      <w:pPr>
        <w:pStyle w:val="FootnoteText"/>
      </w:pPr>
      <w:r w:rsidRPr="001E31B1">
        <w:rPr>
          <w:rStyle w:val="FootnoteReference"/>
        </w:rPr>
        <w:footnoteRef/>
      </w:r>
      <w:r w:rsidRPr="001E31B1">
        <w:t xml:space="preserve"> 47 C.F.R. § 1.925(b)(3).</w:t>
      </w:r>
    </w:p>
  </w:footnote>
  <w:footnote w:id="35">
    <w:p w14:paraId="5C405BC7" w14:textId="276EE617" w:rsidR="009A20FF" w:rsidRPr="001E31B1" w:rsidRDefault="009A20FF" w:rsidP="001E31B1">
      <w:pPr>
        <w:pStyle w:val="FootnoteText"/>
      </w:pPr>
      <w:r w:rsidRPr="001E31B1">
        <w:rPr>
          <w:rStyle w:val="FootnoteReference"/>
        </w:rPr>
        <w:footnoteRef/>
      </w:r>
      <w:r w:rsidRPr="001E31B1">
        <w:t xml:space="preserve"> </w:t>
      </w:r>
      <w:r w:rsidR="004722DD" w:rsidRPr="001E31B1">
        <w:t>TEACH Request at 11</w:t>
      </w:r>
      <w:r w:rsidR="00247EAC" w:rsidRPr="001E31B1">
        <w:t>; 47 C.F.R. § 90.1307(b).</w:t>
      </w:r>
    </w:p>
  </w:footnote>
  <w:footnote w:id="36">
    <w:p w14:paraId="5C695032" w14:textId="4603FD11" w:rsidR="00F47CB7" w:rsidRPr="001E31B1" w:rsidRDefault="00F47CB7" w:rsidP="001E31B1">
      <w:pPr>
        <w:pStyle w:val="FootnoteText"/>
      </w:pPr>
      <w:r w:rsidRPr="001E31B1">
        <w:rPr>
          <w:rStyle w:val="FootnoteReference"/>
        </w:rPr>
        <w:footnoteRef/>
      </w:r>
      <w:r w:rsidRPr="001E31B1">
        <w:t xml:space="preserve"> </w:t>
      </w:r>
      <w:r w:rsidR="003E07B2" w:rsidRPr="001E31B1">
        <w:t>TEACH Request at 12.</w:t>
      </w:r>
    </w:p>
  </w:footnote>
  <w:footnote w:id="37">
    <w:p w14:paraId="76C7AE72" w14:textId="015C4086" w:rsidR="00E56AD8" w:rsidRPr="001E31B1" w:rsidRDefault="00E56AD8" w:rsidP="001E31B1">
      <w:pPr>
        <w:pStyle w:val="FootnoteText"/>
      </w:pPr>
      <w:r w:rsidRPr="001E31B1">
        <w:rPr>
          <w:rStyle w:val="FootnoteReference"/>
        </w:rPr>
        <w:footnoteRef/>
      </w:r>
      <w:r w:rsidRPr="001E31B1">
        <w:t xml:space="preserve"> </w:t>
      </w:r>
      <w:r w:rsidR="00130DEB" w:rsidRPr="001E31B1">
        <w:rPr>
          <w:i/>
        </w:rPr>
        <w:t>I</w:t>
      </w:r>
      <w:r w:rsidR="004C3B87" w:rsidRPr="001E31B1">
        <w:rPr>
          <w:i/>
        </w:rPr>
        <w:t>d</w:t>
      </w:r>
      <w:r w:rsidR="004C3B87" w:rsidRPr="001E31B1">
        <w:t xml:space="preserve">. </w:t>
      </w:r>
    </w:p>
  </w:footnote>
  <w:footnote w:id="38">
    <w:p w14:paraId="606A7006" w14:textId="3E403063" w:rsidR="00D9794C" w:rsidRPr="001E31B1" w:rsidRDefault="00D9794C" w:rsidP="001E31B1">
      <w:pPr>
        <w:pStyle w:val="FootnoteText"/>
      </w:pPr>
      <w:r w:rsidRPr="001E31B1">
        <w:rPr>
          <w:rStyle w:val="FootnoteReference"/>
        </w:rPr>
        <w:footnoteRef/>
      </w:r>
      <w:r w:rsidRPr="001E31B1">
        <w:t xml:space="preserve"> </w:t>
      </w:r>
      <w:r w:rsidR="004722DD" w:rsidRPr="001E31B1">
        <w:rPr>
          <w:i/>
        </w:rPr>
        <w:t>Id</w:t>
      </w:r>
      <w:r w:rsidR="003A4D2C" w:rsidRPr="001E31B1">
        <w:t>.</w:t>
      </w:r>
      <w:r w:rsidR="00C144BE" w:rsidRPr="001E31B1">
        <w:t xml:space="preserve"> at 13 (</w:t>
      </w:r>
      <w:r w:rsidR="004722DD" w:rsidRPr="001E31B1">
        <w:t xml:space="preserve">also </w:t>
      </w:r>
      <w:r w:rsidR="00C144BE" w:rsidRPr="001E31B1">
        <w:t>stating that “TEACH has agreed to complete build-out and to offer service to the public by December 31, 2015, and the County has acquired hundreds of thousands of dollars in transmission and customer premise equipment.”).</w:t>
      </w:r>
    </w:p>
  </w:footnote>
  <w:footnote w:id="39">
    <w:p w14:paraId="17899F89" w14:textId="3F8D2E31" w:rsidR="0015438E" w:rsidRPr="001E31B1" w:rsidRDefault="0015438E" w:rsidP="001E31B1">
      <w:pPr>
        <w:pStyle w:val="FootnoteText"/>
      </w:pPr>
      <w:r w:rsidRPr="001E31B1">
        <w:rPr>
          <w:rStyle w:val="FootnoteReference"/>
        </w:rPr>
        <w:footnoteRef/>
      </w:r>
      <w:r w:rsidRPr="001E31B1">
        <w:t xml:space="preserve"> </w:t>
      </w:r>
      <w:r w:rsidRPr="001E31B1">
        <w:rPr>
          <w:i/>
        </w:rPr>
        <w:t>Id</w:t>
      </w:r>
      <w:r w:rsidRPr="001E31B1">
        <w:t xml:space="preserve">. </w:t>
      </w:r>
    </w:p>
  </w:footnote>
  <w:footnote w:id="40">
    <w:p w14:paraId="69790D9A" w14:textId="2CCDF18E" w:rsidR="005424DC" w:rsidRPr="001E31B1" w:rsidRDefault="005424DC" w:rsidP="001E31B1">
      <w:pPr>
        <w:pStyle w:val="FootnoteText"/>
      </w:pPr>
      <w:r w:rsidRPr="001E31B1">
        <w:rPr>
          <w:rStyle w:val="FootnoteReference"/>
        </w:rPr>
        <w:footnoteRef/>
      </w:r>
      <w:r w:rsidRPr="001E31B1">
        <w:t xml:space="preserve"> </w:t>
      </w:r>
      <w:r w:rsidR="0015438E" w:rsidRPr="001E31B1">
        <w:rPr>
          <w:i/>
        </w:rPr>
        <w:t>I</w:t>
      </w:r>
      <w:r w:rsidRPr="001E31B1">
        <w:rPr>
          <w:i/>
        </w:rPr>
        <w:t>d</w:t>
      </w:r>
      <w:r w:rsidRPr="001E31B1">
        <w:t xml:space="preserve">. </w:t>
      </w:r>
      <w:r w:rsidR="0015438E" w:rsidRPr="001E31B1">
        <w:t xml:space="preserve">at </w:t>
      </w:r>
      <w:r w:rsidR="004F07D5" w:rsidRPr="001E31B1">
        <w:t>14</w:t>
      </w:r>
      <w:r w:rsidR="00130DEB" w:rsidRPr="001E31B1">
        <w:t xml:space="preserve">.  </w:t>
      </w:r>
      <w:r w:rsidR="004F07D5" w:rsidRPr="001E31B1">
        <w:t xml:space="preserve">As stated </w:t>
      </w:r>
      <w:r w:rsidR="002145E6" w:rsidRPr="001E31B1">
        <w:t>in the Background section</w:t>
      </w:r>
      <w:r w:rsidR="00EE4D12" w:rsidRPr="001E31B1">
        <w:t xml:space="preserve"> above</w:t>
      </w:r>
      <w:r w:rsidR="004F07D5" w:rsidRPr="001E31B1">
        <w:t>, the grant awarded by the DRA require</w:t>
      </w:r>
      <w:r w:rsidR="00B761CD" w:rsidRPr="001E31B1">
        <w:t>s</w:t>
      </w:r>
      <w:r w:rsidR="004F07D5" w:rsidRPr="001E31B1">
        <w:t xml:space="preserve"> the County to complete the proposed project by March 2016.</w:t>
      </w:r>
    </w:p>
  </w:footnote>
  <w:footnote w:id="41">
    <w:p w14:paraId="54843D29" w14:textId="4E1BCC48" w:rsidR="004C3B87" w:rsidRPr="001E31B1" w:rsidRDefault="004C3B87" w:rsidP="001E31B1">
      <w:pPr>
        <w:pStyle w:val="FootnoteText"/>
      </w:pPr>
      <w:r w:rsidRPr="001E31B1">
        <w:rPr>
          <w:rStyle w:val="FootnoteReference"/>
        </w:rPr>
        <w:footnoteRef/>
      </w:r>
      <w:r w:rsidRPr="001E31B1">
        <w:t xml:space="preserve"> </w:t>
      </w:r>
      <w:r w:rsidR="00130DEB" w:rsidRPr="001E31B1">
        <w:rPr>
          <w:i/>
        </w:rPr>
        <w:t>I</w:t>
      </w:r>
      <w:r w:rsidRPr="001E31B1">
        <w:rPr>
          <w:i/>
        </w:rPr>
        <w:t>d</w:t>
      </w:r>
      <w:r w:rsidRPr="001E31B1">
        <w:t>.</w:t>
      </w:r>
      <w:r w:rsidR="00E22CEF" w:rsidRPr="001E31B1">
        <w:t xml:space="preserve"> at 12.</w:t>
      </w:r>
    </w:p>
  </w:footnote>
  <w:footnote w:id="42">
    <w:p w14:paraId="4AB2C1F5" w14:textId="16EAE27E" w:rsidR="00E22CEF" w:rsidRPr="001E31B1" w:rsidRDefault="00E22CEF" w:rsidP="001E31B1">
      <w:pPr>
        <w:pStyle w:val="FootnoteText"/>
      </w:pPr>
      <w:r w:rsidRPr="001E31B1">
        <w:rPr>
          <w:rStyle w:val="FootnoteReference"/>
        </w:rPr>
        <w:footnoteRef/>
      </w:r>
      <w:r w:rsidRPr="001E31B1">
        <w:t xml:space="preserve"> </w:t>
      </w:r>
      <w:r w:rsidR="00F57268" w:rsidRPr="001E31B1">
        <w:rPr>
          <w:i/>
        </w:rPr>
        <w:t>I</w:t>
      </w:r>
      <w:r w:rsidRPr="001E31B1">
        <w:rPr>
          <w:i/>
        </w:rPr>
        <w:t>d</w:t>
      </w:r>
      <w:r w:rsidR="00C93E74" w:rsidRPr="001E31B1">
        <w:t>.</w:t>
      </w:r>
    </w:p>
  </w:footnote>
  <w:footnote w:id="43">
    <w:p w14:paraId="36B7F1FA" w14:textId="7EFC5C58" w:rsidR="003E07B2" w:rsidRPr="001E31B1" w:rsidRDefault="003E07B2" w:rsidP="001E31B1">
      <w:pPr>
        <w:pStyle w:val="FootnoteText"/>
      </w:pPr>
      <w:r w:rsidRPr="001E31B1">
        <w:rPr>
          <w:rStyle w:val="FootnoteReference"/>
        </w:rPr>
        <w:footnoteRef/>
      </w:r>
      <w:r w:rsidRPr="001E31B1">
        <w:t xml:space="preserve"> </w:t>
      </w:r>
      <w:r w:rsidR="00C93E74" w:rsidRPr="001E31B1">
        <w:rPr>
          <w:i/>
        </w:rPr>
        <w:t>I</w:t>
      </w:r>
      <w:r w:rsidR="00536002" w:rsidRPr="001E31B1">
        <w:rPr>
          <w:i/>
        </w:rPr>
        <w:t>d</w:t>
      </w:r>
      <w:r w:rsidR="00536002" w:rsidRPr="001E31B1">
        <w:t>. at 14</w:t>
      </w:r>
      <w:r w:rsidR="00C93E74" w:rsidRPr="001E31B1">
        <w:t>.</w:t>
      </w:r>
    </w:p>
  </w:footnote>
  <w:footnote w:id="44">
    <w:p w14:paraId="1E314F78" w14:textId="5C700C00" w:rsidR="00E22CEF" w:rsidRPr="001E31B1" w:rsidRDefault="00E22CEF" w:rsidP="001E31B1">
      <w:pPr>
        <w:pStyle w:val="FootnoteText"/>
      </w:pPr>
      <w:r w:rsidRPr="001E31B1">
        <w:rPr>
          <w:rStyle w:val="FootnoteReference"/>
        </w:rPr>
        <w:footnoteRef/>
      </w:r>
      <w:r w:rsidRPr="001E31B1">
        <w:t xml:space="preserve"> </w:t>
      </w:r>
      <w:r w:rsidR="00C93E74" w:rsidRPr="001E31B1">
        <w:rPr>
          <w:i/>
        </w:rPr>
        <w:t>I</w:t>
      </w:r>
      <w:r w:rsidRPr="001E31B1">
        <w:rPr>
          <w:i/>
        </w:rPr>
        <w:t>d</w:t>
      </w:r>
      <w:r w:rsidRPr="001E31B1">
        <w:t xml:space="preserve">. </w:t>
      </w:r>
      <w:r w:rsidR="00C93E74" w:rsidRPr="001E31B1">
        <w:t>at 12-13, Ex. 2.</w:t>
      </w:r>
    </w:p>
  </w:footnote>
  <w:footnote w:id="45">
    <w:p w14:paraId="44C98AE6" w14:textId="51894486" w:rsidR="004B74C8" w:rsidRPr="001E31B1" w:rsidRDefault="004B74C8" w:rsidP="001E31B1">
      <w:pPr>
        <w:pStyle w:val="FootnoteText"/>
      </w:pPr>
      <w:r w:rsidRPr="001E31B1">
        <w:rPr>
          <w:rStyle w:val="FootnoteReference"/>
        </w:rPr>
        <w:footnoteRef/>
      </w:r>
      <w:r w:rsidRPr="001E31B1">
        <w:t xml:space="preserve"> </w:t>
      </w:r>
      <w:r w:rsidR="00C93E74" w:rsidRPr="001E31B1">
        <w:rPr>
          <w:i/>
        </w:rPr>
        <w:t>I</w:t>
      </w:r>
      <w:r w:rsidR="002C0C50" w:rsidRPr="001E31B1">
        <w:rPr>
          <w:i/>
        </w:rPr>
        <w:t>d</w:t>
      </w:r>
      <w:r w:rsidR="002C0C50" w:rsidRPr="001E31B1">
        <w:t xml:space="preserve">. at 14. </w:t>
      </w:r>
    </w:p>
  </w:footnote>
  <w:footnote w:id="46">
    <w:p w14:paraId="32F75A3C" w14:textId="77777777" w:rsidR="00017FF7" w:rsidRPr="001E31B1" w:rsidRDefault="00017FF7" w:rsidP="001E31B1">
      <w:pPr>
        <w:pStyle w:val="FootnoteText"/>
      </w:pPr>
      <w:r w:rsidRPr="001E31B1">
        <w:rPr>
          <w:rStyle w:val="FootnoteReference"/>
        </w:rPr>
        <w:footnoteRef/>
      </w:r>
      <w:r w:rsidRPr="001E31B1">
        <w:t xml:space="preserve"> </w:t>
      </w:r>
      <w:r w:rsidRPr="001E31B1">
        <w:rPr>
          <w:i/>
        </w:rPr>
        <w:t>See</w:t>
      </w:r>
      <w:r w:rsidRPr="001E31B1">
        <w:t xml:space="preserve"> 47 C.F.R. § 1.913(b).</w:t>
      </w:r>
    </w:p>
  </w:footnote>
  <w:footnote w:id="47">
    <w:p w14:paraId="564D7FD2" w14:textId="73A1A040" w:rsidR="00017FF7" w:rsidRPr="001E31B1" w:rsidRDefault="00017FF7" w:rsidP="001E31B1">
      <w:pPr>
        <w:pStyle w:val="FootnoteText"/>
      </w:pPr>
      <w:r w:rsidRPr="001E31B1">
        <w:rPr>
          <w:rStyle w:val="FootnoteReference"/>
        </w:rPr>
        <w:footnoteRef/>
      </w:r>
      <w:r w:rsidRPr="001E31B1">
        <w:t xml:space="preserve"> </w:t>
      </w:r>
      <w:r w:rsidR="004722DD" w:rsidRPr="001E31B1">
        <w:t>TEACH Request at 10.</w:t>
      </w:r>
    </w:p>
  </w:footnote>
  <w:footnote w:id="48">
    <w:p w14:paraId="68192457" w14:textId="6D5577DA" w:rsidR="007F5C1A" w:rsidRPr="001E31B1" w:rsidRDefault="007F5C1A" w:rsidP="001E31B1">
      <w:pPr>
        <w:pStyle w:val="FootnoteText"/>
      </w:pPr>
      <w:r w:rsidRPr="001E31B1">
        <w:rPr>
          <w:rStyle w:val="FootnoteReference"/>
        </w:rPr>
        <w:footnoteRef/>
      </w:r>
      <w:r w:rsidRPr="001E31B1">
        <w:t xml:space="preserve"> </w:t>
      </w:r>
      <w:r w:rsidRPr="001E31B1">
        <w:rPr>
          <w:i/>
        </w:rPr>
        <w:t>See generally</w:t>
      </w:r>
      <w:r w:rsidRPr="001E31B1">
        <w:t xml:space="preserve">, </w:t>
      </w:r>
      <w:r w:rsidRPr="001E31B1">
        <w:rPr>
          <w:i/>
        </w:rPr>
        <w:t>e.g</w:t>
      </w:r>
      <w:r w:rsidRPr="001E31B1">
        <w:t xml:space="preserve">., Facilitating the Provision of Spectrum-Based Services to Rural Areas and promoting Opportunities for Rural Telephone Companies to Provide Spectrum-Based Services, </w:t>
      </w:r>
      <w:r w:rsidRPr="001E31B1">
        <w:rPr>
          <w:i/>
        </w:rPr>
        <w:t>Report and Order and Further Notice of Proposed Rule Making</w:t>
      </w:r>
      <w:r w:rsidRPr="001E31B1">
        <w:t xml:space="preserve">, 19 FCC Rcd 19078 (2004).  </w:t>
      </w:r>
      <w:r w:rsidRPr="001E31B1">
        <w:rPr>
          <w:i/>
        </w:rPr>
        <w:t xml:space="preserve">See also, e.g., </w:t>
      </w:r>
      <w:r w:rsidRPr="001E31B1">
        <w:t>Airwave Wireless, L.L.C. &amp; G</w:t>
      </w:r>
      <w:r w:rsidR="00605697" w:rsidRPr="001E31B1">
        <w:t>W</w:t>
      </w:r>
      <w:r w:rsidRPr="001E31B1">
        <w:t xml:space="preserve"> Wireless, Inc., 22 </w:t>
      </w:r>
      <w:r w:rsidR="00605697" w:rsidRPr="001E31B1">
        <w:t>FCC</w:t>
      </w:r>
      <w:r w:rsidRPr="001E31B1">
        <w:t xml:space="preserve"> Rcd. 1451, 145</w:t>
      </w:r>
      <w:r w:rsidR="00DF51EB" w:rsidRPr="001E31B1">
        <w:t>6 ¶ 10</w:t>
      </w:r>
      <w:r w:rsidRPr="001E31B1">
        <w:t xml:space="preserve"> (2007)</w:t>
      </w:r>
      <w:r w:rsidR="0046382D" w:rsidRPr="001E31B1">
        <w:t>.</w:t>
      </w:r>
    </w:p>
  </w:footnote>
  <w:footnote w:id="49">
    <w:p w14:paraId="02E8391A" w14:textId="77777777" w:rsidR="00E53A7B" w:rsidRPr="001E31B1" w:rsidRDefault="00E53A7B" w:rsidP="001E31B1">
      <w:pPr>
        <w:pStyle w:val="FootnoteText"/>
        <w:rPr>
          <w:i/>
        </w:rPr>
      </w:pPr>
      <w:r w:rsidRPr="001E31B1">
        <w:rPr>
          <w:rStyle w:val="FootnoteReference"/>
        </w:rPr>
        <w:footnoteRef/>
      </w:r>
      <w:r w:rsidRPr="001E31B1">
        <w:t xml:space="preserve"> </w:t>
      </w:r>
      <w:r w:rsidRPr="001E31B1">
        <w:rPr>
          <w:i/>
        </w:rPr>
        <w:t xml:space="preserve">See 3.5 GHz Order, </w:t>
      </w:r>
      <w:r w:rsidRPr="001E31B1">
        <w:t>30 FCC Rcd at 3961, ¶ 1.</w:t>
      </w:r>
    </w:p>
  </w:footnote>
  <w:footnote w:id="50">
    <w:p w14:paraId="4DACE891" w14:textId="77777777" w:rsidR="0072795F" w:rsidRPr="001E31B1" w:rsidRDefault="0072795F" w:rsidP="001E31B1">
      <w:pPr>
        <w:pStyle w:val="FootnoteText"/>
      </w:pPr>
      <w:r w:rsidRPr="001E31B1">
        <w:rPr>
          <w:rStyle w:val="FootnoteReference"/>
        </w:rPr>
        <w:footnoteRef/>
      </w:r>
      <w:r w:rsidRPr="001E31B1">
        <w:t xml:space="preserve"> </w:t>
      </w:r>
      <w:r w:rsidRPr="001E31B1">
        <w:rPr>
          <w:i/>
        </w:rPr>
        <w:t xml:space="preserve">See </w:t>
      </w:r>
      <w:r w:rsidRPr="001E31B1">
        <w:t>47 C.F.R. § 90.1338.</w:t>
      </w:r>
    </w:p>
  </w:footnote>
  <w:footnote w:id="51">
    <w:p w14:paraId="2D623211" w14:textId="7D0E7BE1" w:rsidR="006E1612" w:rsidRPr="001E31B1" w:rsidRDefault="006E1612" w:rsidP="001E31B1">
      <w:pPr>
        <w:pStyle w:val="FootnoteText"/>
      </w:pPr>
      <w:r w:rsidRPr="001E31B1">
        <w:rPr>
          <w:rStyle w:val="FootnoteReference"/>
        </w:rPr>
        <w:footnoteRef/>
      </w:r>
      <w:r w:rsidRPr="001E31B1">
        <w:t xml:space="preserve"> 47 C.F.R. § 96.21.</w:t>
      </w:r>
    </w:p>
  </w:footnote>
  <w:footnote w:id="52">
    <w:p w14:paraId="3FEA42FE" w14:textId="3903924A" w:rsidR="00B71956" w:rsidRPr="001E31B1" w:rsidRDefault="00B71956" w:rsidP="001E31B1">
      <w:pPr>
        <w:pStyle w:val="FootnoteText"/>
      </w:pPr>
      <w:r w:rsidRPr="001E31B1">
        <w:rPr>
          <w:rStyle w:val="FootnoteReference"/>
        </w:rPr>
        <w:footnoteRef/>
      </w:r>
      <w:r w:rsidRPr="001E31B1">
        <w:t xml:space="preserve"> In that regard, in order to comply with our rules going forward and avoid service interruption to its customers, we encourage TEACH to plan in the near term for the transition to the Citizens Broadband Radio Service.</w:t>
      </w:r>
    </w:p>
  </w:footnote>
  <w:footnote w:id="53">
    <w:p w14:paraId="53C40D11" w14:textId="207FFB33" w:rsidR="00A94B72" w:rsidRPr="001E31B1" w:rsidRDefault="00A94B72" w:rsidP="001E31B1">
      <w:pPr>
        <w:pStyle w:val="FootnoteText"/>
      </w:pPr>
      <w:r w:rsidRPr="001E31B1">
        <w:rPr>
          <w:rStyle w:val="FootnoteReference"/>
        </w:rPr>
        <w:footnoteRef/>
      </w:r>
      <w:r w:rsidRPr="001E31B1">
        <w:t xml:space="preserve"> In fact, TEACH states that it “is not seeking grandfathered status for any locations it will register, [and] its operations will not preclude use of the 3650-3700 MHz band by others.” TEACH Request at 15.</w:t>
      </w:r>
    </w:p>
  </w:footnote>
  <w:footnote w:id="54">
    <w:p w14:paraId="6F579FC4" w14:textId="671E6677" w:rsidR="006D0E87" w:rsidRPr="001E31B1" w:rsidRDefault="006D0E87" w:rsidP="001E31B1">
      <w:pPr>
        <w:pStyle w:val="FootnoteText"/>
        <w:rPr>
          <w:i/>
        </w:rPr>
      </w:pPr>
      <w:r w:rsidRPr="001E31B1">
        <w:rPr>
          <w:rStyle w:val="FootnoteReference"/>
        </w:rPr>
        <w:footnoteRef/>
      </w:r>
      <w:r w:rsidRPr="001E31B1">
        <w:t xml:space="preserve"> </w:t>
      </w:r>
      <w:r w:rsidRPr="001E31B1">
        <w:rPr>
          <w:i/>
        </w:rPr>
        <w:t xml:space="preserve">See </w:t>
      </w:r>
      <w:r w:rsidRPr="001E31B1">
        <w:t>47 C.F.R. §§ 90.1338, 96.21.</w:t>
      </w:r>
    </w:p>
  </w:footnote>
  <w:footnote w:id="55">
    <w:p w14:paraId="51EF550B" w14:textId="6247F965" w:rsidR="006E1612" w:rsidRPr="001E31B1" w:rsidRDefault="006E1612" w:rsidP="001E31B1">
      <w:pPr>
        <w:pStyle w:val="FootnoteText"/>
      </w:pPr>
      <w:r w:rsidRPr="001E31B1">
        <w:rPr>
          <w:rStyle w:val="FootnoteReference"/>
        </w:rPr>
        <w:footnoteRef/>
      </w:r>
      <w:r w:rsidRPr="001E31B1">
        <w:t xml:space="preserve"> </w:t>
      </w:r>
      <w:r w:rsidR="0059268D" w:rsidRPr="001E31B1">
        <w:t>Consistent with established Commission precedent,</w:t>
      </w:r>
      <w:r w:rsidRPr="001E31B1">
        <w:t xml:space="preserve"> we must consider each waiver on an individual basis and on the particular merits of the situation.  </w:t>
      </w:r>
      <w:r w:rsidRPr="001E31B1">
        <w:rPr>
          <w:i/>
        </w:rPr>
        <w:t xml:space="preserve">See, e.g., </w:t>
      </w:r>
      <w:r w:rsidRPr="001E31B1">
        <w:t>Northeast Cellular Telephone Co. v. FCC, 897 F.2d 1164, 1166 (D.C. Cir. 1990); WAIT Radio v. FCC, 418 F.2</w:t>
      </w:r>
      <w:r w:rsidR="0059268D" w:rsidRPr="001E31B1">
        <w:t>d 1153, 1159 (D.C. Cir. 1969).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549F" w14:textId="77777777" w:rsidR="00190304" w:rsidRDefault="00190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919E" w14:textId="7E41503C" w:rsidR="00D25FB5" w:rsidRDefault="00D25FB5" w:rsidP="00810B6F">
    <w:pPr>
      <w:pStyle w:val="Header"/>
      <w:rPr>
        <w:b w:val="0"/>
      </w:rPr>
    </w:pPr>
    <w:r>
      <w:tab/>
      <w:t>Federal Communications Commission</w:t>
    </w:r>
    <w:r>
      <w:tab/>
    </w:r>
    <w:r w:rsidR="00C67033">
      <w:t>DA 1</w:t>
    </w:r>
    <w:r w:rsidR="006320AC">
      <w:t>6</w:t>
    </w:r>
    <w:r w:rsidR="007F5F73">
      <w:t>-175</w:t>
    </w:r>
  </w:p>
  <w:p w14:paraId="79991584" w14:textId="77777777" w:rsidR="00D25FB5" w:rsidRDefault="0056331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25B970F" wp14:editId="6EBF124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DE1DB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0DB4ED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1CE6" w14:textId="565692F1" w:rsidR="00D25FB5" w:rsidRDefault="00563318" w:rsidP="00810B6F">
    <w:pPr>
      <w:pStyle w:val="Header"/>
      <w:rPr>
        <w:b w:val="0"/>
      </w:rPr>
    </w:pPr>
    <w:r>
      <w:rPr>
        <w:noProof/>
      </w:rPr>
      <mc:AlternateContent>
        <mc:Choice Requires="wps">
          <w:drawing>
            <wp:anchor distT="0" distB="0" distL="114300" distR="114300" simplePos="0" relativeHeight="251658240" behindDoc="1" locked="0" layoutInCell="0" allowOverlap="1" wp14:anchorId="332C58D3" wp14:editId="4758716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BA0F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66DFC">
      <w:rPr>
        <w:spacing w:val="-2"/>
      </w:rPr>
      <w:t>DA 1</w:t>
    </w:r>
    <w:r w:rsidR="004B3D97">
      <w:rPr>
        <w:spacing w:val="-2"/>
      </w:rPr>
      <w:t>6</w:t>
    </w:r>
    <w:r w:rsidR="007F5F73">
      <w:rPr>
        <w:spacing w:val="-2"/>
      </w:rPr>
      <w:t>-175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B8613E"/>
    <w:multiLevelType w:val="hybridMultilevel"/>
    <w:tmpl w:val="88FED9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8F458B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77"/>
    <w:rsid w:val="0001303C"/>
    <w:rsid w:val="00017FF7"/>
    <w:rsid w:val="000261C2"/>
    <w:rsid w:val="0002655E"/>
    <w:rsid w:val="00030E51"/>
    <w:rsid w:val="00036039"/>
    <w:rsid w:val="00037F90"/>
    <w:rsid w:val="0005353E"/>
    <w:rsid w:val="00060B26"/>
    <w:rsid w:val="00065AA9"/>
    <w:rsid w:val="0006607B"/>
    <w:rsid w:val="00070707"/>
    <w:rsid w:val="000875BF"/>
    <w:rsid w:val="000900CF"/>
    <w:rsid w:val="00091B46"/>
    <w:rsid w:val="00092A8D"/>
    <w:rsid w:val="00096D8C"/>
    <w:rsid w:val="000A04B9"/>
    <w:rsid w:val="000B0940"/>
    <w:rsid w:val="000B2EFE"/>
    <w:rsid w:val="000B3340"/>
    <w:rsid w:val="000C0B65"/>
    <w:rsid w:val="000E05FE"/>
    <w:rsid w:val="000E3D42"/>
    <w:rsid w:val="000F0D0E"/>
    <w:rsid w:val="000F1F4A"/>
    <w:rsid w:val="0010243C"/>
    <w:rsid w:val="001066F4"/>
    <w:rsid w:val="00107815"/>
    <w:rsid w:val="001109FE"/>
    <w:rsid w:val="00112E9D"/>
    <w:rsid w:val="00114508"/>
    <w:rsid w:val="00122BD5"/>
    <w:rsid w:val="0012310D"/>
    <w:rsid w:val="00130DEB"/>
    <w:rsid w:val="00133F79"/>
    <w:rsid w:val="001361F0"/>
    <w:rsid w:val="00136E98"/>
    <w:rsid w:val="00142E4E"/>
    <w:rsid w:val="0015132C"/>
    <w:rsid w:val="00153DBB"/>
    <w:rsid w:val="0015438E"/>
    <w:rsid w:val="00155BE0"/>
    <w:rsid w:val="001579AF"/>
    <w:rsid w:val="00166DFC"/>
    <w:rsid w:val="00170B77"/>
    <w:rsid w:val="00176B8C"/>
    <w:rsid w:val="001779FC"/>
    <w:rsid w:val="00185FF1"/>
    <w:rsid w:val="001864CD"/>
    <w:rsid w:val="00190304"/>
    <w:rsid w:val="001939F2"/>
    <w:rsid w:val="00194A66"/>
    <w:rsid w:val="00195914"/>
    <w:rsid w:val="001C1758"/>
    <w:rsid w:val="001D4599"/>
    <w:rsid w:val="001D6BCF"/>
    <w:rsid w:val="001D79B9"/>
    <w:rsid w:val="001E01CA"/>
    <w:rsid w:val="001E2EE0"/>
    <w:rsid w:val="001E31B1"/>
    <w:rsid w:val="001E419E"/>
    <w:rsid w:val="001F0A9E"/>
    <w:rsid w:val="001F65AA"/>
    <w:rsid w:val="00201E16"/>
    <w:rsid w:val="002034E3"/>
    <w:rsid w:val="002145E6"/>
    <w:rsid w:val="002404B4"/>
    <w:rsid w:val="002405BF"/>
    <w:rsid w:val="00240F36"/>
    <w:rsid w:val="00241AAC"/>
    <w:rsid w:val="00244219"/>
    <w:rsid w:val="00247EAC"/>
    <w:rsid w:val="00265A5B"/>
    <w:rsid w:val="00275CF5"/>
    <w:rsid w:val="00277458"/>
    <w:rsid w:val="0028301F"/>
    <w:rsid w:val="002835CB"/>
    <w:rsid w:val="00285017"/>
    <w:rsid w:val="0029183B"/>
    <w:rsid w:val="002A18EF"/>
    <w:rsid w:val="002A2D2E"/>
    <w:rsid w:val="002A3AD5"/>
    <w:rsid w:val="002B36BE"/>
    <w:rsid w:val="002B4DED"/>
    <w:rsid w:val="002C00E8"/>
    <w:rsid w:val="002C0C50"/>
    <w:rsid w:val="002C29C1"/>
    <w:rsid w:val="002C2CEA"/>
    <w:rsid w:val="002C3097"/>
    <w:rsid w:val="002C4F95"/>
    <w:rsid w:val="002D02B7"/>
    <w:rsid w:val="002D3094"/>
    <w:rsid w:val="002D3B7C"/>
    <w:rsid w:val="002D5A5F"/>
    <w:rsid w:val="002D776C"/>
    <w:rsid w:val="002E07F9"/>
    <w:rsid w:val="002E119A"/>
    <w:rsid w:val="00304489"/>
    <w:rsid w:val="003121CF"/>
    <w:rsid w:val="00312C7A"/>
    <w:rsid w:val="003146E8"/>
    <w:rsid w:val="00314ADB"/>
    <w:rsid w:val="0032111A"/>
    <w:rsid w:val="00342B68"/>
    <w:rsid w:val="00343749"/>
    <w:rsid w:val="003532B3"/>
    <w:rsid w:val="00361513"/>
    <w:rsid w:val="003627E3"/>
    <w:rsid w:val="003631F1"/>
    <w:rsid w:val="003648B0"/>
    <w:rsid w:val="003660ED"/>
    <w:rsid w:val="00372124"/>
    <w:rsid w:val="003777F5"/>
    <w:rsid w:val="00381AC8"/>
    <w:rsid w:val="00396232"/>
    <w:rsid w:val="00396BC6"/>
    <w:rsid w:val="003A4D2C"/>
    <w:rsid w:val="003B0550"/>
    <w:rsid w:val="003B694F"/>
    <w:rsid w:val="003C4ABF"/>
    <w:rsid w:val="003C7395"/>
    <w:rsid w:val="003D1CBC"/>
    <w:rsid w:val="003D555F"/>
    <w:rsid w:val="003E07B2"/>
    <w:rsid w:val="003E1AA2"/>
    <w:rsid w:val="003E1C9B"/>
    <w:rsid w:val="003F171C"/>
    <w:rsid w:val="003F3E28"/>
    <w:rsid w:val="00400A69"/>
    <w:rsid w:val="00401712"/>
    <w:rsid w:val="00401B59"/>
    <w:rsid w:val="00401EBC"/>
    <w:rsid w:val="0040312A"/>
    <w:rsid w:val="00412FC5"/>
    <w:rsid w:val="00422276"/>
    <w:rsid w:val="004242F1"/>
    <w:rsid w:val="00432A98"/>
    <w:rsid w:val="00433727"/>
    <w:rsid w:val="004348D6"/>
    <w:rsid w:val="00442F72"/>
    <w:rsid w:val="00445A00"/>
    <w:rsid w:val="00451B0F"/>
    <w:rsid w:val="00454C42"/>
    <w:rsid w:val="0046215F"/>
    <w:rsid w:val="0046382D"/>
    <w:rsid w:val="004675D4"/>
    <w:rsid w:val="004722DD"/>
    <w:rsid w:val="00476648"/>
    <w:rsid w:val="0048244B"/>
    <w:rsid w:val="00485E8B"/>
    <w:rsid w:val="00487061"/>
    <w:rsid w:val="004872DB"/>
    <w:rsid w:val="00487375"/>
    <w:rsid w:val="00492239"/>
    <w:rsid w:val="004924D2"/>
    <w:rsid w:val="004945BA"/>
    <w:rsid w:val="004A7A7E"/>
    <w:rsid w:val="004B3D97"/>
    <w:rsid w:val="004B63D2"/>
    <w:rsid w:val="004B6D01"/>
    <w:rsid w:val="004B74C8"/>
    <w:rsid w:val="004C2EE3"/>
    <w:rsid w:val="004C3B87"/>
    <w:rsid w:val="004D1AA3"/>
    <w:rsid w:val="004D2588"/>
    <w:rsid w:val="004D6467"/>
    <w:rsid w:val="004E4A22"/>
    <w:rsid w:val="004F07D5"/>
    <w:rsid w:val="004F37A9"/>
    <w:rsid w:val="00502543"/>
    <w:rsid w:val="00511968"/>
    <w:rsid w:val="00522F58"/>
    <w:rsid w:val="005317C8"/>
    <w:rsid w:val="00533B8E"/>
    <w:rsid w:val="00536002"/>
    <w:rsid w:val="005424DC"/>
    <w:rsid w:val="005532B3"/>
    <w:rsid w:val="00553BED"/>
    <w:rsid w:val="0055614C"/>
    <w:rsid w:val="00556892"/>
    <w:rsid w:val="00563318"/>
    <w:rsid w:val="005803A1"/>
    <w:rsid w:val="00584724"/>
    <w:rsid w:val="0059063F"/>
    <w:rsid w:val="00592357"/>
    <w:rsid w:val="0059268D"/>
    <w:rsid w:val="00596218"/>
    <w:rsid w:val="005B3427"/>
    <w:rsid w:val="005C1AC9"/>
    <w:rsid w:val="005D735F"/>
    <w:rsid w:val="005E14C2"/>
    <w:rsid w:val="005E345A"/>
    <w:rsid w:val="005E3C48"/>
    <w:rsid w:val="006020DD"/>
    <w:rsid w:val="00605697"/>
    <w:rsid w:val="00607BA5"/>
    <w:rsid w:val="0061180A"/>
    <w:rsid w:val="00624BC4"/>
    <w:rsid w:val="00626EB6"/>
    <w:rsid w:val="00627505"/>
    <w:rsid w:val="006320AC"/>
    <w:rsid w:val="00632C77"/>
    <w:rsid w:val="00633BC7"/>
    <w:rsid w:val="006350C2"/>
    <w:rsid w:val="006359E3"/>
    <w:rsid w:val="00636EB5"/>
    <w:rsid w:val="006452B4"/>
    <w:rsid w:val="006461A2"/>
    <w:rsid w:val="00646330"/>
    <w:rsid w:val="0065066F"/>
    <w:rsid w:val="00655D03"/>
    <w:rsid w:val="00660C39"/>
    <w:rsid w:val="006730F2"/>
    <w:rsid w:val="00681813"/>
    <w:rsid w:val="00683388"/>
    <w:rsid w:val="00683F84"/>
    <w:rsid w:val="00687400"/>
    <w:rsid w:val="006906BB"/>
    <w:rsid w:val="00690963"/>
    <w:rsid w:val="0069581D"/>
    <w:rsid w:val="006A5195"/>
    <w:rsid w:val="006A6A81"/>
    <w:rsid w:val="006B339D"/>
    <w:rsid w:val="006B471D"/>
    <w:rsid w:val="006D0E87"/>
    <w:rsid w:val="006E0458"/>
    <w:rsid w:val="006E1612"/>
    <w:rsid w:val="006E28A0"/>
    <w:rsid w:val="006E4343"/>
    <w:rsid w:val="006E6E6D"/>
    <w:rsid w:val="006E7E3B"/>
    <w:rsid w:val="006F56CC"/>
    <w:rsid w:val="006F7393"/>
    <w:rsid w:val="00700253"/>
    <w:rsid w:val="0070224F"/>
    <w:rsid w:val="007115F7"/>
    <w:rsid w:val="00717E60"/>
    <w:rsid w:val="00720331"/>
    <w:rsid w:val="0072795F"/>
    <w:rsid w:val="0073274B"/>
    <w:rsid w:val="007327FE"/>
    <w:rsid w:val="00741D67"/>
    <w:rsid w:val="00745E78"/>
    <w:rsid w:val="007506DD"/>
    <w:rsid w:val="00760F40"/>
    <w:rsid w:val="007612D1"/>
    <w:rsid w:val="0076298F"/>
    <w:rsid w:val="0077215A"/>
    <w:rsid w:val="00775280"/>
    <w:rsid w:val="007828A3"/>
    <w:rsid w:val="00785689"/>
    <w:rsid w:val="0079754B"/>
    <w:rsid w:val="007A1E6D"/>
    <w:rsid w:val="007A7E11"/>
    <w:rsid w:val="007B0EB2"/>
    <w:rsid w:val="007B0EC4"/>
    <w:rsid w:val="007B76FB"/>
    <w:rsid w:val="007B7889"/>
    <w:rsid w:val="007F2EF6"/>
    <w:rsid w:val="007F4923"/>
    <w:rsid w:val="007F5C1A"/>
    <w:rsid w:val="007F5F73"/>
    <w:rsid w:val="00804DCE"/>
    <w:rsid w:val="00810B6F"/>
    <w:rsid w:val="00812ED3"/>
    <w:rsid w:val="00813254"/>
    <w:rsid w:val="00813CCC"/>
    <w:rsid w:val="00814DA2"/>
    <w:rsid w:val="00822CE0"/>
    <w:rsid w:val="00826019"/>
    <w:rsid w:val="008340A0"/>
    <w:rsid w:val="008358D0"/>
    <w:rsid w:val="00836F86"/>
    <w:rsid w:val="00837555"/>
    <w:rsid w:val="00841AB1"/>
    <w:rsid w:val="00854667"/>
    <w:rsid w:val="00854C60"/>
    <w:rsid w:val="008705F0"/>
    <w:rsid w:val="008771F4"/>
    <w:rsid w:val="008853DD"/>
    <w:rsid w:val="00886B12"/>
    <w:rsid w:val="008A0217"/>
    <w:rsid w:val="008A1400"/>
    <w:rsid w:val="008A56F6"/>
    <w:rsid w:val="008A7837"/>
    <w:rsid w:val="008B2EA2"/>
    <w:rsid w:val="008B53E1"/>
    <w:rsid w:val="008B5875"/>
    <w:rsid w:val="008C68F1"/>
    <w:rsid w:val="008E21E4"/>
    <w:rsid w:val="008E41B2"/>
    <w:rsid w:val="008E6783"/>
    <w:rsid w:val="008E7765"/>
    <w:rsid w:val="008F4199"/>
    <w:rsid w:val="008F6B1C"/>
    <w:rsid w:val="009006B6"/>
    <w:rsid w:val="00913737"/>
    <w:rsid w:val="00913E92"/>
    <w:rsid w:val="009145A4"/>
    <w:rsid w:val="00921803"/>
    <w:rsid w:val="00921CE3"/>
    <w:rsid w:val="00923CF7"/>
    <w:rsid w:val="00926503"/>
    <w:rsid w:val="00941D06"/>
    <w:rsid w:val="009537B3"/>
    <w:rsid w:val="009726D8"/>
    <w:rsid w:val="009854D5"/>
    <w:rsid w:val="009A20FF"/>
    <w:rsid w:val="009A2939"/>
    <w:rsid w:val="009B427A"/>
    <w:rsid w:val="009B79D0"/>
    <w:rsid w:val="009C3D0D"/>
    <w:rsid w:val="009D2062"/>
    <w:rsid w:val="009E3971"/>
    <w:rsid w:val="009E5B33"/>
    <w:rsid w:val="009F76DB"/>
    <w:rsid w:val="00A158E2"/>
    <w:rsid w:val="00A15DD3"/>
    <w:rsid w:val="00A32C3B"/>
    <w:rsid w:val="00A41D9C"/>
    <w:rsid w:val="00A45815"/>
    <w:rsid w:val="00A45F4F"/>
    <w:rsid w:val="00A47619"/>
    <w:rsid w:val="00A600A9"/>
    <w:rsid w:val="00A61423"/>
    <w:rsid w:val="00A80DE6"/>
    <w:rsid w:val="00A85267"/>
    <w:rsid w:val="00A859DF"/>
    <w:rsid w:val="00A874A6"/>
    <w:rsid w:val="00A91F4A"/>
    <w:rsid w:val="00A94B72"/>
    <w:rsid w:val="00A97236"/>
    <w:rsid w:val="00AA55B7"/>
    <w:rsid w:val="00AA5B9E"/>
    <w:rsid w:val="00AB0D39"/>
    <w:rsid w:val="00AB2407"/>
    <w:rsid w:val="00AB53DF"/>
    <w:rsid w:val="00AB68EF"/>
    <w:rsid w:val="00AB7197"/>
    <w:rsid w:val="00AB7A91"/>
    <w:rsid w:val="00AC03D9"/>
    <w:rsid w:val="00AC1B37"/>
    <w:rsid w:val="00AC255B"/>
    <w:rsid w:val="00AD07CC"/>
    <w:rsid w:val="00AD3CE4"/>
    <w:rsid w:val="00AD532A"/>
    <w:rsid w:val="00AD6CBB"/>
    <w:rsid w:val="00AE50A5"/>
    <w:rsid w:val="00AF07A5"/>
    <w:rsid w:val="00AF1EEC"/>
    <w:rsid w:val="00B07E5C"/>
    <w:rsid w:val="00B553CB"/>
    <w:rsid w:val="00B64D9A"/>
    <w:rsid w:val="00B71956"/>
    <w:rsid w:val="00B761CD"/>
    <w:rsid w:val="00B808F7"/>
    <w:rsid w:val="00B811F7"/>
    <w:rsid w:val="00B87547"/>
    <w:rsid w:val="00B87FAF"/>
    <w:rsid w:val="00B93913"/>
    <w:rsid w:val="00B94727"/>
    <w:rsid w:val="00B95548"/>
    <w:rsid w:val="00BA5DC6"/>
    <w:rsid w:val="00BA6196"/>
    <w:rsid w:val="00BB24EA"/>
    <w:rsid w:val="00BB49AE"/>
    <w:rsid w:val="00BC22B5"/>
    <w:rsid w:val="00BC6D8C"/>
    <w:rsid w:val="00BD6F00"/>
    <w:rsid w:val="00BE3501"/>
    <w:rsid w:val="00BE5649"/>
    <w:rsid w:val="00BE6342"/>
    <w:rsid w:val="00C024FF"/>
    <w:rsid w:val="00C04B9B"/>
    <w:rsid w:val="00C13163"/>
    <w:rsid w:val="00C144BE"/>
    <w:rsid w:val="00C1596C"/>
    <w:rsid w:val="00C24218"/>
    <w:rsid w:val="00C34006"/>
    <w:rsid w:val="00C426B1"/>
    <w:rsid w:val="00C4474D"/>
    <w:rsid w:val="00C50267"/>
    <w:rsid w:val="00C51251"/>
    <w:rsid w:val="00C53DD7"/>
    <w:rsid w:val="00C54BFD"/>
    <w:rsid w:val="00C57CC8"/>
    <w:rsid w:val="00C64427"/>
    <w:rsid w:val="00C64612"/>
    <w:rsid w:val="00C66160"/>
    <w:rsid w:val="00C67033"/>
    <w:rsid w:val="00C721AC"/>
    <w:rsid w:val="00C74EDA"/>
    <w:rsid w:val="00C76BA9"/>
    <w:rsid w:val="00C83688"/>
    <w:rsid w:val="00C90D6A"/>
    <w:rsid w:val="00C93640"/>
    <w:rsid w:val="00C93E74"/>
    <w:rsid w:val="00C93F71"/>
    <w:rsid w:val="00C96A47"/>
    <w:rsid w:val="00CA247E"/>
    <w:rsid w:val="00CB0028"/>
    <w:rsid w:val="00CB0419"/>
    <w:rsid w:val="00CB1021"/>
    <w:rsid w:val="00CB4BC0"/>
    <w:rsid w:val="00CB5BC9"/>
    <w:rsid w:val="00CC6094"/>
    <w:rsid w:val="00CC72B6"/>
    <w:rsid w:val="00CC76E9"/>
    <w:rsid w:val="00CD0774"/>
    <w:rsid w:val="00CF07D4"/>
    <w:rsid w:val="00CF1441"/>
    <w:rsid w:val="00CF3055"/>
    <w:rsid w:val="00CF3ECC"/>
    <w:rsid w:val="00CF5F28"/>
    <w:rsid w:val="00D0218D"/>
    <w:rsid w:val="00D25FB5"/>
    <w:rsid w:val="00D41A6A"/>
    <w:rsid w:val="00D44223"/>
    <w:rsid w:val="00D455FB"/>
    <w:rsid w:val="00D500A7"/>
    <w:rsid w:val="00D52D49"/>
    <w:rsid w:val="00D57544"/>
    <w:rsid w:val="00D83C08"/>
    <w:rsid w:val="00D95DCB"/>
    <w:rsid w:val="00D9794C"/>
    <w:rsid w:val="00DA11FD"/>
    <w:rsid w:val="00DA2529"/>
    <w:rsid w:val="00DB130A"/>
    <w:rsid w:val="00DB1C6F"/>
    <w:rsid w:val="00DB204A"/>
    <w:rsid w:val="00DB2EBB"/>
    <w:rsid w:val="00DB6993"/>
    <w:rsid w:val="00DC10A1"/>
    <w:rsid w:val="00DC5C67"/>
    <w:rsid w:val="00DC655F"/>
    <w:rsid w:val="00DD0B59"/>
    <w:rsid w:val="00DD7EBD"/>
    <w:rsid w:val="00DE5CD6"/>
    <w:rsid w:val="00DF51EB"/>
    <w:rsid w:val="00DF62B6"/>
    <w:rsid w:val="00E02CD8"/>
    <w:rsid w:val="00E04389"/>
    <w:rsid w:val="00E07225"/>
    <w:rsid w:val="00E206AF"/>
    <w:rsid w:val="00E22CEF"/>
    <w:rsid w:val="00E41B0A"/>
    <w:rsid w:val="00E53A7B"/>
    <w:rsid w:val="00E5409F"/>
    <w:rsid w:val="00E56AD8"/>
    <w:rsid w:val="00E606B5"/>
    <w:rsid w:val="00E718AE"/>
    <w:rsid w:val="00E77738"/>
    <w:rsid w:val="00E84673"/>
    <w:rsid w:val="00E91DA5"/>
    <w:rsid w:val="00E979F1"/>
    <w:rsid w:val="00EB3C90"/>
    <w:rsid w:val="00ED1F20"/>
    <w:rsid w:val="00ED6DED"/>
    <w:rsid w:val="00EE4D12"/>
    <w:rsid w:val="00EE6488"/>
    <w:rsid w:val="00F001C2"/>
    <w:rsid w:val="00F021FA"/>
    <w:rsid w:val="00F056FD"/>
    <w:rsid w:val="00F062AF"/>
    <w:rsid w:val="00F066E2"/>
    <w:rsid w:val="00F16C0A"/>
    <w:rsid w:val="00F23040"/>
    <w:rsid w:val="00F363C0"/>
    <w:rsid w:val="00F37A63"/>
    <w:rsid w:val="00F460E9"/>
    <w:rsid w:val="00F47611"/>
    <w:rsid w:val="00F47CB7"/>
    <w:rsid w:val="00F57268"/>
    <w:rsid w:val="00F62E97"/>
    <w:rsid w:val="00F64209"/>
    <w:rsid w:val="00F71D1A"/>
    <w:rsid w:val="00F71F0B"/>
    <w:rsid w:val="00F735C1"/>
    <w:rsid w:val="00F80423"/>
    <w:rsid w:val="00F93BF5"/>
    <w:rsid w:val="00F94B00"/>
    <w:rsid w:val="00F97059"/>
    <w:rsid w:val="00FA2428"/>
    <w:rsid w:val="00FC785C"/>
    <w:rsid w:val="00FD5037"/>
    <w:rsid w:val="00FE0706"/>
    <w:rsid w:val="00FE522C"/>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9F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AD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rsid w:val="00D95DCB"/>
  </w:style>
  <w:style w:type="paragraph" w:styleId="NormalWeb">
    <w:name w:val="Normal (Web)"/>
    <w:basedOn w:val="Normal"/>
    <w:rsid w:val="003E1C9B"/>
    <w:rPr>
      <w:sz w:val="24"/>
      <w:szCs w:val="24"/>
    </w:rPr>
  </w:style>
  <w:style w:type="paragraph" w:styleId="BalloonText">
    <w:name w:val="Balloon Text"/>
    <w:basedOn w:val="Normal"/>
    <w:link w:val="BalloonTextChar"/>
    <w:rsid w:val="002C4F95"/>
    <w:rPr>
      <w:rFonts w:ascii="Segoe UI" w:hAnsi="Segoe UI" w:cs="Segoe UI"/>
      <w:sz w:val="18"/>
      <w:szCs w:val="18"/>
    </w:rPr>
  </w:style>
  <w:style w:type="character" w:customStyle="1" w:styleId="BalloonTextChar">
    <w:name w:val="Balloon Text Char"/>
    <w:basedOn w:val="DefaultParagraphFont"/>
    <w:link w:val="BalloonText"/>
    <w:rsid w:val="002C4F95"/>
    <w:rPr>
      <w:rFonts w:ascii="Segoe UI" w:hAnsi="Segoe UI" w:cs="Segoe UI"/>
      <w:snapToGrid w:val="0"/>
      <w:kern w:val="28"/>
      <w:sz w:val="18"/>
      <w:szCs w:val="18"/>
    </w:rPr>
  </w:style>
  <w:style w:type="character" w:styleId="CommentReference">
    <w:name w:val="annotation reference"/>
    <w:basedOn w:val="DefaultParagraphFont"/>
    <w:rsid w:val="00E77738"/>
    <w:rPr>
      <w:sz w:val="16"/>
      <w:szCs w:val="16"/>
    </w:rPr>
  </w:style>
  <w:style w:type="paragraph" w:styleId="CommentText">
    <w:name w:val="annotation text"/>
    <w:basedOn w:val="Normal"/>
    <w:link w:val="CommentTextChar"/>
    <w:rsid w:val="00E77738"/>
    <w:rPr>
      <w:sz w:val="20"/>
    </w:rPr>
  </w:style>
  <w:style w:type="character" w:customStyle="1" w:styleId="CommentTextChar">
    <w:name w:val="Comment Text Char"/>
    <w:basedOn w:val="DefaultParagraphFont"/>
    <w:link w:val="CommentText"/>
    <w:rsid w:val="00E77738"/>
    <w:rPr>
      <w:snapToGrid w:val="0"/>
      <w:kern w:val="28"/>
    </w:rPr>
  </w:style>
  <w:style w:type="paragraph" w:styleId="CommentSubject">
    <w:name w:val="annotation subject"/>
    <w:basedOn w:val="CommentText"/>
    <w:next w:val="CommentText"/>
    <w:link w:val="CommentSubjectChar"/>
    <w:rsid w:val="00E77738"/>
    <w:rPr>
      <w:b/>
      <w:bCs/>
    </w:rPr>
  </w:style>
  <w:style w:type="character" w:customStyle="1" w:styleId="CommentSubjectChar">
    <w:name w:val="Comment Subject Char"/>
    <w:basedOn w:val="CommentTextChar"/>
    <w:link w:val="CommentSubject"/>
    <w:rsid w:val="00E77738"/>
    <w:rPr>
      <w:b/>
      <w:bCs/>
      <w:snapToGrid w:val="0"/>
      <w:kern w:val="28"/>
    </w:rPr>
  </w:style>
  <w:style w:type="paragraph" w:styleId="ListParagraph">
    <w:name w:val="List Paragraph"/>
    <w:basedOn w:val="Normal"/>
    <w:uiPriority w:val="34"/>
    <w:qFormat/>
    <w:rsid w:val="003C7395"/>
    <w:pPr>
      <w:widowControl/>
      <w:ind w:left="720"/>
      <w:contextualSpacing/>
    </w:pPr>
    <w:rPr>
      <w:snapToGrid/>
      <w:kern w:val="0"/>
    </w:rPr>
  </w:style>
  <w:style w:type="paragraph" w:styleId="Revision">
    <w:name w:val="Revision"/>
    <w:hidden/>
    <w:uiPriority w:val="99"/>
    <w:semiHidden/>
    <w:rsid w:val="001579A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56AD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rsid w:val="00D95DCB"/>
  </w:style>
  <w:style w:type="paragraph" w:styleId="NormalWeb">
    <w:name w:val="Normal (Web)"/>
    <w:basedOn w:val="Normal"/>
    <w:rsid w:val="003E1C9B"/>
    <w:rPr>
      <w:sz w:val="24"/>
      <w:szCs w:val="24"/>
    </w:rPr>
  </w:style>
  <w:style w:type="paragraph" w:styleId="BalloonText">
    <w:name w:val="Balloon Text"/>
    <w:basedOn w:val="Normal"/>
    <w:link w:val="BalloonTextChar"/>
    <w:rsid w:val="002C4F95"/>
    <w:rPr>
      <w:rFonts w:ascii="Segoe UI" w:hAnsi="Segoe UI" w:cs="Segoe UI"/>
      <w:sz w:val="18"/>
      <w:szCs w:val="18"/>
    </w:rPr>
  </w:style>
  <w:style w:type="character" w:customStyle="1" w:styleId="BalloonTextChar">
    <w:name w:val="Balloon Text Char"/>
    <w:basedOn w:val="DefaultParagraphFont"/>
    <w:link w:val="BalloonText"/>
    <w:rsid w:val="002C4F95"/>
    <w:rPr>
      <w:rFonts w:ascii="Segoe UI" w:hAnsi="Segoe UI" w:cs="Segoe UI"/>
      <w:snapToGrid w:val="0"/>
      <w:kern w:val="28"/>
      <w:sz w:val="18"/>
      <w:szCs w:val="18"/>
    </w:rPr>
  </w:style>
  <w:style w:type="character" w:styleId="CommentReference">
    <w:name w:val="annotation reference"/>
    <w:basedOn w:val="DefaultParagraphFont"/>
    <w:rsid w:val="00E77738"/>
    <w:rPr>
      <w:sz w:val="16"/>
      <w:szCs w:val="16"/>
    </w:rPr>
  </w:style>
  <w:style w:type="paragraph" w:styleId="CommentText">
    <w:name w:val="annotation text"/>
    <w:basedOn w:val="Normal"/>
    <w:link w:val="CommentTextChar"/>
    <w:rsid w:val="00E77738"/>
    <w:rPr>
      <w:sz w:val="20"/>
    </w:rPr>
  </w:style>
  <w:style w:type="character" w:customStyle="1" w:styleId="CommentTextChar">
    <w:name w:val="Comment Text Char"/>
    <w:basedOn w:val="DefaultParagraphFont"/>
    <w:link w:val="CommentText"/>
    <w:rsid w:val="00E77738"/>
    <w:rPr>
      <w:snapToGrid w:val="0"/>
      <w:kern w:val="28"/>
    </w:rPr>
  </w:style>
  <w:style w:type="paragraph" w:styleId="CommentSubject">
    <w:name w:val="annotation subject"/>
    <w:basedOn w:val="CommentText"/>
    <w:next w:val="CommentText"/>
    <w:link w:val="CommentSubjectChar"/>
    <w:rsid w:val="00E77738"/>
    <w:rPr>
      <w:b/>
      <w:bCs/>
    </w:rPr>
  </w:style>
  <w:style w:type="character" w:customStyle="1" w:styleId="CommentSubjectChar">
    <w:name w:val="Comment Subject Char"/>
    <w:basedOn w:val="CommentTextChar"/>
    <w:link w:val="CommentSubject"/>
    <w:rsid w:val="00E77738"/>
    <w:rPr>
      <w:b/>
      <w:bCs/>
      <w:snapToGrid w:val="0"/>
      <w:kern w:val="28"/>
    </w:rPr>
  </w:style>
  <w:style w:type="paragraph" w:styleId="ListParagraph">
    <w:name w:val="List Paragraph"/>
    <w:basedOn w:val="Normal"/>
    <w:uiPriority w:val="34"/>
    <w:qFormat/>
    <w:rsid w:val="003C7395"/>
    <w:pPr>
      <w:widowControl/>
      <w:ind w:left="720"/>
      <w:contextualSpacing/>
    </w:pPr>
    <w:rPr>
      <w:snapToGrid/>
      <w:kern w:val="0"/>
    </w:rPr>
  </w:style>
  <w:style w:type="paragraph" w:styleId="Revision">
    <w:name w:val="Revision"/>
    <w:hidden/>
    <w:uiPriority w:val="99"/>
    <w:semiHidden/>
    <w:rsid w:val="001579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2617">
      <w:bodyDiv w:val="1"/>
      <w:marLeft w:val="0"/>
      <w:marRight w:val="0"/>
      <w:marTop w:val="0"/>
      <w:marBottom w:val="0"/>
      <w:divBdr>
        <w:top w:val="none" w:sz="0" w:space="0" w:color="auto"/>
        <w:left w:val="none" w:sz="0" w:space="0" w:color="auto"/>
        <w:bottom w:val="none" w:sz="0" w:space="0" w:color="auto"/>
        <w:right w:val="none" w:sz="0" w:space="0" w:color="auto"/>
      </w:divBdr>
      <w:divsChild>
        <w:div w:id="713819545">
          <w:marLeft w:val="0"/>
          <w:marRight w:val="0"/>
          <w:marTop w:val="0"/>
          <w:marBottom w:val="0"/>
          <w:divBdr>
            <w:top w:val="none" w:sz="0" w:space="0" w:color="auto"/>
            <w:left w:val="none" w:sz="0" w:space="0" w:color="auto"/>
            <w:bottom w:val="none" w:sz="0" w:space="0" w:color="auto"/>
            <w:right w:val="none" w:sz="0" w:space="0" w:color="auto"/>
          </w:divBdr>
        </w:div>
        <w:div w:id="1392995595">
          <w:marLeft w:val="0"/>
          <w:marRight w:val="0"/>
          <w:marTop w:val="0"/>
          <w:marBottom w:val="0"/>
          <w:divBdr>
            <w:top w:val="none" w:sz="0" w:space="0" w:color="auto"/>
            <w:left w:val="none" w:sz="0" w:space="0" w:color="auto"/>
            <w:bottom w:val="none" w:sz="0" w:space="0" w:color="auto"/>
            <w:right w:val="none" w:sz="0" w:space="0" w:color="auto"/>
          </w:divBdr>
        </w:div>
        <w:div w:id="1607883201">
          <w:marLeft w:val="0"/>
          <w:marRight w:val="0"/>
          <w:marTop w:val="0"/>
          <w:marBottom w:val="0"/>
          <w:divBdr>
            <w:top w:val="none" w:sz="0" w:space="0" w:color="auto"/>
            <w:left w:val="none" w:sz="0" w:space="0" w:color="auto"/>
            <w:bottom w:val="none" w:sz="0" w:space="0" w:color="auto"/>
            <w:right w:val="none" w:sz="0" w:space="0" w:color="auto"/>
          </w:divBdr>
        </w:div>
      </w:divsChild>
    </w:div>
    <w:div w:id="19400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10683</Characters>
  <Application>Microsoft Office Word</Application>
  <DocSecurity>0</DocSecurity>
  <Lines>172</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2016-02-19T13:52:00Z</dcterms:created>
  <dcterms:modified xsi:type="dcterms:W3CDTF">2016-02-19T13:52:00Z</dcterms:modified>
  <cp:category> </cp:category>
  <cp:contentStatus> </cp:contentStatus>
</cp:coreProperties>
</file>