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E8" w:rsidRDefault="00595360">
      <w:pPr>
        <w:pStyle w:val="Title"/>
        <w:rPr>
          <w:szCs w:val="22"/>
        </w:rPr>
      </w:pPr>
      <w:bookmarkStart w:id="0" w:name="_GoBack"/>
      <w:bookmarkEnd w:id="0"/>
      <w:r>
        <w:rPr>
          <w:szCs w:val="22"/>
        </w:rPr>
        <w:t>Before the</w:t>
      </w:r>
    </w:p>
    <w:p w:rsidR="00F90BE8" w:rsidRDefault="00595360">
      <w:pPr>
        <w:pStyle w:val="Title"/>
        <w:rPr>
          <w:szCs w:val="22"/>
        </w:rPr>
      </w:pPr>
      <w:r>
        <w:rPr>
          <w:szCs w:val="22"/>
        </w:rPr>
        <w:t>Federal Communications Commission</w:t>
      </w:r>
    </w:p>
    <w:p w:rsidR="00F90BE8" w:rsidRDefault="00595360">
      <w:pPr>
        <w:pStyle w:val="Title"/>
        <w:rPr>
          <w:szCs w:val="22"/>
        </w:rPr>
      </w:pPr>
      <w:r>
        <w:rPr>
          <w:szCs w:val="22"/>
        </w:rPr>
        <w:t>Washington, D.C. 20554</w:t>
      </w:r>
    </w:p>
    <w:p w:rsidR="00F90BE8" w:rsidRDefault="00F90BE8">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tc>
          <w:tcPr>
            <w:tcW w:w="4698" w:type="dxa"/>
          </w:tcPr>
          <w:p w:rsidR="00F90BE8" w:rsidRDefault="00595360">
            <w:pPr>
              <w:tabs>
                <w:tab w:val="center" w:pos="4680"/>
              </w:tabs>
              <w:suppressAutoHyphens/>
              <w:rPr>
                <w:spacing w:val="-2"/>
                <w:szCs w:val="22"/>
              </w:rPr>
            </w:pPr>
            <w:r>
              <w:rPr>
                <w:spacing w:val="-2"/>
                <w:szCs w:val="22"/>
              </w:rPr>
              <w:t>In the Matter of</w:t>
            </w:r>
          </w:p>
          <w:p w:rsidR="00F90BE8" w:rsidRDefault="00F90BE8">
            <w:pPr>
              <w:tabs>
                <w:tab w:val="center" w:pos="4680"/>
              </w:tabs>
              <w:suppressAutoHyphens/>
              <w:rPr>
                <w:spacing w:val="-2"/>
                <w:szCs w:val="22"/>
              </w:rPr>
            </w:pPr>
          </w:p>
          <w:p w:rsidR="00F90BE8" w:rsidRDefault="00D21F23">
            <w:pPr>
              <w:pStyle w:val="BodyText"/>
              <w:numPr>
                <w:ilvl w:val="0"/>
                <w:numId w:val="0"/>
              </w:numPr>
              <w:rPr>
                <w:szCs w:val="22"/>
              </w:rPr>
            </w:pPr>
            <w:r>
              <w:rPr>
                <w:szCs w:val="22"/>
              </w:rPr>
              <w:t xml:space="preserve">Comcast Cable Communications, LLC </w:t>
            </w:r>
          </w:p>
          <w:p w:rsidR="00F90BE8" w:rsidRDefault="00F90BE8">
            <w:pPr>
              <w:pStyle w:val="BodyText"/>
              <w:numPr>
                <w:ilvl w:val="0"/>
                <w:numId w:val="0"/>
              </w:numPr>
              <w:rPr>
                <w:szCs w:val="22"/>
              </w:rPr>
            </w:pPr>
          </w:p>
          <w:p w:rsidR="00F90BE8" w:rsidRDefault="00595360" w:rsidP="00D21F23">
            <w:pPr>
              <w:pStyle w:val="BodyText"/>
              <w:numPr>
                <w:ilvl w:val="0"/>
                <w:numId w:val="0"/>
              </w:numPr>
              <w:rPr>
                <w:b/>
                <w:szCs w:val="22"/>
              </w:rPr>
            </w:pPr>
            <w:r>
              <w:rPr>
                <w:szCs w:val="22"/>
              </w:rPr>
              <w:t xml:space="preserve">Petition for Determination of Effective Competition in </w:t>
            </w:r>
            <w:r w:rsidR="00D21F23">
              <w:rPr>
                <w:szCs w:val="22"/>
              </w:rPr>
              <w:t>Five Washington Franchise Areas</w:t>
            </w:r>
          </w:p>
        </w:tc>
        <w:tc>
          <w:tcPr>
            <w:tcW w:w="630" w:type="dxa"/>
          </w:tcPr>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tc>
        <w:tc>
          <w:tcPr>
            <w:tcW w:w="4248" w:type="dxa"/>
          </w:tcPr>
          <w:p w:rsidR="00F90BE8" w:rsidRDefault="00595360">
            <w:pPr>
              <w:tabs>
                <w:tab w:val="center" w:pos="4680"/>
              </w:tabs>
              <w:suppressAutoHyphens/>
              <w:rPr>
                <w:spacing w:val="-2"/>
                <w:szCs w:val="22"/>
              </w:rPr>
            </w:pPr>
            <w:r>
              <w:rPr>
                <w:spacing w:val="-2"/>
                <w:szCs w:val="22"/>
              </w:rPr>
              <w:t xml:space="preserve">          </w:t>
            </w:r>
          </w:p>
          <w:p w:rsidR="00D21F23" w:rsidRDefault="00595360">
            <w:pPr>
              <w:tabs>
                <w:tab w:val="center" w:pos="4680"/>
              </w:tabs>
              <w:suppressAutoHyphens/>
              <w:rPr>
                <w:spacing w:val="-2"/>
                <w:szCs w:val="22"/>
              </w:rPr>
            </w:pPr>
            <w:r>
              <w:rPr>
                <w:spacing w:val="-2"/>
                <w:szCs w:val="22"/>
              </w:rPr>
              <w:t xml:space="preserve">           </w:t>
            </w:r>
          </w:p>
          <w:p w:rsidR="00D21F23" w:rsidRDefault="00D21F23">
            <w:pPr>
              <w:tabs>
                <w:tab w:val="center" w:pos="4680"/>
              </w:tabs>
              <w:suppressAutoHyphens/>
              <w:rPr>
                <w:spacing w:val="-2"/>
                <w:szCs w:val="22"/>
              </w:rPr>
            </w:pPr>
          </w:p>
          <w:p w:rsidR="00F90BE8" w:rsidRDefault="00595360">
            <w:pPr>
              <w:tabs>
                <w:tab w:val="center" w:pos="4680"/>
              </w:tabs>
              <w:suppressAutoHyphens/>
              <w:rPr>
                <w:spacing w:val="-2"/>
                <w:szCs w:val="22"/>
              </w:rPr>
            </w:pPr>
            <w:r>
              <w:rPr>
                <w:spacing w:val="-2"/>
                <w:szCs w:val="22"/>
              </w:rPr>
              <w:t>CSR 8</w:t>
            </w:r>
            <w:r w:rsidR="00D21F23">
              <w:rPr>
                <w:spacing w:val="-2"/>
                <w:szCs w:val="22"/>
              </w:rPr>
              <w:t>859</w:t>
            </w:r>
            <w:r>
              <w:rPr>
                <w:spacing w:val="-2"/>
                <w:szCs w:val="22"/>
              </w:rPr>
              <w:t>-E</w:t>
            </w:r>
            <w:r w:rsidR="00D21F23">
              <w:rPr>
                <w:spacing w:val="-2"/>
                <w:szCs w:val="22"/>
              </w:rPr>
              <w:t>, MB Docket No. 13-310</w:t>
            </w:r>
          </w:p>
          <w:p w:rsidR="00F90BE8" w:rsidRDefault="00595360" w:rsidP="00D21F23">
            <w:pPr>
              <w:tabs>
                <w:tab w:val="center" w:pos="4680"/>
              </w:tabs>
              <w:suppressAutoHyphens/>
              <w:rPr>
                <w:spacing w:val="-2"/>
                <w:szCs w:val="22"/>
              </w:rPr>
            </w:pPr>
            <w:r>
              <w:rPr>
                <w:spacing w:val="-2"/>
                <w:szCs w:val="22"/>
              </w:rPr>
              <w:t xml:space="preserve">           </w:t>
            </w:r>
          </w:p>
          <w:p w:rsidR="00F90BE8" w:rsidRDefault="00595360">
            <w:pPr>
              <w:pStyle w:val="EndnoteText"/>
              <w:tabs>
                <w:tab w:val="center" w:pos="4680"/>
              </w:tabs>
              <w:suppressAutoHyphens/>
              <w:spacing w:after="0"/>
              <w:rPr>
                <w:spacing w:val="-2"/>
                <w:szCs w:val="22"/>
              </w:rPr>
            </w:pPr>
            <w:r>
              <w:rPr>
                <w:spacing w:val="-2"/>
                <w:szCs w:val="22"/>
              </w:rPr>
              <w:t xml:space="preserve">           </w:t>
            </w:r>
          </w:p>
        </w:tc>
      </w:tr>
    </w:tbl>
    <w:p w:rsidR="00F90BE8" w:rsidRDefault="00F90BE8">
      <w:pPr>
        <w:pStyle w:val="Title"/>
        <w:rPr>
          <w:szCs w:val="22"/>
        </w:rPr>
      </w:pPr>
    </w:p>
    <w:p w:rsidR="00F90BE8" w:rsidRDefault="00595360">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rsidR="00F90BE8" w:rsidRDefault="00F90BE8">
      <w:pPr>
        <w:tabs>
          <w:tab w:val="left" w:pos="720"/>
          <w:tab w:val="left" w:pos="5760"/>
        </w:tabs>
        <w:suppressAutoHyphens/>
        <w:spacing w:line="227" w:lineRule="auto"/>
        <w:rPr>
          <w:b/>
          <w:spacing w:val="-2"/>
          <w:szCs w:val="22"/>
        </w:rPr>
      </w:pPr>
    </w:p>
    <w:p w:rsidR="00F90BE8" w:rsidRDefault="00595360">
      <w:pPr>
        <w:tabs>
          <w:tab w:val="left" w:pos="720"/>
          <w:tab w:val="left" w:pos="5760"/>
        </w:tabs>
        <w:suppressAutoHyphens/>
        <w:spacing w:line="227" w:lineRule="auto"/>
        <w:rPr>
          <w:b/>
          <w:spacing w:val="-2"/>
          <w:szCs w:val="22"/>
        </w:rPr>
      </w:pPr>
      <w:r>
        <w:rPr>
          <w:b/>
          <w:spacing w:val="-2"/>
          <w:szCs w:val="22"/>
        </w:rPr>
        <w:t xml:space="preserve">Adopted:  </w:t>
      </w:r>
      <w:r w:rsidR="007B38B2">
        <w:rPr>
          <w:b/>
          <w:spacing w:val="-2"/>
          <w:szCs w:val="22"/>
        </w:rPr>
        <w:t xml:space="preserve">February </w:t>
      </w:r>
      <w:r w:rsidR="008345DE">
        <w:rPr>
          <w:b/>
          <w:spacing w:val="-2"/>
          <w:szCs w:val="22"/>
        </w:rPr>
        <w:t>18</w:t>
      </w:r>
      <w:r>
        <w:rPr>
          <w:b/>
          <w:spacing w:val="-2"/>
          <w:szCs w:val="22"/>
        </w:rPr>
        <w:t xml:space="preserve">, 2016         </w:t>
      </w:r>
      <w:r w:rsidR="00FD54DD">
        <w:rPr>
          <w:b/>
          <w:spacing w:val="-2"/>
          <w:szCs w:val="22"/>
        </w:rPr>
        <w:tab/>
      </w:r>
      <w:r w:rsidR="007B38B2">
        <w:rPr>
          <w:b/>
          <w:spacing w:val="-2"/>
          <w:szCs w:val="22"/>
        </w:rPr>
        <w:t xml:space="preserve">                 </w:t>
      </w:r>
      <w:r>
        <w:rPr>
          <w:b/>
          <w:spacing w:val="-2"/>
          <w:szCs w:val="22"/>
        </w:rPr>
        <w:t xml:space="preserve">Released:  </w:t>
      </w:r>
      <w:r w:rsidR="007B38B2">
        <w:rPr>
          <w:b/>
          <w:spacing w:val="-2"/>
          <w:szCs w:val="22"/>
        </w:rPr>
        <w:t xml:space="preserve">February </w:t>
      </w:r>
      <w:r w:rsidR="008345DE">
        <w:rPr>
          <w:b/>
          <w:spacing w:val="-2"/>
          <w:szCs w:val="22"/>
        </w:rPr>
        <w:t>19</w:t>
      </w:r>
      <w:r w:rsidR="007B38B2">
        <w:rPr>
          <w:b/>
          <w:spacing w:val="-2"/>
          <w:szCs w:val="22"/>
        </w:rPr>
        <w:t>,</w:t>
      </w:r>
      <w:r>
        <w:rPr>
          <w:b/>
          <w:spacing w:val="-2"/>
          <w:szCs w:val="22"/>
        </w:rPr>
        <w:t xml:space="preserve"> 2016</w:t>
      </w:r>
    </w:p>
    <w:p w:rsidR="00F90BE8" w:rsidRDefault="00F90BE8">
      <w:pPr>
        <w:rPr>
          <w:szCs w:val="22"/>
        </w:rPr>
      </w:pPr>
    </w:p>
    <w:p w:rsidR="00F90BE8" w:rsidRDefault="00595360">
      <w:pPr>
        <w:rPr>
          <w:spacing w:val="-2"/>
          <w:szCs w:val="22"/>
        </w:rPr>
      </w:pPr>
      <w:r>
        <w:rPr>
          <w:szCs w:val="22"/>
        </w:rPr>
        <w:t xml:space="preserve">By the Senior </w:t>
      </w:r>
      <w:r>
        <w:rPr>
          <w:spacing w:val="-2"/>
          <w:szCs w:val="22"/>
        </w:rPr>
        <w:t>Deputy Chief, Policy Division, Media Bureau:</w:t>
      </w:r>
    </w:p>
    <w:p w:rsidR="00F90BE8" w:rsidRDefault="00F90BE8">
      <w:pPr>
        <w:rPr>
          <w:spacing w:val="-2"/>
          <w:szCs w:val="22"/>
        </w:rPr>
      </w:pPr>
    </w:p>
    <w:p w:rsidR="00F90BE8" w:rsidRDefault="00595360">
      <w:pPr>
        <w:pStyle w:val="Heading1"/>
        <w:jc w:val="left"/>
        <w:rPr>
          <w:szCs w:val="22"/>
        </w:rPr>
      </w:pPr>
      <w:r>
        <w:rPr>
          <w:szCs w:val="22"/>
        </w:rPr>
        <w:t>introduction and Background</w:t>
      </w:r>
    </w:p>
    <w:p w:rsidR="00F90BE8" w:rsidRDefault="00A23D9A">
      <w:pPr>
        <w:pStyle w:val="ParaNum"/>
        <w:jc w:val="left"/>
      </w:pPr>
      <w:r>
        <w:t xml:space="preserve">Comcast Cable Communications, LLC </w:t>
      </w:r>
      <w:r w:rsidR="00595360">
        <w:t>(“</w:t>
      </w:r>
      <w:r>
        <w:t>Comcast</w:t>
      </w:r>
      <w:r w:rsidR="00595360">
        <w:t xml:space="preserve">”) has filed with the Commission </w:t>
      </w:r>
      <w:r>
        <w:t xml:space="preserve">a </w:t>
      </w:r>
      <w:r w:rsidR="00595360">
        <w:t xml:space="preserve">petition pursuant to Sections 76.7, 76.905(b)(2) and 76.907 of the Commission’s rules for a determination that </w:t>
      </w:r>
      <w:r w:rsidR="00685EB3">
        <w:t>Comcast i</w:t>
      </w:r>
      <w:r w:rsidR="00595360">
        <w:t xml:space="preserve">s subject to effective competition in the communities listed on Attachment A (the “Communities”).  </w:t>
      </w:r>
      <w:r w:rsidR="00B67492">
        <w:t>Comcast</w:t>
      </w:r>
      <w:r w:rsidR="00595360">
        <w:rPr>
          <w:b/>
        </w:rPr>
        <w:t xml:space="preserve"> </w:t>
      </w:r>
      <w:r w:rsidR="00595360">
        <w:t>alleges that its cable systems serving the Communities are subject to effective competition pursuant to Section 623(</w:t>
      </w:r>
      <w:r w:rsidR="00F35A46">
        <w:t>l</w:t>
      </w:r>
      <w:r w:rsidR="00595360">
        <w:t>)(1)(B) of the Communications Act of 1934, as amended (“Communications Act”),</w:t>
      </w:r>
      <w:r w:rsidR="009D41CB">
        <w:rPr>
          <w:rStyle w:val="FootnoteReference"/>
        </w:rPr>
        <w:footnoteReference w:id="2"/>
      </w:r>
      <w:r w:rsidR="00595360">
        <w:t xml:space="preserve"> and the Commission’s implementing rules,</w:t>
      </w:r>
      <w:r w:rsidR="009D41CB">
        <w:rPr>
          <w:rStyle w:val="FootnoteReference"/>
        </w:rPr>
        <w:footnoteReference w:id="3"/>
      </w:r>
      <w:r w:rsidR="00595360">
        <w:t xml:space="preserve"> and that it is therefore exempt from cable rate regulation in the Communities because of the competing service provided by two direct broadcast satellite (“DBS”) providers, DIRECTV, Inc. (“DIRECTV”) and DISH Network (“DISH”).  </w:t>
      </w:r>
      <w:r w:rsidR="00280611">
        <w:t>The City of Airway Heights, Washington and the City of Spokane, Washington filed Oppositions to the Petition</w:t>
      </w:r>
      <w:r w:rsidR="00A472FB">
        <w:t xml:space="preserve"> (the “Cities”)</w:t>
      </w:r>
      <w:r w:rsidR="00280611">
        <w:t xml:space="preserve">.  </w:t>
      </w:r>
      <w:r w:rsidR="005E5C07">
        <w:t xml:space="preserve">Patricia Crandall also filed a “Customer Ex Parte Opposition” </w:t>
      </w:r>
      <w:r w:rsidR="006D08BF">
        <w:t xml:space="preserve">letter </w:t>
      </w:r>
      <w:r w:rsidR="005E5C07">
        <w:t xml:space="preserve">to the Petition.   </w:t>
      </w:r>
      <w:r w:rsidR="00280611">
        <w:t xml:space="preserve"> </w:t>
      </w:r>
    </w:p>
    <w:p w:rsidR="00F90BE8" w:rsidRDefault="00595360">
      <w:pPr>
        <w:pStyle w:val="ParaNum"/>
        <w:jc w:val="left"/>
      </w:pPr>
      <w:r>
        <w:t>In June 2015, a Commission order adopted a rebuttable presumption that cable operators are subject to one type of effective competition, commonly referred to as competing provider effective competition.</w:t>
      </w:r>
      <w:r w:rsidR="008861C3">
        <w:rPr>
          <w:rStyle w:val="FootnoteReference"/>
        </w:rPr>
        <w:footnoteReference w:id="4"/>
      </w:r>
      <w:r>
        <w:t xml:space="preserve"> </w:t>
      </w:r>
      <w:r w:rsidR="009D41CB">
        <w:t xml:space="preserve"> A</w:t>
      </w:r>
      <w:r>
        <w:t>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sidR="006758C4">
        <w:rPr>
          <w:rStyle w:val="FootnoteReference"/>
        </w:rPr>
        <w:footnoteReference w:id="5"/>
      </w:r>
      <w:r>
        <w:t xml:space="preserve">  For the reasons set forth below, we grant </w:t>
      </w:r>
      <w:r w:rsidR="00F959EA">
        <w:t xml:space="preserve">Comcast’s </w:t>
      </w:r>
      <w:r>
        <w:t xml:space="preserve">petition. </w:t>
      </w:r>
    </w:p>
    <w:p w:rsidR="00F90BE8" w:rsidRDefault="00595360">
      <w:pPr>
        <w:pStyle w:val="Heading1"/>
        <w:jc w:val="left"/>
        <w:rPr>
          <w:szCs w:val="22"/>
        </w:rPr>
      </w:pPr>
      <w:r>
        <w:rPr>
          <w:caps w:val="0"/>
          <w:szCs w:val="22"/>
        </w:rPr>
        <w:t>T</w:t>
      </w:r>
      <w:r>
        <w:rPr>
          <w:szCs w:val="22"/>
        </w:rPr>
        <w:t>he COMPETING PROVIDER TEST</w:t>
      </w:r>
    </w:p>
    <w:p w:rsidR="00F90BE8" w:rsidRDefault="00595360" w:rsidP="00995AEC">
      <w:pPr>
        <w:pStyle w:val="ParaNum"/>
        <w:jc w:val="left"/>
      </w:pPr>
      <w:r>
        <w:t xml:space="preserve">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w:t>
      </w:r>
      <w:r>
        <w:lastRenderedPageBreak/>
        <w:t>percent of the households in the franchise area; and (b) the number of households subscribing to programming services offered by MVPDs other than the largest MVPD exceeds 15 percent of the households in the franchise area.</w:t>
      </w:r>
      <w:r w:rsidR="00C472E5">
        <w:rPr>
          <w:rStyle w:val="FootnoteReference"/>
        </w:rPr>
        <w:footnoteReference w:id="6"/>
      </w:r>
      <w:r>
        <w:t xml:space="preserve">  This test is referred to as the “competing provider” test.  Pursuant to the </w:t>
      </w:r>
      <w:r w:rsidRPr="00D419BD">
        <w:rPr>
          <w:i/>
        </w:rPr>
        <w:t>Effective Competition Order</w:t>
      </w:r>
      <w:r>
        <w:t>, absent evidence to the contrary, the Commission presumes that the competing provider test is met.</w:t>
      </w:r>
    </w:p>
    <w:p w:rsidR="001E0FDA" w:rsidRDefault="001E0FDA" w:rsidP="001E0FDA">
      <w:pPr>
        <w:pStyle w:val="Heading2"/>
      </w:pPr>
      <w:r>
        <w:t>The First Part</w:t>
      </w:r>
    </w:p>
    <w:p w:rsidR="00F90BE8" w:rsidRDefault="00595360" w:rsidP="00E74411">
      <w:pPr>
        <w:pStyle w:val="ParaNum"/>
        <w:jc w:val="left"/>
      </w:pPr>
      <w:r>
        <w:t>The first part of this test has three elements:  the franchise area must be “served by” at least two unaffiliated MVPDs who offer “comparable programming” to at least “50 percent” of the households in the franchise area.</w:t>
      </w:r>
      <w:r w:rsidR="001E0FDA">
        <w:rPr>
          <w:rStyle w:val="FootnoteReference"/>
        </w:rPr>
        <w:footnoteReference w:id="7"/>
      </w:r>
      <w:r>
        <w:rPr>
          <w:b/>
        </w:rPr>
        <w:t xml:space="preserve">  </w:t>
      </w:r>
      <w:r>
        <w:t xml:space="preserve">As explained in the </w:t>
      </w:r>
      <w:r>
        <w:rPr>
          <w:i/>
        </w:rPr>
        <w:t>Effective Competition Order</w:t>
      </w:r>
      <w:r>
        <w:t>, “we find that the ubiquitous nationwide presence of DBS providers, DIRECTV and DISH, presumptively satisfies the” first part of the test for competing provider effective competition, absent evidence to the contrary.</w:t>
      </w:r>
      <w:r>
        <w:rPr>
          <w:rStyle w:val="FootnoteReference"/>
        </w:rPr>
        <w:footnoteReference w:id="8"/>
      </w:r>
      <w:r>
        <w:t xml:space="preserve">  </w:t>
      </w:r>
      <w:r w:rsidR="00F857CD">
        <w:t xml:space="preserve">Neither the Cities nor the Customer Ex Parte Opposition attempted to rebut the first part of the test.  </w:t>
      </w:r>
      <w:r>
        <w:t xml:space="preserve">In accordance with the presumption of competing provider effective competition, and based on the information submitted by </w:t>
      </w:r>
      <w:r w:rsidR="00D419BD">
        <w:t>Comcast</w:t>
      </w:r>
      <w:r>
        <w:t xml:space="preserve">, we </w:t>
      </w:r>
      <w:r w:rsidR="00F857CD">
        <w:t xml:space="preserve">thus </w:t>
      </w:r>
      <w:r>
        <w:t>find that the first part of the test is satisfied.</w:t>
      </w:r>
    </w:p>
    <w:p w:rsidR="00F90BE8" w:rsidRDefault="00595360">
      <w:pPr>
        <w:pStyle w:val="Heading2"/>
        <w:jc w:val="left"/>
      </w:pPr>
      <w:r>
        <w:t>The Second Part</w:t>
      </w:r>
    </w:p>
    <w:p w:rsidR="008319A9" w:rsidRDefault="00595360">
      <w:pPr>
        <w:pStyle w:val="ParaNum"/>
        <w:jc w:val="left"/>
      </w:pPr>
      <w:r>
        <w:t>The second part of the competing provider test requires that the number of households subscribing to MVPDs, other than the largest MVPD, exceed</w:t>
      </w:r>
      <w:r w:rsidR="00B6479F">
        <w:t>s</w:t>
      </w:r>
      <w:r>
        <w:t xml:space="preserve"> 15 percent of the households in a franchise area.</w:t>
      </w:r>
      <w:r>
        <w:rPr>
          <w:rStyle w:val="FootnoteReference"/>
        </w:rPr>
        <w:footnoteReference w:id="9"/>
      </w:r>
      <w:r>
        <w:t xml:space="preserve">  As explained in the </w:t>
      </w:r>
      <w:r>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10"/>
      </w:r>
      <w:r>
        <w:t xml:space="preserve">  The </w:t>
      </w:r>
      <w:r w:rsidR="00D84B53">
        <w:t xml:space="preserve">Cities </w:t>
      </w:r>
      <w:r>
        <w:t xml:space="preserve">argue that </w:t>
      </w:r>
      <w:r w:rsidR="00D84B53">
        <w:t xml:space="preserve">Comcast </w:t>
      </w:r>
      <w:r>
        <w:t xml:space="preserve">has not satisfied the second part of the competing provider effective competition test for several reasons. </w:t>
      </w:r>
      <w:r w:rsidR="00091016">
        <w:t xml:space="preserve"> </w:t>
      </w:r>
      <w:r w:rsidR="008655BC">
        <w:t>First, t</w:t>
      </w:r>
      <w:r w:rsidR="0080779F">
        <w:t>he Cities argue that the 2010 Census figures used by Comcast are outdated and inaccurate.</w:t>
      </w:r>
      <w:r w:rsidR="0080779F">
        <w:rPr>
          <w:rStyle w:val="FootnoteReference"/>
        </w:rPr>
        <w:footnoteReference w:id="11"/>
      </w:r>
      <w:r w:rsidR="00773C09">
        <w:t xml:space="preserve">  Comcast responds, and we agree, </w:t>
      </w:r>
      <w:r w:rsidR="00BC310B">
        <w:t xml:space="preserve">that its use of </w:t>
      </w:r>
      <w:r w:rsidR="00EC45ED">
        <w:t>C</w:t>
      </w:r>
      <w:r w:rsidR="00BC310B">
        <w:t>ensus figures was proper and fully consistent with Commission precedent.</w:t>
      </w:r>
      <w:r w:rsidR="00AD037A">
        <w:rPr>
          <w:rStyle w:val="FootnoteReference"/>
        </w:rPr>
        <w:footnoteReference w:id="12"/>
      </w:r>
      <w:r w:rsidR="005A6BC7">
        <w:t xml:space="preserve">  </w:t>
      </w:r>
      <w:r w:rsidR="00F34FF5">
        <w:t>Second, t</w:t>
      </w:r>
      <w:r w:rsidR="00456254">
        <w:t xml:space="preserve">he Commission has indicated that it will consider more recent household data if </w:t>
      </w:r>
      <w:r w:rsidR="00F34FF5">
        <w:t>it</w:t>
      </w:r>
      <w:r w:rsidR="00456254">
        <w:t xml:space="preserve"> is demonstrated to be reliable</w:t>
      </w:r>
      <w:r w:rsidR="00F34FF5">
        <w:t>, and t</w:t>
      </w:r>
      <w:r w:rsidR="0073082A">
        <w:t>he City of Spokane argue</w:t>
      </w:r>
      <w:r w:rsidR="00F34FF5">
        <w:t>s</w:t>
      </w:r>
      <w:r w:rsidR="0073082A">
        <w:t xml:space="preserve"> that Comcast’s 2010 Census </w:t>
      </w:r>
      <w:r w:rsidR="00F46B41">
        <w:t xml:space="preserve">data </w:t>
      </w:r>
      <w:r w:rsidR="0073082A">
        <w:t xml:space="preserve">should be adjusted to account for a total of 2,119 </w:t>
      </w:r>
      <w:r w:rsidR="002619E8">
        <w:t xml:space="preserve">new </w:t>
      </w:r>
      <w:r w:rsidR="0073082A">
        <w:t>households in Spokane since January 2010.</w:t>
      </w:r>
      <w:r w:rsidR="000252F2">
        <w:rPr>
          <w:rStyle w:val="FootnoteReference"/>
        </w:rPr>
        <w:footnoteReference w:id="13"/>
      </w:r>
      <w:r w:rsidR="000252F2">
        <w:t xml:space="preserve">  We agree with Comcast that </w:t>
      </w:r>
      <w:r w:rsidR="002D6404">
        <w:t xml:space="preserve">some of these households </w:t>
      </w:r>
      <w:r w:rsidR="00F34FF5">
        <w:t xml:space="preserve">likely </w:t>
      </w:r>
      <w:r w:rsidR="002D6404">
        <w:t xml:space="preserve">were included in the 2010 Census figure, </w:t>
      </w:r>
      <w:r w:rsidR="00DB1B8F">
        <w:t>and that they may be offset by</w:t>
      </w:r>
      <w:r w:rsidR="00DD11AD">
        <w:t xml:space="preserve"> local households eliminated since the 2010 Census.</w:t>
      </w:r>
      <w:r w:rsidR="00DD11AD">
        <w:rPr>
          <w:rStyle w:val="FootnoteReference"/>
        </w:rPr>
        <w:footnoteReference w:id="14"/>
      </w:r>
      <w:r w:rsidR="000252F2">
        <w:t xml:space="preserve"> </w:t>
      </w:r>
      <w:r w:rsidR="00DB1B8F">
        <w:t xml:space="preserve"> Third, t</w:t>
      </w:r>
      <w:r w:rsidR="0033457C">
        <w:t xml:space="preserve">he City of Spokane claims that </w:t>
      </w:r>
      <w:r w:rsidR="0033457C">
        <w:lastRenderedPageBreak/>
        <w:t>there is a</w:t>
      </w:r>
      <w:r w:rsidR="00322F49">
        <w:t xml:space="preserve">n estimated </w:t>
      </w:r>
      <w:r w:rsidR="0033457C">
        <w:t>4 percent vacancy rate based on information contained in a local real estate report.</w:t>
      </w:r>
      <w:r w:rsidR="00322F49">
        <w:rPr>
          <w:rStyle w:val="FootnoteReference"/>
        </w:rPr>
        <w:footnoteReference w:id="15"/>
      </w:r>
      <w:r w:rsidR="00227F97">
        <w:t xml:space="preserve">  We agree with Comcast that the City of Spokane fails to </w:t>
      </w:r>
      <w:r w:rsidR="00DB1B8F">
        <w:t>demonstrate that the</w:t>
      </w:r>
      <w:r w:rsidR="00227F97">
        <w:t xml:space="preserve"> estimate</w:t>
      </w:r>
      <w:r w:rsidR="00DB1B8F">
        <w:t>d vacancy rate contained in the report is sufficiently reliable</w:t>
      </w:r>
      <w:r w:rsidR="00227F97">
        <w:t>.</w:t>
      </w:r>
      <w:r w:rsidR="00227F97">
        <w:rPr>
          <w:rStyle w:val="FootnoteReference"/>
        </w:rPr>
        <w:footnoteReference w:id="16"/>
      </w:r>
      <w:r w:rsidR="00227F97">
        <w:t xml:space="preserve">  </w:t>
      </w:r>
      <w:r w:rsidR="00085B7D">
        <w:t>Fourth, t</w:t>
      </w:r>
      <w:r w:rsidR="00D1660D">
        <w:t>he City of Spokane argues that Comcast</w:t>
      </w:r>
      <w:r w:rsidR="00085B7D">
        <w:t xml:space="preserve"> erroneously included two zip codes that</w:t>
      </w:r>
      <w:r w:rsidR="00D1660D">
        <w:t xml:space="preserve"> are located outside </w:t>
      </w:r>
      <w:r w:rsidR="00A0523D">
        <w:t>of City limits.</w:t>
      </w:r>
      <w:r w:rsidR="00A0523D">
        <w:rPr>
          <w:rStyle w:val="FootnoteReference"/>
        </w:rPr>
        <w:footnoteReference w:id="17"/>
      </w:r>
      <w:r w:rsidR="00060DE0">
        <w:t xml:space="preserve">  Comcast </w:t>
      </w:r>
      <w:r w:rsidR="00085B7D">
        <w:t>resolved this issue by obtaining confirmation from</w:t>
      </w:r>
      <w:r w:rsidR="00060DE0">
        <w:t xml:space="preserve"> SNL Kagan </w:t>
      </w:r>
      <w:r w:rsidR="00434F06">
        <w:t xml:space="preserve">(“SNL”) </w:t>
      </w:r>
      <w:r w:rsidR="00085B7D">
        <w:t>that a</w:t>
      </w:r>
      <w:r w:rsidR="00060DE0">
        <w:t xml:space="preserve"> portion of the contested </w:t>
      </w:r>
      <w:r w:rsidR="00085B7D">
        <w:t>zip</w:t>
      </w:r>
      <w:r w:rsidR="00060DE0">
        <w:t xml:space="preserve"> codes fall within the Spokane Franchise Area</w:t>
      </w:r>
      <w:r w:rsidR="00C87FF9">
        <w:t>, and Comcast determined that so few subscribers were at issue in the contested zip codes that they would have no bearing on the outcome of the competing provider test.</w:t>
      </w:r>
      <w:r w:rsidR="00060DE0">
        <w:rPr>
          <w:rStyle w:val="FootnoteReference"/>
        </w:rPr>
        <w:footnoteReference w:id="18"/>
      </w:r>
      <w:r w:rsidR="00E958FB">
        <w:t xml:space="preserve">  </w:t>
      </w:r>
      <w:r w:rsidR="00085B7D">
        <w:t xml:space="preserve">Fifth, </w:t>
      </w:r>
      <w:r w:rsidR="00434F06">
        <w:t>t</w:t>
      </w:r>
      <w:r w:rsidR="00D05167">
        <w:t>he City of Airway Heights contends that it underwent an annexation in 2012 that added additional residences and properties to the City.</w:t>
      </w:r>
      <w:r w:rsidR="00D05167">
        <w:rPr>
          <w:rStyle w:val="FootnoteReference"/>
        </w:rPr>
        <w:footnoteReference w:id="19"/>
      </w:r>
      <w:r w:rsidR="00D05167">
        <w:t xml:space="preserve">  Comcast </w:t>
      </w:r>
      <w:r w:rsidR="00434F06">
        <w:t xml:space="preserve">provided maps of the annexation to SNL, and the resulting data persuasively </w:t>
      </w:r>
      <w:r w:rsidR="00D05167">
        <w:t>demonstrate</w:t>
      </w:r>
      <w:r w:rsidR="00434F06">
        <w:t>s</w:t>
      </w:r>
      <w:r w:rsidR="00D05167">
        <w:t xml:space="preserve"> that the annexation does not affect the outcome of this proceeding.</w:t>
      </w:r>
      <w:r w:rsidR="00D05167">
        <w:rPr>
          <w:rStyle w:val="FootnoteReference"/>
        </w:rPr>
        <w:footnoteReference w:id="20"/>
      </w:r>
      <w:r w:rsidR="00B219DA">
        <w:t xml:space="preserve"> </w:t>
      </w:r>
    </w:p>
    <w:p w:rsidR="00877C6C" w:rsidRDefault="00B219DA" w:rsidP="00E0531C">
      <w:pPr>
        <w:pStyle w:val="ParaNum"/>
        <w:jc w:val="left"/>
      </w:pPr>
      <w:r>
        <w:t xml:space="preserve"> </w:t>
      </w:r>
      <w:r w:rsidR="006977A3">
        <w:t xml:space="preserve">Finally, both </w:t>
      </w:r>
      <w:r w:rsidR="00C8502C">
        <w:t>t</w:t>
      </w:r>
      <w:r w:rsidR="00C17098">
        <w:t xml:space="preserve">he City of Airway Heights </w:t>
      </w:r>
      <w:r w:rsidR="006977A3">
        <w:t xml:space="preserve">and Patricia Crandall </w:t>
      </w:r>
      <w:r w:rsidR="00C17098">
        <w:t>argue</w:t>
      </w:r>
      <w:r w:rsidR="006977A3">
        <w:t xml:space="preserve"> that</w:t>
      </w:r>
      <w:r w:rsidR="00C8502C">
        <w:t xml:space="preserve"> </w:t>
      </w:r>
      <w:r w:rsidR="00C17098">
        <w:t xml:space="preserve">the Commission </w:t>
      </w:r>
      <w:r w:rsidR="006977A3">
        <w:t>should consider certain issues that are not part of the statutory test for competing provider effective com</w:t>
      </w:r>
      <w:r w:rsidR="00330290">
        <w:t xml:space="preserve">petition, </w:t>
      </w:r>
      <w:r w:rsidR="008319A9">
        <w:t xml:space="preserve">such as </w:t>
      </w:r>
      <w:r w:rsidR="006977A3">
        <w:t>the impact of cable price increases on consumers</w:t>
      </w:r>
      <w:r w:rsidR="008319A9">
        <w:t xml:space="preserve"> and</w:t>
      </w:r>
      <w:r w:rsidR="006977A3">
        <w:t xml:space="preserve"> the inclusion of DBS providers in the </w:t>
      </w:r>
      <w:r w:rsidR="00330290">
        <w:t>definition of MVPDs</w:t>
      </w:r>
      <w:r w:rsidR="008319A9">
        <w:t>.</w:t>
      </w:r>
      <w:r w:rsidR="00C17098">
        <w:rPr>
          <w:rStyle w:val="FootnoteReference"/>
        </w:rPr>
        <w:footnoteReference w:id="21"/>
      </w:r>
      <w:r w:rsidR="00346CE0">
        <w:t xml:space="preserve">  </w:t>
      </w:r>
      <w:r w:rsidR="00EC45ED">
        <w:t>We agree with Comcast that the Commission must enforce the statutory definition of competing provider effective competition, which does not include the consideration of any of these issues.</w:t>
      </w:r>
      <w:r w:rsidR="00784629">
        <w:rPr>
          <w:rStyle w:val="FootnoteReference"/>
        </w:rPr>
        <w:footnoteReference w:id="22"/>
      </w:r>
      <w:r w:rsidR="00F74A6A">
        <w:t xml:space="preserve">  </w:t>
      </w:r>
      <w:r w:rsidR="00CC61E7">
        <w:t xml:space="preserve">In addition, </w:t>
      </w:r>
      <w:r w:rsidR="00F8247F">
        <w:t>Ms. Crandall argues that DBS installation may not be possible in some apartment buildings.</w:t>
      </w:r>
      <w:r w:rsidR="00F8247F">
        <w:rPr>
          <w:rStyle w:val="FootnoteReference"/>
        </w:rPr>
        <w:footnoteReference w:id="23"/>
      </w:r>
      <w:r w:rsidR="006C4165">
        <w:t xml:space="preserve">  W</w:t>
      </w:r>
      <w:r w:rsidR="00CC61E7">
        <w:t xml:space="preserve">e are not persuaded that competing provider </w:t>
      </w:r>
      <w:r w:rsidR="00EC45ED">
        <w:t xml:space="preserve">effective </w:t>
      </w:r>
      <w:r w:rsidR="00CC61E7">
        <w:t>competition does not exist in a franchise area as a whole where DBS installation may not b</w:t>
      </w:r>
      <w:r w:rsidR="00EC45ED">
        <w:t xml:space="preserve">e </w:t>
      </w:r>
      <w:r w:rsidR="00CC61E7">
        <w:t>possible in some apartment buildings.</w:t>
      </w:r>
      <w:r w:rsidR="00831883">
        <w:t xml:space="preserve">  </w:t>
      </w:r>
      <w:r w:rsidR="003A7A4D">
        <w:t xml:space="preserve">For the above reasons, the arguments put forth by the Cities and Ms. Crandall fail to rebut the presumption of competing provider effective competition.  In accordance with the presumption of competing provider effective competition, and based on the information submitted by Comcast and the other parties to this proceeding, we </w:t>
      </w:r>
      <w:r w:rsidR="00EC45ED">
        <w:t xml:space="preserve">thus </w:t>
      </w:r>
      <w:r w:rsidR="003A7A4D">
        <w:t>find that the second prong of the test is satisfied.</w:t>
      </w:r>
      <w:r w:rsidR="00F74A6A">
        <w:t xml:space="preserve"> </w:t>
      </w:r>
    </w:p>
    <w:p w:rsidR="00877C6C" w:rsidRDefault="00877C6C">
      <w:r>
        <w:br w:type="page"/>
      </w:r>
    </w:p>
    <w:p w:rsidR="00F90BE8" w:rsidRDefault="00C8502C" w:rsidP="00877C6C">
      <w:pPr>
        <w:pStyle w:val="ParaNum"/>
        <w:numPr>
          <w:ilvl w:val="0"/>
          <w:numId w:val="0"/>
        </w:numPr>
        <w:ind w:left="720"/>
        <w:jc w:val="left"/>
      </w:pPr>
      <w:r>
        <w:t xml:space="preserve">   </w:t>
      </w:r>
      <w:r w:rsidR="0009518A">
        <w:t xml:space="preserve"> </w:t>
      </w:r>
      <w:r w:rsidR="00C17098">
        <w:t xml:space="preserve"> </w:t>
      </w:r>
      <w:r w:rsidR="00B219DA">
        <w:t xml:space="preserve">  </w:t>
      </w:r>
      <w:r w:rsidR="00E958FB">
        <w:t xml:space="preserve"> </w:t>
      </w:r>
      <w:r w:rsidR="00060DE0">
        <w:t xml:space="preserve">  </w:t>
      </w:r>
      <w:r w:rsidR="0033457C">
        <w:t xml:space="preserve"> </w:t>
      </w:r>
      <w:r w:rsidR="000252F2">
        <w:t xml:space="preserve"> </w:t>
      </w:r>
      <w:r w:rsidR="005A6BC7">
        <w:t xml:space="preserve"> </w:t>
      </w:r>
      <w:r w:rsidR="00BC310B">
        <w:t xml:space="preserve">  </w:t>
      </w:r>
      <w:r w:rsidR="0080779F">
        <w:t xml:space="preserve"> </w:t>
      </w:r>
      <w:r w:rsidR="00091016">
        <w:t xml:space="preserve"> </w:t>
      </w:r>
      <w:r w:rsidR="00595360">
        <w:t xml:space="preserve">  </w:t>
      </w:r>
    </w:p>
    <w:p w:rsidR="00F90BE8" w:rsidRDefault="00595360">
      <w:pPr>
        <w:pStyle w:val="Heading1"/>
        <w:jc w:val="left"/>
        <w:rPr>
          <w:szCs w:val="22"/>
        </w:rPr>
      </w:pPr>
      <w:r>
        <w:rPr>
          <w:szCs w:val="22"/>
        </w:rPr>
        <w:t>ordering clauses</w:t>
      </w:r>
    </w:p>
    <w:p w:rsidR="00F90BE8" w:rsidRDefault="00595360">
      <w:pPr>
        <w:pStyle w:val="ParaNum"/>
        <w:jc w:val="left"/>
      </w:pPr>
      <w:r>
        <w:t xml:space="preserve">Accordingly, </w:t>
      </w:r>
      <w:r>
        <w:rPr>
          <w:b/>
        </w:rPr>
        <w:t>IT IS ORDERED</w:t>
      </w:r>
      <w:r>
        <w:t xml:space="preserve"> that the petition for a determination of effective competition filed in the captioned proceeding by </w:t>
      </w:r>
      <w:r w:rsidR="00E21148">
        <w:t xml:space="preserve">Comcast </w:t>
      </w:r>
      <w:r w:rsidR="00495435">
        <w:t xml:space="preserve">Cable Communications, LLC, </w:t>
      </w:r>
      <w:r w:rsidR="00495435">
        <w:rPr>
          <w:b/>
        </w:rPr>
        <w:t>IS</w:t>
      </w:r>
      <w:r w:rsidR="00495435">
        <w:t xml:space="preserve"> </w:t>
      </w:r>
      <w:r>
        <w:rPr>
          <w:b/>
        </w:rPr>
        <w:t>GRANTED</w:t>
      </w:r>
      <w:r>
        <w:t xml:space="preserve"> as to the Communities listed on Attachment A hereto. </w:t>
      </w:r>
    </w:p>
    <w:p w:rsidR="00F90BE8" w:rsidRDefault="00595360">
      <w:pPr>
        <w:pStyle w:val="ParaNum"/>
        <w:jc w:val="left"/>
      </w:pPr>
      <w:r>
        <w:rPr>
          <w:b/>
        </w:rPr>
        <w:t>IT IS FURTHER ORDERED</w:t>
      </w:r>
      <w:r>
        <w:t xml:space="preserve"> that the certification to regulate basic cable service rates granted to or on behalf of any of the Communities set forth on Attachment A </w:t>
      </w:r>
      <w:r>
        <w:rPr>
          <w:b/>
        </w:rPr>
        <w:t>IS REVOKED</w:t>
      </w:r>
      <w:r>
        <w:t xml:space="preserve">. </w:t>
      </w:r>
    </w:p>
    <w:p w:rsidR="00F90BE8" w:rsidRDefault="00595360">
      <w:pPr>
        <w:pStyle w:val="ParaNum"/>
        <w:jc w:val="left"/>
      </w:pPr>
      <w:r>
        <w:t>This action is taken pursuant to delegated authority pursuant to Section 0.283 of the Commission’s rules.</w:t>
      </w:r>
      <w:r>
        <w:rPr>
          <w:vertAlign w:val="superscript"/>
        </w:rPr>
        <w:footnoteReference w:id="24"/>
      </w:r>
    </w:p>
    <w:p w:rsidR="00F90BE8" w:rsidRDefault="00595360">
      <w:pPr>
        <w:pStyle w:val="ParaNum"/>
        <w:numPr>
          <w:ilvl w:val="0"/>
          <w:numId w:val="0"/>
        </w:numPr>
        <w:jc w:val="left"/>
        <w:rPr>
          <w:szCs w:val="22"/>
        </w:rPr>
      </w:pPr>
      <w:r>
        <w:rPr>
          <w:szCs w:val="22"/>
        </w:rPr>
        <w:tab/>
      </w:r>
      <w:r>
        <w:rPr>
          <w:szCs w:val="22"/>
        </w:rPr>
        <w:tab/>
      </w:r>
      <w:r>
        <w:rPr>
          <w:szCs w:val="22"/>
        </w:rPr>
        <w:tab/>
      </w:r>
    </w:p>
    <w:p w:rsidR="00F90BE8" w:rsidRDefault="00595360">
      <w:pPr>
        <w:pStyle w:val="ParaNum"/>
        <w:numPr>
          <w:ilvl w:val="0"/>
          <w:numId w:val="0"/>
        </w:numPr>
        <w:jc w:val="left"/>
        <w:rPr>
          <w:szCs w:val="22"/>
        </w:rPr>
      </w:pPr>
      <w:r>
        <w:rPr>
          <w:szCs w:val="22"/>
        </w:rPr>
        <w:tab/>
      </w:r>
      <w:r>
        <w:rPr>
          <w:szCs w:val="22"/>
        </w:rPr>
        <w:tab/>
      </w:r>
      <w:r>
        <w:rPr>
          <w:szCs w:val="22"/>
        </w:rPr>
        <w:tab/>
      </w:r>
      <w:r>
        <w:rPr>
          <w:szCs w:val="22"/>
        </w:rPr>
        <w:tab/>
        <w:t>FEDERAL COMMUNICATIONS COMMISSION</w:t>
      </w:r>
    </w:p>
    <w:p w:rsidR="00F90BE8" w:rsidRDefault="00F90BE8">
      <w:pPr>
        <w:pStyle w:val="DocText"/>
        <w:jc w:val="left"/>
        <w:rPr>
          <w:sz w:val="22"/>
          <w:szCs w:val="22"/>
        </w:rPr>
      </w:pPr>
    </w:p>
    <w:p w:rsidR="00F90BE8" w:rsidRDefault="00F90BE8">
      <w:pPr>
        <w:pStyle w:val="DocText"/>
        <w:ind w:left="0"/>
        <w:jc w:val="left"/>
        <w:rPr>
          <w:sz w:val="22"/>
          <w:szCs w:val="22"/>
        </w:rPr>
      </w:pP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rsidR="00F90BE8" w:rsidRDefault="00595360">
      <w:pPr>
        <w:pStyle w:val="ParaNum"/>
        <w:numPr>
          <w:ilvl w:val="0"/>
          <w:numId w:val="0"/>
        </w:numPr>
        <w:jc w:val="center"/>
        <w:rPr>
          <w:b/>
          <w:szCs w:val="22"/>
        </w:rPr>
      </w:pPr>
      <w:r>
        <w:rPr>
          <w:szCs w:val="22"/>
        </w:rPr>
        <w:br w:type="page"/>
      </w:r>
      <w:r>
        <w:rPr>
          <w:b/>
          <w:szCs w:val="22"/>
        </w:rPr>
        <w:t>ATTACHMENT A</w:t>
      </w:r>
    </w:p>
    <w:p w:rsidR="00F90BE8" w:rsidRDefault="00495435">
      <w:pPr>
        <w:tabs>
          <w:tab w:val="center" w:pos="4680"/>
        </w:tabs>
        <w:suppressAutoHyphens/>
        <w:jc w:val="center"/>
        <w:rPr>
          <w:b/>
        </w:rPr>
      </w:pPr>
      <w:r>
        <w:rPr>
          <w:b/>
        </w:rPr>
        <w:t>CSR 8859-E, MB Docket No. 13-310</w:t>
      </w:r>
    </w:p>
    <w:p w:rsidR="00F90BE8" w:rsidRDefault="00F90BE8">
      <w:pPr>
        <w:tabs>
          <w:tab w:val="center" w:pos="4680"/>
        </w:tabs>
        <w:suppressAutoHyphens/>
        <w:jc w:val="center"/>
        <w:rPr>
          <w:b/>
        </w:rPr>
      </w:pPr>
    </w:p>
    <w:p w:rsidR="00F90BE8" w:rsidRDefault="00595360">
      <w:pPr>
        <w:pStyle w:val="ParaNum"/>
        <w:numPr>
          <w:ilvl w:val="0"/>
          <w:numId w:val="0"/>
        </w:numPr>
        <w:spacing w:after="0"/>
        <w:jc w:val="center"/>
        <w:rPr>
          <w:b/>
          <w:szCs w:val="22"/>
        </w:rPr>
      </w:pPr>
      <w:r>
        <w:rPr>
          <w:b/>
          <w:szCs w:val="22"/>
        </w:rPr>
        <w:t xml:space="preserve">COMMUNITIES SERVED BY </w:t>
      </w:r>
      <w:r w:rsidR="00AB13C3">
        <w:rPr>
          <w:b/>
          <w:szCs w:val="22"/>
        </w:rPr>
        <w:t xml:space="preserve">COMCAST CABLE </w:t>
      </w:r>
      <w:r w:rsidR="00481FED">
        <w:rPr>
          <w:b/>
          <w:szCs w:val="22"/>
        </w:rPr>
        <w:t>C</w:t>
      </w:r>
      <w:r w:rsidR="00AB13C3">
        <w:rPr>
          <w:b/>
          <w:szCs w:val="22"/>
        </w:rPr>
        <w:t>OMMUNICATIONS, LLC</w:t>
      </w:r>
    </w:p>
    <w:p w:rsidR="00F90BE8" w:rsidRDefault="00595360">
      <w:pPr>
        <w:pStyle w:val="Heading2"/>
        <w:numPr>
          <w:ilvl w:val="0"/>
          <w:numId w:val="0"/>
        </w:numPr>
        <w:tabs>
          <w:tab w:val="left" w:pos="2160"/>
          <w:tab w:val="left" w:pos="3240"/>
          <w:tab w:val="left" w:pos="3600"/>
          <w:tab w:val="left" w:pos="4140"/>
        </w:tabs>
        <w:spacing w:after="0"/>
        <w:rPr>
          <w:b w:val="0"/>
          <w:szCs w:val="22"/>
        </w:rPr>
      </w:pP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p>
    <w:tbl>
      <w:tblPr>
        <w:tblW w:w="90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2"/>
        <w:gridCol w:w="1351"/>
        <w:gridCol w:w="1441"/>
        <w:gridCol w:w="1801"/>
        <w:gridCol w:w="1885"/>
      </w:tblGrid>
      <w:tr w:rsidR="00F90BE8">
        <w:trPr>
          <w:trHeight w:val="488"/>
        </w:trPr>
        <w:tc>
          <w:tcPr>
            <w:tcW w:w="2522" w:type="dxa"/>
            <w:tcMar>
              <w:top w:w="28" w:type="dxa"/>
              <w:left w:w="28" w:type="dxa"/>
              <w:bottom w:w="28" w:type="dxa"/>
              <w:right w:w="28" w:type="dxa"/>
            </w:tcMar>
          </w:tcPr>
          <w:p w:rsidR="00F90BE8" w:rsidRDefault="00595360" w:rsidP="00AB13C3">
            <w:pPr>
              <w:autoSpaceDE w:val="0"/>
              <w:autoSpaceDN w:val="0"/>
              <w:adjustRightInd w:val="0"/>
              <w:jc w:val="center"/>
              <w:rPr>
                <w:b/>
                <w:szCs w:val="22"/>
              </w:rPr>
            </w:pPr>
            <w:r>
              <w:rPr>
                <w:b/>
                <w:szCs w:val="22"/>
              </w:rPr>
              <w:t xml:space="preserve"> </w:t>
            </w:r>
            <w:r w:rsidR="00AB13C3">
              <w:rPr>
                <w:b/>
                <w:szCs w:val="22"/>
              </w:rPr>
              <w:t>C</w:t>
            </w:r>
            <w:r>
              <w:rPr>
                <w:b/>
                <w:szCs w:val="22"/>
              </w:rPr>
              <w:t>ommunities</w:t>
            </w:r>
          </w:p>
        </w:tc>
        <w:tc>
          <w:tcPr>
            <w:tcW w:w="1351" w:type="dxa"/>
            <w:tcMar>
              <w:top w:w="28" w:type="dxa"/>
              <w:left w:w="28" w:type="dxa"/>
              <w:bottom w:w="28" w:type="dxa"/>
              <w:right w:w="28" w:type="dxa"/>
            </w:tcMar>
          </w:tcPr>
          <w:p w:rsidR="00F90BE8" w:rsidRDefault="00F90BE8">
            <w:pPr>
              <w:autoSpaceDE w:val="0"/>
              <w:autoSpaceDN w:val="0"/>
              <w:adjustRightInd w:val="0"/>
              <w:jc w:val="center"/>
              <w:rPr>
                <w:b/>
                <w:szCs w:val="22"/>
              </w:rPr>
            </w:pPr>
          </w:p>
          <w:p w:rsidR="00F90BE8" w:rsidRDefault="00595360">
            <w:pPr>
              <w:autoSpaceDE w:val="0"/>
              <w:autoSpaceDN w:val="0"/>
              <w:adjustRightInd w:val="0"/>
              <w:jc w:val="center"/>
              <w:rPr>
                <w:b/>
                <w:szCs w:val="22"/>
              </w:rPr>
            </w:pPr>
            <w:r>
              <w:rPr>
                <w:b/>
                <w:szCs w:val="22"/>
              </w:rPr>
              <w:t xml:space="preserve">CUIDs  </w:t>
            </w:r>
          </w:p>
        </w:tc>
        <w:tc>
          <w:tcPr>
            <w:tcW w:w="1441" w:type="dxa"/>
            <w:tcMar>
              <w:top w:w="28" w:type="dxa"/>
              <w:left w:w="28" w:type="dxa"/>
              <w:bottom w:w="28" w:type="dxa"/>
              <w:right w:w="28" w:type="dxa"/>
            </w:tcMar>
          </w:tcPr>
          <w:p w:rsidR="00F90BE8" w:rsidRDefault="00F90BE8">
            <w:pPr>
              <w:autoSpaceDE w:val="0"/>
              <w:autoSpaceDN w:val="0"/>
              <w:adjustRightInd w:val="0"/>
              <w:jc w:val="center"/>
              <w:rPr>
                <w:b/>
                <w:szCs w:val="22"/>
              </w:rPr>
            </w:pPr>
          </w:p>
          <w:p w:rsidR="00F90BE8" w:rsidRDefault="00595360">
            <w:pPr>
              <w:autoSpaceDE w:val="0"/>
              <w:autoSpaceDN w:val="0"/>
              <w:adjustRightInd w:val="0"/>
              <w:jc w:val="center"/>
              <w:rPr>
                <w:b/>
                <w:szCs w:val="22"/>
              </w:rPr>
            </w:pPr>
            <w:r>
              <w:rPr>
                <w:b/>
                <w:szCs w:val="22"/>
              </w:rPr>
              <w:t>CPR*</w:t>
            </w:r>
          </w:p>
        </w:tc>
        <w:tc>
          <w:tcPr>
            <w:tcW w:w="1801" w:type="dxa"/>
            <w:tcMar>
              <w:top w:w="28" w:type="dxa"/>
              <w:left w:w="28" w:type="dxa"/>
              <w:bottom w:w="28" w:type="dxa"/>
              <w:right w:w="28" w:type="dxa"/>
            </w:tcMar>
          </w:tcPr>
          <w:p w:rsidR="00F90BE8" w:rsidRDefault="00595360">
            <w:pPr>
              <w:autoSpaceDE w:val="0"/>
              <w:autoSpaceDN w:val="0"/>
              <w:adjustRightInd w:val="0"/>
              <w:jc w:val="center"/>
              <w:rPr>
                <w:b/>
                <w:szCs w:val="22"/>
              </w:rPr>
            </w:pPr>
            <w:r>
              <w:rPr>
                <w:b/>
                <w:szCs w:val="22"/>
              </w:rPr>
              <w:t>20</w:t>
            </w:r>
            <w:r w:rsidR="009E6556">
              <w:rPr>
                <w:b/>
                <w:szCs w:val="22"/>
              </w:rPr>
              <w:t>10</w:t>
            </w:r>
            <w:r>
              <w:rPr>
                <w:b/>
                <w:szCs w:val="22"/>
              </w:rPr>
              <w:t xml:space="preserve"> Census</w:t>
            </w:r>
          </w:p>
          <w:p w:rsidR="00F90BE8" w:rsidRDefault="00595360">
            <w:pPr>
              <w:autoSpaceDE w:val="0"/>
              <w:autoSpaceDN w:val="0"/>
              <w:adjustRightInd w:val="0"/>
              <w:jc w:val="center"/>
              <w:rPr>
                <w:b/>
                <w:szCs w:val="22"/>
              </w:rPr>
            </w:pPr>
            <w:r>
              <w:rPr>
                <w:b/>
                <w:szCs w:val="22"/>
              </w:rPr>
              <w:t>Households</w:t>
            </w:r>
          </w:p>
        </w:tc>
        <w:tc>
          <w:tcPr>
            <w:tcW w:w="1885" w:type="dxa"/>
            <w:tcMar>
              <w:top w:w="28" w:type="dxa"/>
              <w:left w:w="28" w:type="dxa"/>
              <w:bottom w:w="28" w:type="dxa"/>
              <w:right w:w="28" w:type="dxa"/>
            </w:tcMar>
          </w:tcPr>
          <w:p w:rsidR="00F90BE8" w:rsidRDefault="00595360">
            <w:pPr>
              <w:autoSpaceDE w:val="0"/>
              <w:autoSpaceDN w:val="0"/>
              <w:adjustRightInd w:val="0"/>
              <w:jc w:val="center"/>
              <w:rPr>
                <w:b/>
                <w:szCs w:val="22"/>
              </w:rPr>
            </w:pPr>
            <w:r>
              <w:rPr>
                <w:b/>
                <w:szCs w:val="22"/>
              </w:rPr>
              <w:t>Estimated DBS Subscribers</w:t>
            </w:r>
          </w:p>
        </w:tc>
      </w:tr>
      <w:tr w:rsidR="00F90BE8">
        <w:trPr>
          <w:trHeight w:val="252"/>
        </w:trPr>
        <w:tc>
          <w:tcPr>
            <w:tcW w:w="2522"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Airway Heights</w:t>
            </w:r>
          </w:p>
        </w:tc>
        <w:tc>
          <w:tcPr>
            <w:tcW w:w="1351"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WA0350</w:t>
            </w:r>
          </w:p>
        </w:tc>
        <w:tc>
          <w:tcPr>
            <w:tcW w:w="1441" w:type="dxa"/>
            <w:tcMar>
              <w:top w:w="28" w:type="dxa"/>
              <w:left w:w="28" w:type="dxa"/>
              <w:bottom w:w="28" w:type="dxa"/>
              <w:right w:w="28" w:type="dxa"/>
            </w:tcMar>
          </w:tcPr>
          <w:p w:rsidR="00F90BE8" w:rsidRDefault="00595360" w:rsidP="000874DC">
            <w:pPr>
              <w:autoSpaceDE w:val="0"/>
              <w:autoSpaceDN w:val="0"/>
              <w:adjustRightInd w:val="0"/>
              <w:jc w:val="center"/>
              <w:rPr>
                <w:sz w:val="20"/>
              </w:rPr>
            </w:pPr>
            <w:r>
              <w:rPr>
                <w:sz w:val="20"/>
              </w:rPr>
              <w:t>2</w:t>
            </w:r>
            <w:r w:rsidR="000874DC">
              <w:rPr>
                <w:sz w:val="20"/>
              </w:rPr>
              <w:t>2</w:t>
            </w:r>
            <w:r>
              <w:rPr>
                <w:sz w:val="20"/>
              </w:rPr>
              <w:t>.8</w:t>
            </w:r>
            <w:r w:rsidR="000874DC">
              <w:rPr>
                <w:sz w:val="20"/>
              </w:rPr>
              <w:t>8</w:t>
            </w:r>
            <w:r>
              <w:rPr>
                <w:sz w:val="20"/>
              </w:rPr>
              <w:t>%</w:t>
            </w:r>
          </w:p>
        </w:tc>
        <w:tc>
          <w:tcPr>
            <w:tcW w:w="1801" w:type="dxa"/>
            <w:tcMar>
              <w:top w:w="28" w:type="dxa"/>
              <w:left w:w="28" w:type="dxa"/>
              <w:bottom w:w="28" w:type="dxa"/>
              <w:right w:w="28" w:type="dxa"/>
            </w:tcMar>
          </w:tcPr>
          <w:p w:rsidR="00F90BE8" w:rsidRDefault="009E6556">
            <w:pPr>
              <w:autoSpaceDE w:val="0"/>
              <w:autoSpaceDN w:val="0"/>
              <w:adjustRightInd w:val="0"/>
              <w:jc w:val="center"/>
              <w:rPr>
                <w:sz w:val="20"/>
              </w:rPr>
            </w:pPr>
            <w:r>
              <w:rPr>
                <w:sz w:val="20"/>
              </w:rPr>
              <w:t>1,547</w:t>
            </w:r>
          </w:p>
        </w:tc>
        <w:tc>
          <w:tcPr>
            <w:tcW w:w="1885" w:type="dxa"/>
            <w:tcMar>
              <w:top w:w="28" w:type="dxa"/>
              <w:left w:w="28" w:type="dxa"/>
              <w:bottom w:w="28" w:type="dxa"/>
              <w:right w:w="28" w:type="dxa"/>
            </w:tcMar>
          </w:tcPr>
          <w:p w:rsidR="00F90BE8" w:rsidRDefault="006A2AEA">
            <w:pPr>
              <w:autoSpaceDE w:val="0"/>
              <w:autoSpaceDN w:val="0"/>
              <w:adjustRightInd w:val="0"/>
              <w:jc w:val="center"/>
              <w:rPr>
                <w:sz w:val="20"/>
              </w:rPr>
            </w:pPr>
            <w:r>
              <w:rPr>
                <w:sz w:val="20"/>
              </w:rPr>
              <w:t>354</w:t>
            </w:r>
          </w:p>
        </w:tc>
      </w:tr>
      <w:tr w:rsidR="00F90BE8">
        <w:trPr>
          <w:trHeight w:val="252"/>
        </w:trPr>
        <w:tc>
          <w:tcPr>
            <w:tcW w:w="2522"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 xml:space="preserve">Liberty Lake </w:t>
            </w:r>
          </w:p>
        </w:tc>
        <w:tc>
          <w:tcPr>
            <w:tcW w:w="1351"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WA0836</w:t>
            </w:r>
          </w:p>
        </w:tc>
        <w:tc>
          <w:tcPr>
            <w:tcW w:w="1441" w:type="dxa"/>
            <w:tcMar>
              <w:top w:w="28" w:type="dxa"/>
              <w:left w:w="28" w:type="dxa"/>
              <w:bottom w:w="28" w:type="dxa"/>
              <w:right w:w="28" w:type="dxa"/>
            </w:tcMar>
          </w:tcPr>
          <w:p w:rsidR="00F90BE8" w:rsidRDefault="000874DC" w:rsidP="000874DC">
            <w:pPr>
              <w:autoSpaceDE w:val="0"/>
              <w:autoSpaceDN w:val="0"/>
              <w:adjustRightInd w:val="0"/>
              <w:jc w:val="center"/>
              <w:rPr>
                <w:sz w:val="20"/>
              </w:rPr>
            </w:pPr>
            <w:r>
              <w:rPr>
                <w:sz w:val="20"/>
              </w:rPr>
              <w:t>31</w:t>
            </w:r>
            <w:r w:rsidR="00595360">
              <w:rPr>
                <w:sz w:val="20"/>
              </w:rPr>
              <w:t>.</w:t>
            </w:r>
            <w:r>
              <w:rPr>
                <w:sz w:val="20"/>
              </w:rPr>
              <w:t>80</w:t>
            </w:r>
            <w:r w:rsidR="00595360">
              <w:rPr>
                <w:sz w:val="20"/>
              </w:rPr>
              <w:t>%</w:t>
            </w:r>
          </w:p>
        </w:tc>
        <w:tc>
          <w:tcPr>
            <w:tcW w:w="1801" w:type="dxa"/>
            <w:tcMar>
              <w:top w:w="28" w:type="dxa"/>
              <w:left w:w="28" w:type="dxa"/>
              <w:bottom w:w="28" w:type="dxa"/>
              <w:right w:w="28" w:type="dxa"/>
            </w:tcMar>
          </w:tcPr>
          <w:p w:rsidR="00F90BE8" w:rsidRDefault="009E6556">
            <w:pPr>
              <w:autoSpaceDE w:val="0"/>
              <w:autoSpaceDN w:val="0"/>
              <w:adjustRightInd w:val="0"/>
              <w:jc w:val="center"/>
              <w:rPr>
                <w:sz w:val="20"/>
              </w:rPr>
            </w:pPr>
            <w:r>
              <w:rPr>
                <w:sz w:val="20"/>
              </w:rPr>
              <w:t>2,893</w:t>
            </w:r>
          </w:p>
        </w:tc>
        <w:tc>
          <w:tcPr>
            <w:tcW w:w="1885" w:type="dxa"/>
            <w:tcMar>
              <w:top w:w="28" w:type="dxa"/>
              <w:left w:w="28" w:type="dxa"/>
              <w:bottom w:w="28" w:type="dxa"/>
              <w:right w:w="28" w:type="dxa"/>
            </w:tcMar>
          </w:tcPr>
          <w:p w:rsidR="00F90BE8" w:rsidRDefault="006A2AEA">
            <w:pPr>
              <w:autoSpaceDE w:val="0"/>
              <w:autoSpaceDN w:val="0"/>
              <w:adjustRightInd w:val="0"/>
              <w:jc w:val="center"/>
              <w:rPr>
                <w:sz w:val="20"/>
              </w:rPr>
            </w:pPr>
            <w:r>
              <w:rPr>
                <w:sz w:val="20"/>
              </w:rPr>
              <w:t>920</w:t>
            </w:r>
          </w:p>
        </w:tc>
      </w:tr>
      <w:tr w:rsidR="00F90BE8">
        <w:trPr>
          <w:trHeight w:val="252"/>
        </w:trPr>
        <w:tc>
          <w:tcPr>
            <w:tcW w:w="2522"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Millwood</w:t>
            </w:r>
          </w:p>
        </w:tc>
        <w:tc>
          <w:tcPr>
            <w:tcW w:w="1351"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WA0296</w:t>
            </w:r>
          </w:p>
        </w:tc>
        <w:tc>
          <w:tcPr>
            <w:tcW w:w="1441" w:type="dxa"/>
            <w:tcMar>
              <w:top w:w="28" w:type="dxa"/>
              <w:left w:w="28" w:type="dxa"/>
              <w:bottom w:w="28" w:type="dxa"/>
              <w:right w:w="28" w:type="dxa"/>
            </w:tcMar>
          </w:tcPr>
          <w:p w:rsidR="00F90BE8" w:rsidRDefault="000874DC" w:rsidP="000874DC">
            <w:pPr>
              <w:autoSpaceDE w:val="0"/>
              <w:autoSpaceDN w:val="0"/>
              <w:adjustRightInd w:val="0"/>
              <w:jc w:val="center"/>
              <w:rPr>
                <w:sz w:val="20"/>
              </w:rPr>
            </w:pPr>
            <w:r>
              <w:rPr>
                <w:sz w:val="20"/>
              </w:rPr>
              <w:t>18</w:t>
            </w:r>
            <w:r w:rsidR="00595360">
              <w:rPr>
                <w:sz w:val="20"/>
              </w:rPr>
              <w:t>.</w:t>
            </w:r>
            <w:r>
              <w:rPr>
                <w:sz w:val="20"/>
              </w:rPr>
              <w:t>91</w:t>
            </w:r>
            <w:r w:rsidR="00595360">
              <w:rPr>
                <w:sz w:val="20"/>
              </w:rPr>
              <w:t>%</w:t>
            </w:r>
          </w:p>
        </w:tc>
        <w:tc>
          <w:tcPr>
            <w:tcW w:w="1801" w:type="dxa"/>
            <w:tcMar>
              <w:top w:w="28" w:type="dxa"/>
              <w:left w:w="28" w:type="dxa"/>
              <w:bottom w:w="28" w:type="dxa"/>
              <w:right w:w="28" w:type="dxa"/>
            </w:tcMar>
          </w:tcPr>
          <w:p w:rsidR="00F90BE8" w:rsidRDefault="009E6556">
            <w:pPr>
              <w:autoSpaceDE w:val="0"/>
              <w:autoSpaceDN w:val="0"/>
              <w:adjustRightInd w:val="0"/>
              <w:jc w:val="center"/>
              <w:rPr>
                <w:sz w:val="20"/>
              </w:rPr>
            </w:pPr>
            <w:r>
              <w:rPr>
                <w:sz w:val="20"/>
              </w:rPr>
              <w:t>751</w:t>
            </w:r>
          </w:p>
        </w:tc>
        <w:tc>
          <w:tcPr>
            <w:tcW w:w="1885" w:type="dxa"/>
            <w:tcMar>
              <w:top w:w="28" w:type="dxa"/>
              <w:left w:w="28" w:type="dxa"/>
              <w:bottom w:w="28" w:type="dxa"/>
              <w:right w:w="28" w:type="dxa"/>
            </w:tcMar>
          </w:tcPr>
          <w:p w:rsidR="00F90BE8" w:rsidRDefault="006A2AEA">
            <w:pPr>
              <w:autoSpaceDE w:val="0"/>
              <w:autoSpaceDN w:val="0"/>
              <w:adjustRightInd w:val="0"/>
              <w:jc w:val="center"/>
              <w:rPr>
                <w:sz w:val="20"/>
              </w:rPr>
            </w:pPr>
            <w:r>
              <w:rPr>
                <w:sz w:val="20"/>
              </w:rPr>
              <w:t>142</w:t>
            </w:r>
          </w:p>
        </w:tc>
      </w:tr>
      <w:tr w:rsidR="00F90BE8">
        <w:trPr>
          <w:trHeight w:val="252"/>
        </w:trPr>
        <w:tc>
          <w:tcPr>
            <w:tcW w:w="2522"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 xml:space="preserve">Spokane City </w:t>
            </w:r>
          </w:p>
        </w:tc>
        <w:tc>
          <w:tcPr>
            <w:tcW w:w="1351"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WA0231</w:t>
            </w:r>
          </w:p>
        </w:tc>
        <w:tc>
          <w:tcPr>
            <w:tcW w:w="1441" w:type="dxa"/>
            <w:tcMar>
              <w:top w:w="28" w:type="dxa"/>
              <w:left w:w="28" w:type="dxa"/>
              <w:bottom w:w="28" w:type="dxa"/>
              <w:right w:w="28" w:type="dxa"/>
            </w:tcMar>
          </w:tcPr>
          <w:p w:rsidR="00F90BE8" w:rsidRDefault="00595360" w:rsidP="000874DC">
            <w:pPr>
              <w:autoSpaceDE w:val="0"/>
              <w:autoSpaceDN w:val="0"/>
              <w:adjustRightInd w:val="0"/>
              <w:jc w:val="center"/>
              <w:rPr>
                <w:sz w:val="20"/>
              </w:rPr>
            </w:pPr>
            <w:r>
              <w:rPr>
                <w:sz w:val="20"/>
              </w:rPr>
              <w:t>1</w:t>
            </w:r>
            <w:r w:rsidR="000874DC">
              <w:rPr>
                <w:sz w:val="20"/>
              </w:rPr>
              <w:t>5</w:t>
            </w:r>
            <w:r>
              <w:rPr>
                <w:sz w:val="20"/>
              </w:rPr>
              <w:t>.</w:t>
            </w:r>
            <w:r w:rsidR="000874DC">
              <w:rPr>
                <w:sz w:val="20"/>
              </w:rPr>
              <w:t>82</w:t>
            </w:r>
            <w:r>
              <w:rPr>
                <w:sz w:val="20"/>
              </w:rPr>
              <w:t>%</w:t>
            </w:r>
          </w:p>
        </w:tc>
        <w:tc>
          <w:tcPr>
            <w:tcW w:w="1801" w:type="dxa"/>
            <w:tcMar>
              <w:top w:w="28" w:type="dxa"/>
              <w:left w:w="28" w:type="dxa"/>
              <w:bottom w:w="28" w:type="dxa"/>
              <w:right w:w="28" w:type="dxa"/>
            </w:tcMar>
          </w:tcPr>
          <w:p w:rsidR="00F90BE8" w:rsidRDefault="009E6556">
            <w:pPr>
              <w:autoSpaceDE w:val="0"/>
              <w:autoSpaceDN w:val="0"/>
              <w:adjustRightInd w:val="0"/>
              <w:jc w:val="center"/>
              <w:rPr>
                <w:sz w:val="20"/>
              </w:rPr>
            </w:pPr>
            <w:r>
              <w:rPr>
                <w:sz w:val="20"/>
              </w:rPr>
              <w:t>87,271</w:t>
            </w:r>
          </w:p>
        </w:tc>
        <w:tc>
          <w:tcPr>
            <w:tcW w:w="1885" w:type="dxa"/>
            <w:tcMar>
              <w:top w:w="28" w:type="dxa"/>
              <w:left w:w="28" w:type="dxa"/>
              <w:bottom w:w="28" w:type="dxa"/>
              <w:right w:w="28" w:type="dxa"/>
            </w:tcMar>
          </w:tcPr>
          <w:p w:rsidR="00F90BE8" w:rsidRDefault="006A2AEA">
            <w:pPr>
              <w:autoSpaceDE w:val="0"/>
              <w:autoSpaceDN w:val="0"/>
              <w:adjustRightInd w:val="0"/>
              <w:jc w:val="center"/>
              <w:rPr>
                <w:sz w:val="20"/>
              </w:rPr>
            </w:pPr>
            <w:r>
              <w:rPr>
                <w:sz w:val="20"/>
              </w:rPr>
              <w:t>13,808</w:t>
            </w:r>
          </w:p>
        </w:tc>
      </w:tr>
      <w:tr w:rsidR="00F90BE8">
        <w:trPr>
          <w:trHeight w:val="252"/>
        </w:trPr>
        <w:tc>
          <w:tcPr>
            <w:tcW w:w="2522"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Spokane Valley</w:t>
            </w:r>
          </w:p>
        </w:tc>
        <w:tc>
          <w:tcPr>
            <w:tcW w:w="1351" w:type="dxa"/>
            <w:tcMar>
              <w:top w:w="28" w:type="dxa"/>
              <w:left w:w="28" w:type="dxa"/>
              <w:bottom w:w="28" w:type="dxa"/>
              <w:right w:w="28" w:type="dxa"/>
            </w:tcMar>
          </w:tcPr>
          <w:p w:rsidR="00F90BE8" w:rsidRDefault="00AB13C3">
            <w:pPr>
              <w:autoSpaceDE w:val="0"/>
              <w:autoSpaceDN w:val="0"/>
              <w:adjustRightInd w:val="0"/>
              <w:jc w:val="center"/>
              <w:rPr>
                <w:sz w:val="20"/>
              </w:rPr>
            </w:pPr>
            <w:r>
              <w:rPr>
                <w:sz w:val="20"/>
              </w:rPr>
              <w:t>WA0844</w:t>
            </w:r>
          </w:p>
        </w:tc>
        <w:tc>
          <w:tcPr>
            <w:tcW w:w="1441" w:type="dxa"/>
            <w:tcMar>
              <w:top w:w="28" w:type="dxa"/>
              <w:left w:w="28" w:type="dxa"/>
              <w:bottom w:w="28" w:type="dxa"/>
              <w:right w:w="28" w:type="dxa"/>
            </w:tcMar>
          </w:tcPr>
          <w:p w:rsidR="00F90BE8" w:rsidRDefault="000874DC" w:rsidP="000874DC">
            <w:pPr>
              <w:autoSpaceDE w:val="0"/>
              <w:autoSpaceDN w:val="0"/>
              <w:adjustRightInd w:val="0"/>
              <w:jc w:val="center"/>
              <w:rPr>
                <w:sz w:val="20"/>
              </w:rPr>
            </w:pPr>
            <w:r>
              <w:rPr>
                <w:sz w:val="20"/>
              </w:rPr>
              <w:t>20</w:t>
            </w:r>
            <w:r w:rsidR="00595360">
              <w:rPr>
                <w:sz w:val="20"/>
              </w:rPr>
              <w:t>.3</w:t>
            </w:r>
            <w:r>
              <w:rPr>
                <w:sz w:val="20"/>
              </w:rPr>
              <w:t>0</w:t>
            </w:r>
            <w:r w:rsidR="00595360">
              <w:rPr>
                <w:sz w:val="20"/>
              </w:rPr>
              <w:t>%</w:t>
            </w:r>
          </w:p>
        </w:tc>
        <w:tc>
          <w:tcPr>
            <w:tcW w:w="1801" w:type="dxa"/>
            <w:tcMar>
              <w:top w:w="28" w:type="dxa"/>
              <w:left w:w="28" w:type="dxa"/>
              <w:bottom w:w="28" w:type="dxa"/>
              <w:right w:w="28" w:type="dxa"/>
            </w:tcMar>
          </w:tcPr>
          <w:p w:rsidR="00F90BE8" w:rsidRDefault="009E6556">
            <w:pPr>
              <w:autoSpaceDE w:val="0"/>
              <w:autoSpaceDN w:val="0"/>
              <w:adjustRightInd w:val="0"/>
              <w:jc w:val="center"/>
              <w:rPr>
                <w:sz w:val="20"/>
              </w:rPr>
            </w:pPr>
            <w:r>
              <w:rPr>
                <w:sz w:val="20"/>
              </w:rPr>
              <w:t>36,558</w:t>
            </w:r>
          </w:p>
        </w:tc>
        <w:tc>
          <w:tcPr>
            <w:tcW w:w="1885" w:type="dxa"/>
            <w:tcMar>
              <w:top w:w="28" w:type="dxa"/>
              <w:left w:w="28" w:type="dxa"/>
              <w:bottom w:w="28" w:type="dxa"/>
              <w:right w:w="28" w:type="dxa"/>
            </w:tcMar>
          </w:tcPr>
          <w:p w:rsidR="00F90BE8" w:rsidRDefault="006A2AEA">
            <w:pPr>
              <w:autoSpaceDE w:val="0"/>
              <w:autoSpaceDN w:val="0"/>
              <w:adjustRightInd w:val="0"/>
              <w:jc w:val="center"/>
              <w:rPr>
                <w:sz w:val="20"/>
              </w:rPr>
            </w:pPr>
            <w:r>
              <w:rPr>
                <w:sz w:val="20"/>
              </w:rPr>
              <w:t>7,423</w:t>
            </w:r>
          </w:p>
        </w:tc>
      </w:tr>
    </w:tbl>
    <w:p w:rsidR="00F90BE8" w:rsidRDefault="00F90BE8">
      <w:pPr>
        <w:pStyle w:val="EndnoteText"/>
        <w:spacing w:after="0"/>
        <w:rPr>
          <w:sz w:val="20"/>
        </w:rPr>
      </w:pPr>
    </w:p>
    <w:p w:rsidR="00595360" w:rsidRDefault="00595360">
      <w:pPr>
        <w:pStyle w:val="EndnoteText"/>
        <w:spacing w:after="0"/>
        <w:rPr>
          <w:sz w:val="20"/>
        </w:rPr>
      </w:pPr>
      <w:r>
        <w:rPr>
          <w:sz w:val="20"/>
        </w:rPr>
        <w:t xml:space="preserve">   *CPR = Percent of competitive DBS penetration rate.</w:t>
      </w:r>
    </w:p>
    <w:sectPr w:rsidR="005953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BD" w:rsidRDefault="005C06BD">
      <w:r>
        <w:separator/>
      </w:r>
    </w:p>
  </w:endnote>
  <w:endnote w:type="continuationSeparator" w:id="0">
    <w:p w:rsidR="005C06BD" w:rsidRDefault="005C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DC" w:rsidRDefault="00B46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Footer"/>
      <w:jc w:val="center"/>
    </w:pPr>
    <w:r>
      <w:rPr>
        <w:rStyle w:val="PageNumber"/>
      </w:rPr>
      <w:fldChar w:fldCharType="begin"/>
    </w:r>
    <w:r>
      <w:rPr>
        <w:rStyle w:val="PageNumber"/>
      </w:rPr>
      <w:instrText xml:space="preserve"> PAGE </w:instrText>
    </w:r>
    <w:r>
      <w:rPr>
        <w:rStyle w:val="PageNumber"/>
      </w:rPr>
      <w:fldChar w:fldCharType="separate"/>
    </w:r>
    <w:r w:rsidR="001F4CC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DC" w:rsidRDefault="00B4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BD" w:rsidRDefault="005C06BD">
      <w:pPr>
        <w:rPr>
          <w:sz w:val="20"/>
        </w:rPr>
      </w:pPr>
      <w:r>
        <w:rPr>
          <w:sz w:val="20"/>
        </w:rPr>
        <w:separator/>
      </w:r>
    </w:p>
  </w:footnote>
  <w:footnote w:type="continuationSeparator" w:id="0">
    <w:p w:rsidR="005C06BD" w:rsidRDefault="005C06BD">
      <w:pPr>
        <w:rPr>
          <w:sz w:val="20"/>
        </w:rPr>
      </w:pPr>
      <w:r>
        <w:rPr>
          <w:sz w:val="20"/>
        </w:rPr>
        <w:separator/>
      </w:r>
    </w:p>
    <w:p w:rsidR="005C06BD" w:rsidRDefault="005C06BD">
      <w:pPr>
        <w:rPr>
          <w:sz w:val="20"/>
        </w:rPr>
      </w:pPr>
      <w:r>
        <w:rPr>
          <w:sz w:val="20"/>
        </w:rPr>
        <w:t>(...continued from previous page)</w:t>
      </w:r>
    </w:p>
  </w:footnote>
  <w:footnote w:type="continuationNotice" w:id="1">
    <w:p w:rsidR="005C06BD" w:rsidRDefault="005C06BD">
      <w:pPr>
        <w:jc w:val="right"/>
        <w:rPr>
          <w:sz w:val="20"/>
        </w:rPr>
      </w:pPr>
      <w:r>
        <w:rPr>
          <w:sz w:val="20"/>
        </w:rPr>
        <w:t>(continued....)</w:t>
      </w:r>
    </w:p>
  </w:footnote>
  <w:footnote w:id="2">
    <w:p w:rsidR="009D41CB" w:rsidRDefault="009D41CB" w:rsidP="00E74411">
      <w:pPr>
        <w:pStyle w:val="FootnoteText"/>
        <w:jc w:val="left"/>
      </w:pPr>
      <w:r>
        <w:rPr>
          <w:rStyle w:val="FootnoteReference"/>
        </w:rPr>
        <w:footnoteRef/>
      </w:r>
      <w:r>
        <w:t xml:space="preserve"> 47 U.S.C</w:t>
      </w:r>
      <w:r w:rsidR="00F857CD">
        <w:t>.</w:t>
      </w:r>
      <w:r>
        <w:t xml:space="preserve"> § 543(</w:t>
      </w:r>
      <w:r w:rsidR="001645EC">
        <w:t>l</w:t>
      </w:r>
      <w:r>
        <w:t>)(1)(B).</w:t>
      </w:r>
    </w:p>
  </w:footnote>
  <w:footnote w:id="3">
    <w:p w:rsidR="009D41CB" w:rsidRDefault="009D41CB" w:rsidP="00E74411">
      <w:pPr>
        <w:pStyle w:val="FootnoteText"/>
        <w:jc w:val="left"/>
      </w:pPr>
      <w:r>
        <w:rPr>
          <w:rStyle w:val="FootnoteReference"/>
        </w:rPr>
        <w:footnoteRef/>
      </w:r>
      <w:r>
        <w:t xml:space="preserve"> 47 C.F.R. § </w:t>
      </w:r>
      <w:r w:rsidR="001645EC">
        <w:t>76.</w:t>
      </w:r>
      <w:r>
        <w:t>905(b)(2).</w:t>
      </w:r>
    </w:p>
  </w:footnote>
  <w:footnote w:id="4">
    <w:p w:rsidR="008861C3" w:rsidRPr="008861C3" w:rsidRDefault="008861C3" w:rsidP="00E74411">
      <w:pPr>
        <w:pStyle w:val="FootnoteText"/>
        <w:jc w:val="left"/>
        <w:rPr>
          <w:i/>
        </w:rPr>
      </w:pPr>
      <w:r>
        <w:rPr>
          <w:rStyle w:val="FootnoteReference"/>
        </w:rPr>
        <w:footnoteRef/>
      </w:r>
      <w:r>
        <w:t xml:space="preserve"> </w:t>
      </w:r>
      <w:r>
        <w:rPr>
          <w:i/>
        </w:rPr>
        <w:t xml:space="preserve">See Amendment to the Commission’s Rules Concerning Effective Competition; Implementation of Section 111 of the STELA Reauthorization Act, </w:t>
      </w:r>
      <w:r>
        <w:t>Report and Order, 30 FCC Rcd 6574 (2015) (“</w:t>
      </w:r>
      <w:r>
        <w:rPr>
          <w:i/>
        </w:rPr>
        <w:t>Effective Competition Order</w:t>
      </w:r>
      <w:r>
        <w:t xml:space="preserve">”). </w:t>
      </w:r>
      <w:r>
        <w:rPr>
          <w:i/>
        </w:rPr>
        <w:t xml:space="preserve"> </w:t>
      </w:r>
    </w:p>
  </w:footnote>
  <w:footnote w:id="5">
    <w:p w:rsidR="006758C4" w:rsidRPr="006758C4" w:rsidRDefault="006758C4" w:rsidP="00E74411">
      <w:pPr>
        <w:pStyle w:val="FootnoteText"/>
        <w:jc w:val="left"/>
      </w:pPr>
      <w:r>
        <w:rPr>
          <w:rStyle w:val="FootnoteReference"/>
        </w:rPr>
        <w:footnoteRef/>
      </w:r>
      <w:r>
        <w:t xml:space="preserve"> </w:t>
      </w:r>
      <w:r>
        <w:rPr>
          <w:i/>
        </w:rPr>
        <w:t xml:space="preserve">See </w:t>
      </w:r>
      <w:r>
        <w:t>47 U.S.C. § 543(</w:t>
      </w:r>
      <w:r w:rsidR="001645EC">
        <w:t>l</w:t>
      </w:r>
      <w:r>
        <w:t>)(1); 47 C.F.R. §§ 76.905(b), 76.906.</w:t>
      </w:r>
    </w:p>
  </w:footnote>
  <w:footnote w:id="6">
    <w:p w:rsidR="00C472E5" w:rsidRPr="00C472E5" w:rsidRDefault="00C472E5" w:rsidP="00E74411">
      <w:pPr>
        <w:pStyle w:val="FootnoteText"/>
        <w:jc w:val="left"/>
      </w:pPr>
      <w:r>
        <w:rPr>
          <w:rStyle w:val="FootnoteReference"/>
        </w:rPr>
        <w:footnoteRef/>
      </w:r>
      <w:r>
        <w:t xml:space="preserve"> 47 U.S.C. § 543(</w:t>
      </w:r>
      <w:r w:rsidR="001645EC">
        <w:t>l</w:t>
      </w:r>
      <w:r>
        <w:t xml:space="preserve">)(1)(B); </w:t>
      </w:r>
      <w:r>
        <w:rPr>
          <w:i/>
        </w:rPr>
        <w:t xml:space="preserve">see also </w:t>
      </w:r>
      <w:r>
        <w:t>47 C.F.R. § 76.905(b)(2).</w:t>
      </w:r>
    </w:p>
  </w:footnote>
  <w:footnote w:id="7">
    <w:p w:rsidR="001E0FDA" w:rsidRDefault="001E0FDA" w:rsidP="00E74411">
      <w:pPr>
        <w:pStyle w:val="FootnoteText"/>
        <w:jc w:val="left"/>
      </w:pPr>
      <w:r>
        <w:rPr>
          <w:rStyle w:val="FootnoteReference"/>
        </w:rPr>
        <w:footnoteRef/>
      </w:r>
      <w:r>
        <w:t xml:space="preserve"> 47 C.F.R. § 76.905(b)(2)(i).</w:t>
      </w:r>
    </w:p>
  </w:footnote>
  <w:footnote w:id="8">
    <w:p w:rsidR="00F90BE8" w:rsidRDefault="00595360" w:rsidP="001645EC">
      <w:pPr>
        <w:pStyle w:val="FootnoteText"/>
        <w:jc w:val="left"/>
      </w:pPr>
      <w:r>
        <w:rPr>
          <w:rStyle w:val="FootnoteReference"/>
        </w:rPr>
        <w:footnoteRef/>
      </w:r>
      <w:r>
        <w:t xml:space="preserve"> </w:t>
      </w:r>
      <w:r>
        <w:rPr>
          <w:i/>
        </w:rPr>
        <w:t>Effective Competition Order</w:t>
      </w:r>
      <w:r>
        <w:t>, 30 FCC Rcd at 6580-81, ¶ 8.</w:t>
      </w:r>
    </w:p>
  </w:footnote>
  <w:footnote w:id="9">
    <w:p w:rsidR="00F90BE8" w:rsidRDefault="00595360">
      <w:pPr>
        <w:pStyle w:val="FootnoteText"/>
        <w:jc w:val="left"/>
      </w:pPr>
      <w:r>
        <w:rPr>
          <w:rStyle w:val="FootnoteReference"/>
        </w:rPr>
        <w:footnoteRef/>
      </w:r>
      <w:r>
        <w:t xml:space="preserve"> 47 C.F.R. § 76.905(b)(2)(ii).</w:t>
      </w:r>
    </w:p>
  </w:footnote>
  <w:footnote w:id="10">
    <w:p w:rsidR="00F90BE8" w:rsidRDefault="00595360">
      <w:pPr>
        <w:pStyle w:val="FootnoteText"/>
        <w:jc w:val="left"/>
      </w:pPr>
      <w:r>
        <w:rPr>
          <w:rStyle w:val="FootnoteReference"/>
        </w:rPr>
        <w:footnoteRef/>
      </w:r>
      <w:r>
        <w:t xml:space="preserve"> </w:t>
      </w:r>
      <w:r>
        <w:rPr>
          <w:i/>
        </w:rPr>
        <w:t>Effective Competition Order</w:t>
      </w:r>
      <w:r>
        <w:t>, 30 FCC Rcd at 6581-82, ¶ 9.</w:t>
      </w:r>
    </w:p>
  </w:footnote>
  <w:footnote w:id="11">
    <w:p w:rsidR="0080779F" w:rsidRPr="00BC310B" w:rsidRDefault="0080779F" w:rsidP="00E74411">
      <w:pPr>
        <w:pStyle w:val="FootnoteText"/>
        <w:jc w:val="left"/>
      </w:pPr>
      <w:r>
        <w:rPr>
          <w:rStyle w:val="FootnoteReference"/>
        </w:rPr>
        <w:footnoteRef/>
      </w:r>
      <w:r w:rsidR="00BC310B">
        <w:t xml:space="preserve"> </w:t>
      </w:r>
      <w:r w:rsidR="008655BC">
        <w:t>City of Airway Heights Opposition at 1-2</w:t>
      </w:r>
      <w:r w:rsidR="00E74411">
        <w:t>;</w:t>
      </w:r>
      <w:r w:rsidR="008655BC">
        <w:t xml:space="preserve"> City of Spokane Opposition at 4</w:t>
      </w:r>
      <w:r w:rsidR="00E74411">
        <w:t>.</w:t>
      </w:r>
      <w:r w:rsidR="008655BC">
        <w:t xml:space="preserve"> </w:t>
      </w:r>
    </w:p>
  </w:footnote>
  <w:footnote w:id="12">
    <w:p w:rsidR="00AD037A" w:rsidRPr="00377DC6" w:rsidRDefault="00AD037A" w:rsidP="00E74411">
      <w:pPr>
        <w:pStyle w:val="FootnoteText"/>
        <w:jc w:val="left"/>
      </w:pPr>
      <w:r>
        <w:rPr>
          <w:rStyle w:val="FootnoteReference"/>
        </w:rPr>
        <w:footnoteRef/>
      </w:r>
      <w:r>
        <w:t xml:space="preserve"> Reply to City of Airway Heights at 2-3; Reply to City of Spokane at 2</w:t>
      </w:r>
      <w:r w:rsidR="00E74411">
        <w:t>.  T</w:t>
      </w:r>
      <w:r w:rsidR="008655BC">
        <w:t>he City of Airway Heights also relies on a Commission decision involving the “low penetration” effective competition test to contend that Comcast’s DBS subscribership data is outdated</w:t>
      </w:r>
      <w:r w:rsidR="00F34FF5">
        <w:t xml:space="preserve"> because it is more than two months old</w:t>
      </w:r>
      <w:r w:rsidR="008655BC">
        <w:t xml:space="preserve">.  </w:t>
      </w:r>
      <w:r w:rsidR="00571B5E">
        <w:t>City of Airway Heights Opposition at 2.</w:t>
      </w:r>
      <w:r w:rsidR="008655BC">
        <w:t xml:space="preserve">  We agree with Comcast that the </w:t>
      </w:r>
      <w:r w:rsidR="00F34FF5">
        <w:t>two-month limitation applies</w:t>
      </w:r>
      <w:r w:rsidR="008655BC">
        <w:t xml:space="preserve"> only to a cable operator’s own subscriber numbers under the low penetration test, and not to DBS subscriber data under the competing provider test.</w:t>
      </w:r>
      <w:r w:rsidR="00F34FF5">
        <w:t xml:space="preserve">  Reply to City of Airway Heights at 2, n.6 (</w:t>
      </w:r>
      <w:r w:rsidR="00F34FF5">
        <w:rPr>
          <w:i/>
        </w:rPr>
        <w:t>citing Time Warner Cable, Inc. – Nine Franchise Areas in New Jersey</w:t>
      </w:r>
      <w:r w:rsidR="00F34FF5">
        <w:t>, 25 FCC Rcd 5457, ¶¶ 19-20 (2010)).</w:t>
      </w:r>
    </w:p>
  </w:footnote>
  <w:footnote w:id="13">
    <w:p w:rsidR="000252F2" w:rsidRDefault="000252F2" w:rsidP="00E74411">
      <w:pPr>
        <w:pStyle w:val="FootnoteText"/>
        <w:jc w:val="left"/>
      </w:pPr>
      <w:r>
        <w:rPr>
          <w:rStyle w:val="FootnoteReference"/>
        </w:rPr>
        <w:footnoteRef/>
      </w:r>
      <w:r>
        <w:t xml:space="preserve"> City of Spokane Opposition at </w:t>
      </w:r>
      <w:r w:rsidR="00BF3D30">
        <w:t>4-5</w:t>
      </w:r>
      <w:r>
        <w:t xml:space="preserve">, Exhibit 1.  </w:t>
      </w:r>
    </w:p>
  </w:footnote>
  <w:footnote w:id="14">
    <w:p w:rsidR="00DD11AD" w:rsidRPr="00DD11AD" w:rsidRDefault="00DD11AD" w:rsidP="00E74411">
      <w:pPr>
        <w:pStyle w:val="FootnoteText"/>
        <w:jc w:val="left"/>
        <w:rPr>
          <w:i/>
        </w:rPr>
      </w:pPr>
      <w:r>
        <w:rPr>
          <w:rStyle w:val="FootnoteReference"/>
        </w:rPr>
        <w:footnoteRef/>
      </w:r>
      <w:r>
        <w:t xml:space="preserve"> </w:t>
      </w:r>
      <w:r w:rsidR="00F34FF5">
        <w:t>Reply to City of Spokane at 3.</w:t>
      </w:r>
    </w:p>
  </w:footnote>
  <w:footnote w:id="15">
    <w:p w:rsidR="00322F49" w:rsidRDefault="00322F49" w:rsidP="00E74411">
      <w:pPr>
        <w:pStyle w:val="FootnoteText"/>
        <w:jc w:val="left"/>
      </w:pPr>
      <w:r>
        <w:rPr>
          <w:rStyle w:val="FootnoteReference"/>
        </w:rPr>
        <w:footnoteRef/>
      </w:r>
      <w:r>
        <w:t xml:space="preserve"> City of Spokane Opposition at 4-5, Exhibit 1.</w:t>
      </w:r>
    </w:p>
  </w:footnote>
  <w:footnote w:id="16">
    <w:p w:rsidR="00227F97" w:rsidRDefault="00227F97" w:rsidP="00E74411">
      <w:pPr>
        <w:pStyle w:val="FootnoteText"/>
        <w:jc w:val="left"/>
      </w:pPr>
      <w:r>
        <w:rPr>
          <w:rStyle w:val="FootnoteReference"/>
        </w:rPr>
        <w:footnoteRef/>
      </w:r>
      <w:r>
        <w:t xml:space="preserve"> Reply to City of Spokane at 3.</w:t>
      </w:r>
    </w:p>
  </w:footnote>
  <w:footnote w:id="17">
    <w:p w:rsidR="00A0523D" w:rsidRDefault="00A0523D" w:rsidP="00E74411">
      <w:pPr>
        <w:pStyle w:val="FootnoteText"/>
        <w:jc w:val="left"/>
      </w:pPr>
      <w:r>
        <w:rPr>
          <w:rStyle w:val="FootnoteReference"/>
        </w:rPr>
        <w:footnoteRef/>
      </w:r>
      <w:r>
        <w:t xml:space="preserve"> City of Spokane Opposition at 5.</w:t>
      </w:r>
    </w:p>
  </w:footnote>
  <w:footnote w:id="18">
    <w:p w:rsidR="00060DE0" w:rsidRDefault="00060DE0" w:rsidP="00E74411">
      <w:pPr>
        <w:pStyle w:val="FootnoteText"/>
        <w:jc w:val="left"/>
      </w:pPr>
      <w:r>
        <w:rPr>
          <w:rStyle w:val="FootnoteReference"/>
        </w:rPr>
        <w:footnoteRef/>
      </w:r>
      <w:r>
        <w:t xml:space="preserve"> Reply to City of Spokane at 4</w:t>
      </w:r>
      <w:r w:rsidR="00085B7D">
        <w:t>-5 and Exhibits B, C</w:t>
      </w:r>
      <w:r>
        <w:t>.</w:t>
      </w:r>
    </w:p>
  </w:footnote>
  <w:footnote w:id="19">
    <w:p w:rsidR="00D05167" w:rsidRDefault="00D05167" w:rsidP="00E74411">
      <w:pPr>
        <w:pStyle w:val="FootnoteText"/>
        <w:jc w:val="left"/>
      </w:pPr>
      <w:r>
        <w:rPr>
          <w:rStyle w:val="FootnoteReference"/>
        </w:rPr>
        <w:footnoteRef/>
      </w:r>
      <w:r>
        <w:t xml:space="preserve"> City of Airway Heights Opposition at 2.  </w:t>
      </w:r>
    </w:p>
  </w:footnote>
  <w:footnote w:id="20">
    <w:p w:rsidR="00D05167" w:rsidRDefault="00D05167" w:rsidP="00E74411">
      <w:pPr>
        <w:pStyle w:val="FootnoteText"/>
        <w:jc w:val="left"/>
      </w:pPr>
      <w:r>
        <w:rPr>
          <w:rStyle w:val="FootnoteReference"/>
        </w:rPr>
        <w:footnoteRef/>
      </w:r>
      <w:r>
        <w:t xml:space="preserve"> Reply to City of Airway Heights at 3</w:t>
      </w:r>
      <w:r w:rsidR="00434F06">
        <w:t>-4 and Exhibits 1-3</w:t>
      </w:r>
      <w:r>
        <w:t>.</w:t>
      </w:r>
    </w:p>
  </w:footnote>
  <w:footnote w:id="21">
    <w:p w:rsidR="00C17098" w:rsidRDefault="00C17098" w:rsidP="00E74411">
      <w:pPr>
        <w:pStyle w:val="FootnoteText"/>
        <w:jc w:val="left"/>
      </w:pPr>
      <w:r>
        <w:rPr>
          <w:rStyle w:val="FootnoteReference"/>
        </w:rPr>
        <w:footnoteRef/>
      </w:r>
      <w:r>
        <w:t xml:space="preserve"> City of Airway Heights Opposition at 4</w:t>
      </w:r>
      <w:r w:rsidR="006977A3">
        <w:t>; Customer Ex Parte Opposition at 1.</w:t>
      </w:r>
    </w:p>
  </w:footnote>
  <w:footnote w:id="22">
    <w:p w:rsidR="00784629" w:rsidRDefault="00784629" w:rsidP="00E74411">
      <w:pPr>
        <w:pStyle w:val="FootnoteText"/>
        <w:jc w:val="left"/>
      </w:pPr>
      <w:r>
        <w:rPr>
          <w:rStyle w:val="FootnoteReference"/>
        </w:rPr>
        <w:footnoteRef/>
      </w:r>
      <w:r>
        <w:t xml:space="preserve"> Reply to City of Airway Heights </w:t>
      </w:r>
      <w:r w:rsidR="00073D99">
        <w:t>at 4</w:t>
      </w:r>
      <w:r w:rsidR="00EC45ED">
        <w:t>-5</w:t>
      </w:r>
      <w:r w:rsidR="00073D99">
        <w:t xml:space="preserve">. </w:t>
      </w:r>
      <w:r w:rsidR="00EC45ED">
        <w:t xml:space="preserve"> As Comcast correctly states, the competing provider test applies to competition from “unaffiliated multichannel video programming distributors.”  </w:t>
      </w:r>
      <w:r w:rsidR="00EC45ED">
        <w:rPr>
          <w:i/>
        </w:rPr>
        <w:t>See</w:t>
      </w:r>
      <w:r w:rsidR="00EC45ED">
        <w:t xml:space="preserve"> 47 U.S.C. § 543(l)(1)(B).  The statutory definition of MVPDs includes “direct broadcast satellite service.”  </w:t>
      </w:r>
      <w:r w:rsidR="00EC45ED">
        <w:rPr>
          <w:i/>
        </w:rPr>
        <w:t>Id.</w:t>
      </w:r>
      <w:r w:rsidR="00EC45ED">
        <w:t xml:space="preserve"> § 522(13).</w:t>
      </w:r>
    </w:p>
  </w:footnote>
  <w:footnote w:id="23">
    <w:p w:rsidR="00F8247F" w:rsidRDefault="00F8247F">
      <w:pPr>
        <w:pStyle w:val="FootnoteText"/>
      </w:pPr>
      <w:r>
        <w:rPr>
          <w:rStyle w:val="FootnoteReference"/>
        </w:rPr>
        <w:footnoteRef/>
      </w:r>
      <w:r>
        <w:t xml:space="preserve"> Customer Ex Parte Opposition at 1.</w:t>
      </w:r>
    </w:p>
  </w:footnote>
  <w:footnote w:id="24">
    <w:p w:rsidR="00F90BE8" w:rsidRDefault="00595360" w:rsidP="001645EC">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DC" w:rsidRDefault="00B46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Header"/>
      <w:tabs>
        <w:tab w:val="clear" w:pos="4320"/>
        <w:tab w:val="clear" w:pos="8640"/>
        <w:tab w:val="center" w:pos="4680"/>
        <w:tab w:val="right" w:pos="9360"/>
      </w:tabs>
      <w:rPr>
        <w:b/>
      </w:rPr>
    </w:pPr>
    <w:r>
      <w:rPr>
        <w:b/>
      </w:rPr>
      <w:tab/>
      <w:t>Federal Communications Commission</w:t>
    </w:r>
    <w:r>
      <w:rPr>
        <w:b/>
      </w:rPr>
      <w:tab/>
      <w:t>DA 16-</w:t>
    </w:r>
    <w:r w:rsidR="005D362C">
      <w:rPr>
        <w:b/>
      </w:rPr>
      <w:t>180</w:t>
    </w:r>
    <w:r>
      <w:rPr>
        <w:b/>
      </w:rPr>
      <w:t xml:space="preserve"> </w:t>
    </w:r>
  </w:p>
  <w:p w:rsidR="00F90BE8" w:rsidRDefault="005F21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8827024" wp14:editId="0F14CC7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B7B4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F90BE8" w:rsidRDefault="00F9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9" w:rsidRDefault="004E5D79" w:rsidP="004E5D79">
    <w:pPr>
      <w:pStyle w:val="Header"/>
      <w:tabs>
        <w:tab w:val="clear" w:pos="4320"/>
        <w:tab w:val="clear" w:pos="8640"/>
        <w:tab w:val="center" w:pos="4680"/>
        <w:tab w:val="right" w:pos="9360"/>
      </w:tabs>
      <w:rPr>
        <w:b/>
      </w:rPr>
    </w:pPr>
    <w:r>
      <w:rPr>
        <w:b/>
      </w:rPr>
      <w:tab/>
      <w:t>Federal Communications Commission</w:t>
    </w:r>
    <w:r>
      <w:rPr>
        <w:b/>
      </w:rPr>
      <w:tab/>
      <w:t>DA 16-</w:t>
    </w:r>
    <w:r w:rsidR="005D362C">
      <w:rPr>
        <w:b/>
      </w:rPr>
      <w:t>180</w:t>
    </w:r>
    <w:r>
      <w:rPr>
        <w:b/>
      </w:rPr>
      <w:t xml:space="preserve"> </w:t>
    </w:r>
  </w:p>
  <w:p w:rsidR="00F90BE8" w:rsidRPr="004E5D79" w:rsidRDefault="004E5D79"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7ECE60EA" wp14:editId="4E68EBD1">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CB53B"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0012C"/>
    <w:rsid w:val="000252F2"/>
    <w:rsid w:val="000355C5"/>
    <w:rsid w:val="00060059"/>
    <w:rsid w:val="00060DE0"/>
    <w:rsid w:val="000626F7"/>
    <w:rsid w:val="00073D99"/>
    <w:rsid w:val="00080038"/>
    <w:rsid w:val="00085B7D"/>
    <w:rsid w:val="000874DC"/>
    <w:rsid w:val="00090D29"/>
    <w:rsid w:val="00091016"/>
    <w:rsid w:val="0009518A"/>
    <w:rsid w:val="000969E8"/>
    <w:rsid w:val="000F0EDA"/>
    <w:rsid w:val="00130746"/>
    <w:rsid w:val="001645EC"/>
    <w:rsid w:val="0017155B"/>
    <w:rsid w:val="00196C57"/>
    <w:rsid w:val="001E0FDA"/>
    <w:rsid w:val="001E18E0"/>
    <w:rsid w:val="001F251F"/>
    <w:rsid w:val="001F4CCF"/>
    <w:rsid w:val="002174C4"/>
    <w:rsid w:val="00217FAB"/>
    <w:rsid w:val="00227F97"/>
    <w:rsid w:val="002318DB"/>
    <w:rsid w:val="002619E8"/>
    <w:rsid w:val="00280611"/>
    <w:rsid w:val="0029463A"/>
    <w:rsid w:val="002C260F"/>
    <w:rsid w:val="002C6A4E"/>
    <w:rsid w:val="002D6404"/>
    <w:rsid w:val="002F1E8B"/>
    <w:rsid w:val="00322F49"/>
    <w:rsid w:val="00327F76"/>
    <w:rsid w:val="00330290"/>
    <w:rsid w:val="003331F6"/>
    <w:rsid w:val="0033457C"/>
    <w:rsid w:val="00346CE0"/>
    <w:rsid w:val="0034752E"/>
    <w:rsid w:val="003542DC"/>
    <w:rsid w:val="00370631"/>
    <w:rsid w:val="00377DC6"/>
    <w:rsid w:val="00381BAC"/>
    <w:rsid w:val="003A7A4D"/>
    <w:rsid w:val="003C108B"/>
    <w:rsid w:val="003E0C30"/>
    <w:rsid w:val="00402168"/>
    <w:rsid w:val="00424F3F"/>
    <w:rsid w:val="00434F06"/>
    <w:rsid w:val="00451939"/>
    <w:rsid w:val="00456254"/>
    <w:rsid w:val="0047559C"/>
    <w:rsid w:val="00481FED"/>
    <w:rsid w:val="00495435"/>
    <w:rsid w:val="00495FD7"/>
    <w:rsid w:val="004D1B04"/>
    <w:rsid w:val="004E5D79"/>
    <w:rsid w:val="0053290A"/>
    <w:rsid w:val="00571B5E"/>
    <w:rsid w:val="00595360"/>
    <w:rsid w:val="005A6BC7"/>
    <w:rsid w:val="005C06BD"/>
    <w:rsid w:val="005D362C"/>
    <w:rsid w:val="005E5C07"/>
    <w:rsid w:val="005F21A2"/>
    <w:rsid w:val="005F3EE6"/>
    <w:rsid w:val="005F6379"/>
    <w:rsid w:val="00605C58"/>
    <w:rsid w:val="00624E5C"/>
    <w:rsid w:val="0063447F"/>
    <w:rsid w:val="006758C4"/>
    <w:rsid w:val="00685EB3"/>
    <w:rsid w:val="006977A3"/>
    <w:rsid w:val="006A2AEA"/>
    <w:rsid w:val="006C4165"/>
    <w:rsid w:val="006C5808"/>
    <w:rsid w:val="006D08BF"/>
    <w:rsid w:val="006F3076"/>
    <w:rsid w:val="00705F3C"/>
    <w:rsid w:val="007146CD"/>
    <w:rsid w:val="0073082A"/>
    <w:rsid w:val="00773C09"/>
    <w:rsid w:val="007826C8"/>
    <w:rsid w:val="007843D5"/>
    <w:rsid w:val="00784629"/>
    <w:rsid w:val="007B38B2"/>
    <w:rsid w:val="007C65F6"/>
    <w:rsid w:val="007D1B6D"/>
    <w:rsid w:val="007E1CA3"/>
    <w:rsid w:val="007E77FB"/>
    <w:rsid w:val="0080779F"/>
    <w:rsid w:val="00831883"/>
    <w:rsid w:val="008319A9"/>
    <w:rsid w:val="008345DE"/>
    <w:rsid w:val="0085455A"/>
    <w:rsid w:val="008655BC"/>
    <w:rsid w:val="00877C6C"/>
    <w:rsid w:val="008861C3"/>
    <w:rsid w:val="00895487"/>
    <w:rsid w:val="008D2B37"/>
    <w:rsid w:val="009036E7"/>
    <w:rsid w:val="0090392B"/>
    <w:rsid w:val="00920A22"/>
    <w:rsid w:val="00931C72"/>
    <w:rsid w:val="00936BE3"/>
    <w:rsid w:val="009A26FB"/>
    <w:rsid w:val="009C10AE"/>
    <w:rsid w:val="009D41CB"/>
    <w:rsid w:val="009D7E4C"/>
    <w:rsid w:val="009E6556"/>
    <w:rsid w:val="009F674B"/>
    <w:rsid w:val="00A0523D"/>
    <w:rsid w:val="00A22C04"/>
    <w:rsid w:val="00A23D9A"/>
    <w:rsid w:val="00A472FB"/>
    <w:rsid w:val="00A72160"/>
    <w:rsid w:val="00A80DE9"/>
    <w:rsid w:val="00A96EBE"/>
    <w:rsid w:val="00AB13C3"/>
    <w:rsid w:val="00AD037A"/>
    <w:rsid w:val="00AD64FA"/>
    <w:rsid w:val="00AD6ED1"/>
    <w:rsid w:val="00B1033F"/>
    <w:rsid w:val="00B219DA"/>
    <w:rsid w:val="00B467DC"/>
    <w:rsid w:val="00B6479F"/>
    <w:rsid w:val="00B67492"/>
    <w:rsid w:val="00B836F9"/>
    <w:rsid w:val="00BC310B"/>
    <w:rsid w:val="00BF3D30"/>
    <w:rsid w:val="00C17098"/>
    <w:rsid w:val="00C472E5"/>
    <w:rsid w:val="00C8502C"/>
    <w:rsid w:val="00C87FF9"/>
    <w:rsid w:val="00C90CF9"/>
    <w:rsid w:val="00CC6068"/>
    <w:rsid w:val="00CC61E7"/>
    <w:rsid w:val="00CC63B9"/>
    <w:rsid w:val="00CF4231"/>
    <w:rsid w:val="00D05167"/>
    <w:rsid w:val="00D1545C"/>
    <w:rsid w:val="00D1660D"/>
    <w:rsid w:val="00D21F23"/>
    <w:rsid w:val="00D27F8B"/>
    <w:rsid w:val="00D419BD"/>
    <w:rsid w:val="00D74216"/>
    <w:rsid w:val="00D84B53"/>
    <w:rsid w:val="00DB1B8F"/>
    <w:rsid w:val="00DD11AD"/>
    <w:rsid w:val="00E113AB"/>
    <w:rsid w:val="00E21148"/>
    <w:rsid w:val="00E471CB"/>
    <w:rsid w:val="00E74411"/>
    <w:rsid w:val="00E958FB"/>
    <w:rsid w:val="00E968B2"/>
    <w:rsid w:val="00EA6DE2"/>
    <w:rsid w:val="00EC45ED"/>
    <w:rsid w:val="00F145B9"/>
    <w:rsid w:val="00F34FF5"/>
    <w:rsid w:val="00F35A46"/>
    <w:rsid w:val="00F46B41"/>
    <w:rsid w:val="00F51B26"/>
    <w:rsid w:val="00F701A2"/>
    <w:rsid w:val="00F74A6A"/>
    <w:rsid w:val="00F8247F"/>
    <w:rsid w:val="00F857CD"/>
    <w:rsid w:val="00F90BE8"/>
    <w:rsid w:val="00F959EA"/>
    <w:rsid w:val="00FA43B5"/>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1286</Words>
  <Characters>6964</Characters>
  <Application>Microsoft Office Word</Application>
  <DocSecurity>0</DocSecurity>
  <Lines>162</Lines>
  <Paragraphs>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2016-02-18T18:25:00Z</cp:lastPrinted>
  <dcterms:created xsi:type="dcterms:W3CDTF">2016-02-19T13:39:00Z</dcterms:created>
  <dcterms:modified xsi:type="dcterms:W3CDTF">2016-02-19T13:39:00Z</dcterms:modified>
  <cp:category> </cp:category>
  <cp:contentStatus> </cp:contentStatus>
</cp:coreProperties>
</file>