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490B1" w14:textId="77777777" w:rsidR="00F84BCA" w:rsidRPr="00ED5746" w:rsidRDefault="00F84BCA" w:rsidP="00F84BCA">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7A4490B2" w14:textId="77777777" w:rsidR="00F84BCA" w:rsidRPr="00ED5746" w:rsidRDefault="00F84BCA" w:rsidP="00F84BCA">
      <w:pPr>
        <w:pStyle w:val="StyleBoldCentered"/>
      </w:pPr>
      <w:r w:rsidRPr="00ED5746">
        <w:t>F</w:t>
      </w:r>
      <w:r w:rsidRPr="00ED5746">
        <w:rPr>
          <w:caps w:val="0"/>
        </w:rPr>
        <w:t>ederal Communications Commission</w:t>
      </w:r>
    </w:p>
    <w:p w14:paraId="7A4490B3" w14:textId="77777777" w:rsidR="00F84BCA" w:rsidRPr="00ED5746" w:rsidRDefault="00F84BCA" w:rsidP="00F84BCA">
      <w:pPr>
        <w:pStyle w:val="StyleBoldCentered"/>
      </w:pPr>
      <w:r w:rsidRPr="00ED5746">
        <w:rPr>
          <w:caps w:val="0"/>
        </w:rPr>
        <w:t>Washington, DC 20554</w:t>
      </w:r>
    </w:p>
    <w:p w14:paraId="7A4490B4" w14:textId="77777777" w:rsidR="00F84BCA" w:rsidRPr="00ED5746" w:rsidRDefault="00F84BCA" w:rsidP="00F84BCA"/>
    <w:tbl>
      <w:tblPr>
        <w:tblW w:w="9576" w:type="dxa"/>
        <w:tblInd w:w="-108" w:type="dxa"/>
        <w:tblLayout w:type="fixed"/>
        <w:tblLook w:val="0000" w:firstRow="0" w:lastRow="0" w:firstColumn="0" w:lastColumn="0" w:noHBand="0" w:noVBand="0"/>
      </w:tblPr>
      <w:tblGrid>
        <w:gridCol w:w="4698"/>
        <w:gridCol w:w="630"/>
        <w:gridCol w:w="4248"/>
      </w:tblGrid>
      <w:tr w:rsidR="00ED5746" w:rsidRPr="00D84548" w14:paraId="7A4490C7" w14:textId="77777777" w:rsidTr="00BE2B30">
        <w:tc>
          <w:tcPr>
            <w:tcW w:w="4698" w:type="dxa"/>
          </w:tcPr>
          <w:p w14:paraId="7A4490B5" w14:textId="77777777" w:rsidR="00ED5746" w:rsidRPr="00D84548" w:rsidRDefault="00ED5746" w:rsidP="00BE2B30">
            <w:pPr>
              <w:tabs>
                <w:tab w:val="center" w:pos="4680"/>
              </w:tabs>
              <w:suppressAutoHyphens/>
              <w:rPr>
                <w:spacing w:val="-2"/>
              </w:rPr>
            </w:pPr>
            <w:r w:rsidRPr="00ED5746">
              <w:rPr>
                <w:spacing w:val="-2"/>
              </w:rPr>
              <w:t>In the Matter of</w:t>
            </w:r>
          </w:p>
          <w:p w14:paraId="7A4490B6" w14:textId="77777777" w:rsidR="00ED5746" w:rsidRPr="00D23E19" w:rsidRDefault="00ED5746" w:rsidP="00CF6B78">
            <w:pPr>
              <w:tabs>
                <w:tab w:val="left" w:pos="360"/>
                <w:tab w:val="center" w:pos="4680"/>
                <w:tab w:val="right" w:leader="dot" w:pos="9360"/>
              </w:tabs>
              <w:suppressAutoHyphens/>
              <w:ind w:left="360" w:right="720" w:hanging="360"/>
              <w:rPr>
                <w:spacing w:val="-2"/>
              </w:rPr>
            </w:pPr>
          </w:p>
          <w:p w14:paraId="7A4490B7" w14:textId="77777777" w:rsidR="00ED5746" w:rsidRDefault="00FB2F4D" w:rsidP="00AA4B16">
            <w:pPr>
              <w:autoSpaceDE w:val="0"/>
              <w:autoSpaceDN w:val="0"/>
              <w:adjustRightInd w:val="0"/>
              <w:rPr>
                <w:szCs w:val="22"/>
              </w:rPr>
            </w:pPr>
            <w:r>
              <w:rPr>
                <w:szCs w:val="22"/>
              </w:rPr>
              <w:t>Gary P. Bojczak</w:t>
            </w:r>
          </w:p>
          <w:p w14:paraId="7A4490B8" w14:textId="77777777" w:rsidR="00B675F9" w:rsidRDefault="00B675F9" w:rsidP="00AA4B16">
            <w:pPr>
              <w:autoSpaceDE w:val="0"/>
              <w:autoSpaceDN w:val="0"/>
              <w:adjustRightInd w:val="0"/>
              <w:rPr>
                <w:szCs w:val="22"/>
              </w:rPr>
            </w:pPr>
          </w:p>
          <w:p w14:paraId="7A4490B9" w14:textId="77777777" w:rsidR="00B675F9" w:rsidRPr="00D84548" w:rsidRDefault="00B675F9" w:rsidP="00AA4B16">
            <w:pPr>
              <w:autoSpaceDE w:val="0"/>
              <w:autoSpaceDN w:val="0"/>
              <w:adjustRightInd w:val="0"/>
            </w:pPr>
            <w:r>
              <w:rPr>
                <w:szCs w:val="22"/>
              </w:rPr>
              <w:t>Whitehouse Station, New Jersey</w:t>
            </w:r>
          </w:p>
        </w:tc>
        <w:tc>
          <w:tcPr>
            <w:tcW w:w="630" w:type="dxa"/>
          </w:tcPr>
          <w:p w14:paraId="7A4490BA" w14:textId="77777777" w:rsidR="00ED5746" w:rsidRPr="00D84548" w:rsidRDefault="00ED5746" w:rsidP="00CF6B78">
            <w:pPr>
              <w:tabs>
                <w:tab w:val="center" w:pos="4680"/>
              </w:tabs>
              <w:suppressAutoHyphens/>
              <w:rPr>
                <w:b/>
                <w:spacing w:val="-2"/>
              </w:rPr>
            </w:pPr>
            <w:r w:rsidRPr="00D84548">
              <w:rPr>
                <w:b/>
                <w:spacing w:val="-2"/>
              </w:rPr>
              <w:t>)</w:t>
            </w:r>
          </w:p>
          <w:p w14:paraId="7A4490BB" w14:textId="77777777" w:rsidR="00ED5746" w:rsidRPr="00D23E19" w:rsidRDefault="00ED5746" w:rsidP="00CF6B78">
            <w:pPr>
              <w:tabs>
                <w:tab w:val="center" w:pos="4680"/>
              </w:tabs>
              <w:suppressAutoHyphens/>
              <w:rPr>
                <w:b/>
                <w:spacing w:val="-2"/>
              </w:rPr>
            </w:pPr>
            <w:r w:rsidRPr="00D84548">
              <w:rPr>
                <w:b/>
                <w:spacing w:val="-2"/>
              </w:rPr>
              <w:t>)</w:t>
            </w:r>
          </w:p>
          <w:p w14:paraId="7A4490BC" w14:textId="77777777" w:rsidR="00ED5746" w:rsidRPr="00D23E19" w:rsidRDefault="00ED5746" w:rsidP="00CF6B78">
            <w:pPr>
              <w:tabs>
                <w:tab w:val="center" w:pos="4680"/>
              </w:tabs>
              <w:suppressAutoHyphens/>
              <w:rPr>
                <w:b/>
                <w:spacing w:val="-2"/>
              </w:rPr>
            </w:pPr>
            <w:r w:rsidRPr="00D84548">
              <w:rPr>
                <w:b/>
                <w:spacing w:val="-2"/>
              </w:rPr>
              <w:t>)</w:t>
            </w:r>
          </w:p>
          <w:p w14:paraId="7A4490BD" w14:textId="77777777" w:rsidR="00ED5746" w:rsidRPr="00D23E19" w:rsidRDefault="00ED5746" w:rsidP="00CF6B78">
            <w:pPr>
              <w:tabs>
                <w:tab w:val="center" w:pos="4680"/>
              </w:tabs>
              <w:suppressAutoHyphens/>
              <w:rPr>
                <w:b/>
                <w:spacing w:val="-2"/>
              </w:rPr>
            </w:pPr>
            <w:r w:rsidRPr="00D84548">
              <w:rPr>
                <w:b/>
                <w:spacing w:val="-2"/>
              </w:rPr>
              <w:t>)</w:t>
            </w:r>
          </w:p>
          <w:p w14:paraId="7A4490BE" w14:textId="77777777" w:rsidR="00ED5746" w:rsidRPr="00D23E19" w:rsidRDefault="00ED5746" w:rsidP="00CF6B78">
            <w:pPr>
              <w:tabs>
                <w:tab w:val="center" w:pos="4680"/>
              </w:tabs>
              <w:suppressAutoHyphens/>
              <w:rPr>
                <w:b/>
                <w:spacing w:val="-2"/>
              </w:rPr>
            </w:pPr>
            <w:r w:rsidRPr="00D84548">
              <w:rPr>
                <w:b/>
                <w:spacing w:val="-2"/>
              </w:rPr>
              <w:t>)</w:t>
            </w:r>
          </w:p>
          <w:p w14:paraId="7A4490BF" w14:textId="77777777" w:rsidR="00ED5746" w:rsidRPr="00D23E19" w:rsidRDefault="00ED5746" w:rsidP="00CF6B78">
            <w:pPr>
              <w:tabs>
                <w:tab w:val="center" w:pos="4680"/>
              </w:tabs>
              <w:suppressAutoHyphens/>
              <w:rPr>
                <w:b/>
                <w:spacing w:val="-2"/>
              </w:rPr>
            </w:pPr>
            <w:r w:rsidRPr="00D84548">
              <w:rPr>
                <w:b/>
                <w:spacing w:val="-2"/>
              </w:rPr>
              <w:t>)</w:t>
            </w:r>
          </w:p>
          <w:p w14:paraId="7A4490C0" w14:textId="77777777" w:rsidR="00ED5746" w:rsidRPr="00D23E19" w:rsidRDefault="00ED5746" w:rsidP="00CF6B78">
            <w:pPr>
              <w:tabs>
                <w:tab w:val="center" w:pos="4680"/>
              </w:tabs>
              <w:suppressAutoHyphens/>
              <w:rPr>
                <w:b/>
                <w:spacing w:val="-2"/>
              </w:rPr>
            </w:pPr>
          </w:p>
          <w:p w14:paraId="7A4490C1" w14:textId="77777777" w:rsidR="00ED5746" w:rsidRPr="00D23E19" w:rsidRDefault="00ED5746" w:rsidP="003B739D">
            <w:pPr>
              <w:tabs>
                <w:tab w:val="center" w:pos="4680"/>
              </w:tabs>
              <w:suppressAutoHyphens/>
              <w:rPr>
                <w:b/>
                <w:spacing w:val="-2"/>
              </w:rPr>
            </w:pPr>
          </w:p>
        </w:tc>
        <w:tc>
          <w:tcPr>
            <w:tcW w:w="4248" w:type="dxa"/>
          </w:tcPr>
          <w:p w14:paraId="7A4490C2" w14:textId="77777777" w:rsidR="00E44AC6" w:rsidRDefault="00E44AC6" w:rsidP="00CF6B78">
            <w:pPr>
              <w:tabs>
                <w:tab w:val="center" w:pos="4680"/>
              </w:tabs>
              <w:suppressAutoHyphens/>
              <w:ind w:left="432"/>
              <w:rPr>
                <w:spacing w:val="-2"/>
                <w:szCs w:val="22"/>
              </w:rPr>
            </w:pPr>
          </w:p>
          <w:p w14:paraId="7A4490C3" w14:textId="77777777" w:rsidR="00E44AC6" w:rsidRDefault="00E44AC6" w:rsidP="00CF6B78">
            <w:pPr>
              <w:tabs>
                <w:tab w:val="center" w:pos="4680"/>
              </w:tabs>
              <w:suppressAutoHyphens/>
              <w:ind w:left="432"/>
              <w:rPr>
                <w:spacing w:val="-2"/>
                <w:szCs w:val="22"/>
              </w:rPr>
            </w:pPr>
          </w:p>
          <w:p w14:paraId="7A4490C4" w14:textId="77777777" w:rsidR="00ED5746" w:rsidRPr="00D84548" w:rsidRDefault="00FB2F4D" w:rsidP="00CF6B78">
            <w:pPr>
              <w:tabs>
                <w:tab w:val="center" w:pos="4680"/>
              </w:tabs>
              <w:suppressAutoHyphens/>
              <w:ind w:left="432"/>
              <w:rPr>
                <w:spacing w:val="-2"/>
                <w:szCs w:val="22"/>
              </w:rPr>
            </w:pPr>
            <w:r>
              <w:rPr>
                <w:spacing w:val="-2"/>
                <w:szCs w:val="22"/>
              </w:rPr>
              <w:t>File No.:  EB-FIELDNER-12-00003665</w:t>
            </w:r>
          </w:p>
          <w:p w14:paraId="7A4490C5" w14:textId="77777777" w:rsidR="00ED5746" w:rsidRPr="00D84548" w:rsidRDefault="00FB2F4D" w:rsidP="00D84548">
            <w:pPr>
              <w:ind w:left="432"/>
              <w:rPr>
                <w:spacing w:val="-2"/>
                <w:szCs w:val="22"/>
              </w:rPr>
            </w:pPr>
            <w:r>
              <w:rPr>
                <w:spacing w:val="-2"/>
                <w:szCs w:val="22"/>
              </w:rPr>
              <w:t>Acct. No.:  201332380001</w:t>
            </w:r>
          </w:p>
          <w:p w14:paraId="7A4490C6" w14:textId="77777777" w:rsidR="00ED5746" w:rsidRPr="00D84548" w:rsidRDefault="00ED5746" w:rsidP="00D23E19">
            <w:pPr>
              <w:tabs>
                <w:tab w:val="center" w:pos="4680"/>
              </w:tabs>
              <w:suppressAutoHyphens/>
              <w:ind w:left="432"/>
              <w:rPr>
                <w:snapToGrid/>
                <w:spacing w:val="-2"/>
              </w:rPr>
            </w:pPr>
            <w:r w:rsidRPr="00D84548">
              <w:rPr>
                <w:szCs w:val="22"/>
              </w:rPr>
              <w:t xml:space="preserve">FRN:  </w:t>
            </w:r>
            <w:r w:rsidR="00FB2F4D">
              <w:rPr>
                <w:spacing w:val="-2"/>
                <w:szCs w:val="22"/>
              </w:rPr>
              <w:t>0022861959</w:t>
            </w:r>
          </w:p>
        </w:tc>
      </w:tr>
    </w:tbl>
    <w:p w14:paraId="7A4490C8" w14:textId="77777777" w:rsidR="00F84BCA" w:rsidRPr="00D84548" w:rsidRDefault="00F84BCA" w:rsidP="00AA4B16">
      <w:pPr>
        <w:jc w:val="center"/>
        <w:outlineLvl w:val="0"/>
        <w:rPr>
          <w:b/>
          <w:szCs w:val="22"/>
        </w:rPr>
      </w:pPr>
      <w:r w:rsidRPr="00D84548">
        <w:rPr>
          <w:b/>
          <w:szCs w:val="22"/>
        </w:rPr>
        <w:t>ORDER</w:t>
      </w:r>
    </w:p>
    <w:p w14:paraId="7A4490C9" w14:textId="77777777" w:rsidR="00F84BCA" w:rsidRPr="00D84548" w:rsidRDefault="00F84BCA" w:rsidP="00AA4B16">
      <w:pPr>
        <w:tabs>
          <w:tab w:val="left" w:pos="-720"/>
        </w:tabs>
        <w:suppressAutoHyphens/>
        <w:spacing w:line="227" w:lineRule="auto"/>
        <w:rPr>
          <w:spacing w:val="-2"/>
        </w:rPr>
      </w:pPr>
    </w:p>
    <w:p w14:paraId="7A4490CA" w14:textId="77777777" w:rsidR="00F84BCA" w:rsidRPr="00D84548" w:rsidRDefault="00F84BCA" w:rsidP="00F84BCA">
      <w:pPr>
        <w:tabs>
          <w:tab w:val="left" w:pos="720"/>
          <w:tab w:val="right" w:pos="9360"/>
        </w:tabs>
        <w:suppressAutoHyphens/>
        <w:spacing w:line="227" w:lineRule="auto"/>
        <w:rPr>
          <w:spacing w:val="-2"/>
        </w:rPr>
      </w:pPr>
      <w:r w:rsidRPr="00D84548">
        <w:rPr>
          <w:b/>
          <w:spacing w:val="-2"/>
        </w:rPr>
        <w:t xml:space="preserve">Adopted:  </w:t>
      </w:r>
      <w:r w:rsidR="00AB7ACE">
        <w:rPr>
          <w:b/>
          <w:spacing w:val="-2"/>
        </w:rPr>
        <w:t xml:space="preserve">March 11, </w:t>
      </w:r>
      <w:r w:rsidR="00CF77B7" w:rsidRPr="00D84548">
        <w:rPr>
          <w:b/>
          <w:spacing w:val="-2"/>
        </w:rPr>
        <w:t>20</w:t>
      </w:r>
      <w:r w:rsidR="00CD04E2">
        <w:rPr>
          <w:b/>
          <w:spacing w:val="-2"/>
        </w:rPr>
        <w:t>16</w:t>
      </w:r>
      <w:r w:rsidRPr="00D84548">
        <w:rPr>
          <w:b/>
          <w:spacing w:val="-2"/>
        </w:rPr>
        <w:tab/>
        <w:t xml:space="preserve">Released:  </w:t>
      </w:r>
      <w:r w:rsidR="00AB7ACE">
        <w:rPr>
          <w:b/>
          <w:spacing w:val="-2"/>
        </w:rPr>
        <w:t>March 11</w:t>
      </w:r>
      <w:r w:rsidR="00CF77B7" w:rsidRPr="00D84548">
        <w:rPr>
          <w:b/>
          <w:spacing w:val="-2"/>
        </w:rPr>
        <w:t xml:space="preserve">, </w:t>
      </w:r>
      <w:r w:rsidRPr="00D84548">
        <w:rPr>
          <w:b/>
          <w:spacing w:val="-2"/>
        </w:rPr>
        <w:t>20</w:t>
      </w:r>
      <w:r w:rsidR="00CD04E2">
        <w:rPr>
          <w:b/>
          <w:spacing w:val="-2"/>
        </w:rPr>
        <w:t>16</w:t>
      </w:r>
    </w:p>
    <w:p w14:paraId="7A4490CB" w14:textId="77777777" w:rsidR="00F84BCA" w:rsidRPr="00D84548" w:rsidRDefault="00F84BCA" w:rsidP="00F84BCA"/>
    <w:p w14:paraId="7A4490CC" w14:textId="77777777" w:rsidR="00F84BCA" w:rsidRPr="00D84548" w:rsidRDefault="00D42D5D" w:rsidP="00F84BCA">
      <w:pPr>
        <w:rPr>
          <w:spacing w:val="-2"/>
        </w:rPr>
      </w:pPr>
      <w:r w:rsidRPr="00D84548">
        <w:rPr>
          <w:spacing w:val="-2"/>
          <w:szCs w:val="22"/>
        </w:rPr>
        <w:t xml:space="preserve">By the </w:t>
      </w:r>
      <w:r w:rsidR="00F84BCA" w:rsidRPr="00D84548">
        <w:rPr>
          <w:spacing w:val="-2"/>
          <w:szCs w:val="22"/>
        </w:rPr>
        <w:t>Chief, Enforcement Bureau:</w:t>
      </w:r>
    </w:p>
    <w:p w14:paraId="7A4490CD" w14:textId="77777777" w:rsidR="00F84BCA" w:rsidRPr="00D84548" w:rsidRDefault="00F84BCA" w:rsidP="00F84BCA"/>
    <w:p w14:paraId="7A4490CE" w14:textId="77777777" w:rsidR="00333867" w:rsidRPr="00333867" w:rsidRDefault="00B277A4" w:rsidP="003C6B79">
      <w:pPr>
        <w:pStyle w:val="ParaNum0"/>
        <w:widowControl/>
        <w:numPr>
          <w:ilvl w:val="0"/>
          <w:numId w:val="46"/>
        </w:numPr>
        <w:tabs>
          <w:tab w:val="clear" w:pos="1080"/>
        </w:tabs>
        <w:rPr>
          <w:color w:val="000000"/>
          <w:szCs w:val="22"/>
        </w:rPr>
      </w:pPr>
      <w:r w:rsidRPr="00333867">
        <w:rPr>
          <w:szCs w:val="22"/>
        </w:rPr>
        <w:t>T</w:t>
      </w:r>
      <w:r w:rsidR="00F84BCA" w:rsidRPr="00333867">
        <w:rPr>
          <w:szCs w:val="22"/>
        </w:rPr>
        <w:t xml:space="preserve">he Enforcement Bureau (Bureau) </w:t>
      </w:r>
      <w:r w:rsidRPr="00333867">
        <w:rPr>
          <w:szCs w:val="22"/>
        </w:rPr>
        <w:t xml:space="preserve">of the Federal Communications Commission has entered into a Consent Decree to resolve its investigation into </w:t>
      </w:r>
      <w:r w:rsidR="009F185B" w:rsidRPr="00333867">
        <w:rPr>
          <w:szCs w:val="22"/>
        </w:rPr>
        <w:t xml:space="preserve">Mr. </w:t>
      </w:r>
      <w:r w:rsidR="00CD04E2" w:rsidRPr="00333867">
        <w:rPr>
          <w:szCs w:val="22"/>
        </w:rPr>
        <w:t>Gary P. Bojczak</w:t>
      </w:r>
      <w:r w:rsidR="00FF2840" w:rsidRPr="00333867">
        <w:rPr>
          <w:szCs w:val="22"/>
        </w:rPr>
        <w:t>’s</w:t>
      </w:r>
      <w:r w:rsidR="00E87831" w:rsidRPr="00333867">
        <w:rPr>
          <w:szCs w:val="22"/>
        </w:rPr>
        <w:t xml:space="preserve"> </w:t>
      </w:r>
      <w:r w:rsidR="00FF2840" w:rsidRPr="00333867">
        <w:rPr>
          <w:szCs w:val="22"/>
        </w:rPr>
        <w:t xml:space="preserve">use of a Global Positioning </w:t>
      </w:r>
      <w:r w:rsidR="00333867">
        <w:rPr>
          <w:szCs w:val="22"/>
        </w:rPr>
        <w:t>System</w:t>
      </w:r>
      <w:r w:rsidR="00FF2840" w:rsidRPr="00333867">
        <w:rPr>
          <w:szCs w:val="22"/>
        </w:rPr>
        <w:t xml:space="preserve"> (GPS) jamming device at Newark Liberty International Airport</w:t>
      </w:r>
      <w:r w:rsidR="00333867">
        <w:rPr>
          <w:szCs w:val="22"/>
        </w:rPr>
        <w:t xml:space="preserve"> in August 2012</w:t>
      </w:r>
      <w:r w:rsidR="00FF2840" w:rsidRPr="00333867">
        <w:rPr>
          <w:szCs w:val="22"/>
        </w:rPr>
        <w:t xml:space="preserve">.  Signal jamming devices overpower, jam, or interfere with authorized </w:t>
      </w:r>
      <w:r w:rsidR="00333867">
        <w:rPr>
          <w:szCs w:val="22"/>
        </w:rPr>
        <w:t xml:space="preserve">wireless </w:t>
      </w:r>
      <w:r w:rsidR="00FF2840" w:rsidRPr="00333867">
        <w:rPr>
          <w:szCs w:val="22"/>
        </w:rPr>
        <w:t xml:space="preserve">communications.  In order to protect the public and preserve unfettered access to emergency and other communications services, </w:t>
      </w:r>
      <w:r w:rsidR="00333867">
        <w:rPr>
          <w:szCs w:val="22"/>
        </w:rPr>
        <w:t xml:space="preserve">the Communications Act and </w:t>
      </w:r>
      <w:r w:rsidR="009F185B" w:rsidRPr="00333867">
        <w:rPr>
          <w:szCs w:val="22"/>
        </w:rPr>
        <w:t xml:space="preserve">Commission </w:t>
      </w:r>
      <w:r w:rsidR="00E972C0" w:rsidRPr="00333867">
        <w:rPr>
          <w:szCs w:val="22"/>
        </w:rPr>
        <w:t xml:space="preserve">regulations </w:t>
      </w:r>
      <w:r w:rsidR="00FF2840" w:rsidRPr="00333867">
        <w:rPr>
          <w:szCs w:val="22"/>
        </w:rPr>
        <w:t xml:space="preserve">broadly prohibit the importation, use, marketing, manufacture, and sale of </w:t>
      </w:r>
      <w:r w:rsidR="00333867">
        <w:rPr>
          <w:szCs w:val="22"/>
        </w:rPr>
        <w:t>jamming devices</w:t>
      </w:r>
      <w:r w:rsidR="00FF2840" w:rsidRPr="00333867">
        <w:rPr>
          <w:szCs w:val="22"/>
        </w:rPr>
        <w:t xml:space="preserve">. </w:t>
      </w:r>
      <w:r w:rsidR="00CA349E" w:rsidRPr="00333867">
        <w:rPr>
          <w:szCs w:val="22"/>
        </w:rPr>
        <w:t xml:space="preserve"> </w:t>
      </w:r>
    </w:p>
    <w:p w14:paraId="7A4490CF" w14:textId="77777777" w:rsidR="00333867" w:rsidRPr="00CA0F78" w:rsidRDefault="00333867" w:rsidP="003C6B79">
      <w:pPr>
        <w:pStyle w:val="ParaNum0"/>
        <w:widowControl/>
        <w:numPr>
          <w:ilvl w:val="0"/>
          <w:numId w:val="46"/>
        </w:numPr>
        <w:tabs>
          <w:tab w:val="clear" w:pos="1080"/>
        </w:tabs>
        <w:rPr>
          <w:rStyle w:val="s14"/>
          <w:color w:val="000000"/>
          <w:szCs w:val="22"/>
        </w:rPr>
      </w:pPr>
      <w:r>
        <w:rPr>
          <w:rStyle w:val="s14"/>
        </w:rPr>
        <w:t xml:space="preserve">Mr. Bojczak has fully cooperated with the Bureau's investigation. </w:t>
      </w:r>
      <w:r w:rsidR="00015CD6">
        <w:rPr>
          <w:rStyle w:val="s14"/>
        </w:rPr>
        <w:t xml:space="preserve"> </w:t>
      </w:r>
      <w:r>
        <w:rPr>
          <w:rStyle w:val="s14"/>
        </w:rPr>
        <w:t>In his response to the Commission's Notice of Apparent Liability for Forfeiture</w:t>
      </w:r>
      <w:r w:rsidRPr="00333867">
        <w:rPr>
          <w:szCs w:val="22"/>
        </w:rPr>
        <w:t xml:space="preserve"> </w:t>
      </w:r>
      <w:r>
        <w:rPr>
          <w:szCs w:val="22"/>
        </w:rPr>
        <w:t>(NAL),</w:t>
      </w:r>
      <w:r>
        <w:rPr>
          <w:rStyle w:val="FootnoteReference"/>
          <w:szCs w:val="22"/>
        </w:rPr>
        <w:footnoteReference w:id="2"/>
      </w:r>
      <w:r>
        <w:rPr>
          <w:rStyle w:val="s14"/>
        </w:rPr>
        <w:t xml:space="preserve"> Mr. Bojczak provided the Bureau with detailed financial information, submitted under oath, establishing his inability to pay the proposed forfeiture.</w:t>
      </w:r>
      <w:r w:rsidR="003A061A">
        <w:rPr>
          <w:rStyle w:val="FootnoteReference"/>
        </w:rPr>
        <w:footnoteReference w:id="3"/>
      </w:r>
      <w:r>
        <w:rPr>
          <w:rStyle w:val="s14"/>
        </w:rPr>
        <w:t>  To settle this matter, Mr. Bojczak admits that he violated the </w:t>
      </w:r>
      <w:r w:rsidR="00CA0F78">
        <w:rPr>
          <w:rStyle w:val="s14"/>
        </w:rPr>
        <w:t xml:space="preserve">laws and </w:t>
      </w:r>
      <w:r>
        <w:rPr>
          <w:rStyle w:val="s14"/>
        </w:rPr>
        <w:t>regulations that prohibit the use of signal jammers, will comply with these rules in the futur</w:t>
      </w:r>
      <w:r w:rsidR="00287EEC">
        <w:rPr>
          <w:rStyle w:val="s14"/>
        </w:rPr>
        <w:t xml:space="preserve">e, and will pay a civil penalty </w:t>
      </w:r>
      <w:r>
        <w:rPr>
          <w:rStyle w:val="s14"/>
        </w:rPr>
        <w:t>of $2,360 for which he has a demonstrated ability to pay.  The remainder of the proposed civil penalty will be suspended.  However, Mr. Bojczak will pay the remainder of the original proposed civil penalty if the Commission finds during the next three years that he failed to comply with the jammer rules or that he misled the Commission regarding his current financial status. </w:t>
      </w:r>
    </w:p>
    <w:p w14:paraId="7A4490D0" w14:textId="77777777" w:rsidR="00B277A4" w:rsidRDefault="00F84BCA" w:rsidP="003C6B79">
      <w:pPr>
        <w:pStyle w:val="ParaNum0"/>
        <w:widowControl/>
        <w:numPr>
          <w:ilvl w:val="0"/>
          <w:numId w:val="46"/>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w:t>
      </w:r>
      <w:r w:rsidR="00520DE0">
        <w:rPr>
          <w:szCs w:val="22"/>
        </w:rPr>
        <w:t xml:space="preserve"> the Consent Decree and resolving the NAL against </w:t>
      </w:r>
      <w:r w:rsidR="00CA349E">
        <w:rPr>
          <w:szCs w:val="22"/>
        </w:rPr>
        <w:t xml:space="preserve">Mr. </w:t>
      </w:r>
      <w:r w:rsidR="00520DE0">
        <w:rPr>
          <w:szCs w:val="22"/>
        </w:rPr>
        <w:t xml:space="preserve">Bojczak regarding his use of a signal jammer as prohibited by the </w:t>
      </w:r>
      <w:r w:rsidR="00EC1426">
        <w:rPr>
          <w:szCs w:val="22"/>
        </w:rPr>
        <w:t>Communications Act of 1934, as amended, (</w:t>
      </w:r>
      <w:r w:rsidR="00520DE0">
        <w:rPr>
          <w:szCs w:val="22"/>
        </w:rPr>
        <w:t>Act</w:t>
      </w:r>
      <w:r w:rsidR="00EC1426">
        <w:rPr>
          <w:szCs w:val="22"/>
        </w:rPr>
        <w:t>)</w:t>
      </w:r>
      <w:r w:rsidR="00B277A4" w:rsidRPr="00D84548">
        <w:rPr>
          <w:rStyle w:val="FootnoteReference"/>
          <w:szCs w:val="22"/>
        </w:rPr>
        <w:footnoteReference w:id="4"/>
      </w:r>
      <w:r w:rsidR="00B277A4" w:rsidRPr="00D84548">
        <w:rPr>
          <w:szCs w:val="22"/>
        </w:rPr>
        <w:t xml:space="preserve"> and </w:t>
      </w:r>
      <w:r w:rsidR="00520DE0">
        <w:rPr>
          <w:szCs w:val="22"/>
        </w:rPr>
        <w:t>the Commission’s rules</w:t>
      </w:r>
      <w:r w:rsidR="00EC1426">
        <w:rPr>
          <w:szCs w:val="22"/>
        </w:rPr>
        <w:t xml:space="preserve"> (Rules)</w:t>
      </w:r>
      <w:r w:rsidR="00B277A4" w:rsidRPr="00D84548">
        <w:rPr>
          <w:szCs w:val="22"/>
        </w:rPr>
        <w:t>.</w:t>
      </w:r>
      <w:r w:rsidR="00B277A4" w:rsidRPr="00D84548">
        <w:rPr>
          <w:rStyle w:val="FootnoteReference"/>
          <w:szCs w:val="22"/>
        </w:rPr>
        <w:footnoteReference w:id="5"/>
      </w:r>
    </w:p>
    <w:p w14:paraId="7A4490D1" w14:textId="77777777" w:rsidR="00F84BCA" w:rsidRPr="00D84548" w:rsidRDefault="00357044" w:rsidP="003C6B79">
      <w:pPr>
        <w:pStyle w:val="ParaNum0"/>
        <w:widowControl/>
        <w:numPr>
          <w:ilvl w:val="0"/>
          <w:numId w:val="46"/>
        </w:numPr>
        <w:tabs>
          <w:tab w:val="clear" w:pos="1080"/>
          <w:tab w:val="left" w:pos="1440"/>
        </w:tabs>
        <w:rPr>
          <w:szCs w:val="22"/>
        </w:rPr>
      </w:pPr>
      <w:r>
        <w:rPr>
          <w:szCs w:val="22"/>
        </w:rPr>
        <w:lastRenderedPageBreak/>
        <w:t>In the absence of material new evidence relating to this matter, we do not s</w:t>
      </w:r>
      <w:r w:rsidR="00EC1426">
        <w:rPr>
          <w:szCs w:val="22"/>
        </w:rPr>
        <w:t xml:space="preserve">et for hearing the question of </w:t>
      </w:r>
      <w:r w:rsidR="00CA349E">
        <w:rPr>
          <w:szCs w:val="22"/>
        </w:rPr>
        <w:t xml:space="preserve">Mr. </w:t>
      </w:r>
      <w:r w:rsidR="00EC1426">
        <w:rPr>
          <w:szCs w:val="22"/>
        </w:rPr>
        <w:t>Bojczak</w:t>
      </w:r>
      <w:r>
        <w:rPr>
          <w:szCs w:val="22"/>
        </w:rPr>
        <w:t>’s basic qualifications to hold or obtain an</w:t>
      </w:r>
      <w:r w:rsidR="00F74D07">
        <w:rPr>
          <w:szCs w:val="22"/>
        </w:rPr>
        <w:t>y</w:t>
      </w:r>
      <w:r>
        <w:rPr>
          <w:szCs w:val="22"/>
        </w:rPr>
        <w:t xml:space="preserve"> Commission license or authorization.</w:t>
      </w:r>
      <w:r>
        <w:rPr>
          <w:rStyle w:val="FootnoteReference"/>
          <w:szCs w:val="22"/>
        </w:rPr>
        <w:footnoteReference w:id="6"/>
      </w:r>
    </w:p>
    <w:p w14:paraId="7A4490D2" w14:textId="77777777" w:rsidR="00F84BCA" w:rsidRPr="00D84548" w:rsidRDefault="00F84BCA" w:rsidP="003C6B79">
      <w:pPr>
        <w:pStyle w:val="ParaNum0"/>
        <w:widowControl/>
        <w:numPr>
          <w:ilvl w:val="0"/>
          <w:numId w:val="46"/>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Sections</w:t>
      </w:r>
      <w:r w:rsidR="00B75912" w:rsidRPr="00D84548">
        <w:rPr>
          <w:szCs w:val="22"/>
        </w:rPr>
        <w:t xml:space="preserve"> 4(i)</w:t>
      </w:r>
      <w:r w:rsidR="003A0A67" w:rsidRPr="00D84548">
        <w:rPr>
          <w:szCs w:val="22"/>
        </w:rPr>
        <w:t xml:space="preserve">, </w:t>
      </w:r>
      <w:r w:rsidRPr="00D84548">
        <w:rPr>
          <w:szCs w:val="22"/>
        </w:rPr>
        <w:t>and 503(b)</w:t>
      </w:r>
      <w:r w:rsidR="00782791" w:rsidRPr="00D84548">
        <w:rPr>
          <w:szCs w:val="22"/>
        </w:rPr>
        <w:t xml:space="preserve"> </w:t>
      </w:r>
      <w:r w:rsidR="009632A6" w:rsidRPr="00D84548">
        <w:rPr>
          <w:szCs w:val="22"/>
        </w:rPr>
        <w:t>of the Act</w:t>
      </w:r>
      <w:r w:rsidR="009632A6" w:rsidRPr="00D84548">
        <w:rPr>
          <w:rStyle w:val="FootnoteReference"/>
          <w:szCs w:val="22"/>
        </w:rPr>
        <w:footnoteReference w:id="7"/>
      </w:r>
      <w:r w:rsidRPr="00D84548">
        <w:rPr>
          <w:szCs w:val="22"/>
        </w:rPr>
        <w:t xml:space="preserve"> and the authority delegated by Sections 0.1</w:t>
      </w:r>
      <w:r w:rsidR="0051080A" w:rsidRPr="00D84548">
        <w:rPr>
          <w:szCs w:val="22"/>
        </w:rPr>
        <w:t>11 and 0.311 of the R</w:t>
      </w:r>
      <w:r w:rsidR="009632A6" w:rsidRPr="00D84548">
        <w:rPr>
          <w:szCs w:val="22"/>
        </w:rPr>
        <w:t>ules,</w:t>
      </w:r>
      <w:r w:rsidR="009632A6" w:rsidRPr="00D84548">
        <w:rPr>
          <w:rStyle w:val="FootnoteReference"/>
          <w:szCs w:val="22"/>
        </w:rPr>
        <w:footnoteReference w:id="8"/>
      </w:r>
      <w:r w:rsidRPr="00D84548">
        <w:rPr>
          <w:szCs w:val="22"/>
        </w:rPr>
        <w:t xml:space="preserve"> the attached Consent Decree </w:t>
      </w:r>
      <w:r w:rsidRPr="00D84548">
        <w:rPr>
          <w:b/>
          <w:szCs w:val="22"/>
        </w:rPr>
        <w:t>IS ADOPTED</w:t>
      </w:r>
      <w:r w:rsidR="00B87679" w:rsidRPr="00D84548">
        <w:rPr>
          <w:b/>
          <w:szCs w:val="22"/>
        </w:rPr>
        <w:t xml:space="preserve"> </w:t>
      </w:r>
      <w:r w:rsidR="00B87679" w:rsidRPr="00D84548">
        <w:rPr>
          <w:szCs w:val="22"/>
        </w:rPr>
        <w:t xml:space="preserve">and </w:t>
      </w:r>
      <w:r w:rsidR="00433E5E" w:rsidRPr="00D84548">
        <w:rPr>
          <w:szCs w:val="22"/>
        </w:rPr>
        <w:t>its terms incorporated by</w:t>
      </w:r>
      <w:r w:rsidR="00B87679" w:rsidRPr="00D84548">
        <w:rPr>
          <w:szCs w:val="22"/>
        </w:rPr>
        <w:t xml:space="preserve"> reference</w:t>
      </w:r>
      <w:r w:rsidRPr="00D84548">
        <w:rPr>
          <w:szCs w:val="22"/>
        </w:rPr>
        <w:t>.</w:t>
      </w:r>
    </w:p>
    <w:p w14:paraId="7A4490D3" w14:textId="77777777" w:rsidR="00F84BCA" w:rsidRPr="00D84548" w:rsidRDefault="00F84BCA" w:rsidP="003C6B79">
      <w:pPr>
        <w:pStyle w:val="ParaNum0"/>
        <w:widowControl/>
        <w:numPr>
          <w:ilvl w:val="0"/>
          <w:numId w:val="46"/>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00782791" w:rsidRPr="00D84548">
        <w:rPr>
          <w:b/>
        </w:rPr>
        <w:t xml:space="preserve"> </w:t>
      </w:r>
      <w:r w:rsidR="00782791" w:rsidRPr="00D84548">
        <w:t xml:space="preserve">and the NAL </w:t>
      </w:r>
      <w:r w:rsidR="009632A6" w:rsidRPr="00D84548">
        <w:rPr>
          <w:b/>
        </w:rPr>
        <w:t>IS CANCE</w:t>
      </w:r>
      <w:r w:rsidR="00782791" w:rsidRPr="00D84548">
        <w:rPr>
          <w:b/>
        </w:rPr>
        <w:t>LED</w:t>
      </w:r>
      <w:r w:rsidRPr="00D84548">
        <w:t>.</w:t>
      </w:r>
    </w:p>
    <w:p w14:paraId="7A4490D4" w14:textId="77777777" w:rsidR="00F84BCA" w:rsidRPr="00D84548" w:rsidRDefault="00F84BCA" w:rsidP="003C6B79">
      <w:pPr>
        <w:pStyle w:val="ParaNum0"/>
        <w:widowControl/>
        <w:numPr>
          <w:ilvl w:val="0"/>
          <w:numId w:val="46"/>
        </w:numPr>
        <w:tabs>
          <w:tab w:val="clear" w:pos="1080"/>
          <w:tab w:val="left" w:pos="1440"/>
        </w:tabs>
        <w:rPr>
          <w:szCs w:val="22"/>
        </w:rPr>
      </w:pPr>
      <w:r w:rsidRPr="00D84548">
        <w:rPr>
          <w:b/>
        </w:rPr>
        <w:t>IT IS FURTHER ORDERED</w:t>
      </w:r>
      <w:r w:rsidRPr="00D84548">
        <w:t xml:space="preserve"> that a copy of this Order and Consent Decree </w:t>
      </w:r>
      <w:r w:rsidR="00D84548" w:rsidRPr="00981F23">
        <w:rPr>
          <w:color w:val="000000" w:themeColor="text1"/>
          <w:szCs w:val="22"/>
        </w:rPr>
        <w:t xml:space="preserve">shall be sent by first class mail and certified mail, return receipt requested, to </w:t>
      </w:r>
      <w:r w:rsidR="00B331F5">
        <w:rPr>
          <w:color w:val="000000" w:themeColor="text1"/>
          <w:szCs w:val="22"/>
        </w:rPr>
        <w:t>Mr. Gary P. Bojczak</w:t>
      </w:r>
      <w:r w:rsidR="00870AA2">
        <w:rPr>
          <w:color w:val="000000" w:themeColor="text1"/>
          <w:szCs w:val="22"/>
        </w:rPr>
        <w:t xml:space="preserve"> at his </w:t>
      </w:r>
      <w:r w:rsidR="004E7FFE">
        <w:rPr>
          <w:color w:val="000000" w:themeColor="text1"/>
          <w:szCs w:val="22"/>
        </w:rPr>
        <w:t>address of record</w:t>
      </w:r>
      <w:r w:rsidR="00870AA2">
        <w:rPr>
          <w:color w:val="000000" w:themeColor="text1"/>
          <w:szCs w:val="22"/>
        </w:rPr>
        <w:t>.</w:t>
      </w:r>
    </w:p>
    <w:p w14:paraId="7A4490D5" w14:textId="77777777" w:rsidR="00F84BCA" w:rsidRDefault="00F84BCA" w:rsidP="00F84BCA">
      <w:pPr>
        <w:pStyle w:val="ParaNum0"/>
        <w:numPr>
          <w:ilvl w:val="0"/>
          <w:numId w:val="0"/>
        </w:numPr>
        <w:tabs>
          <w:tab w:val="left" w:pos="1440"/>
        </w:tabs>
        <w:spacing w:after="240"/>
        <w:ind w:left="720"/>
        <w:rPr>
          <w:b/>
        </w:rPr>
      </w:pPr>
    </w:p>
    <w:p w14:paraId="7A4490D6" w14:textId="77777777" w:rsidR="00F84BCA" w:rsidRPr="00EF505E" w:rsidRDefault="00F84BCA" w:rsidP="00F84BC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003C6B79">
        <w:rPr>
          <w:szCs w:val="22"/>
          <w:lang w:val="fr-FR"/>
        </w:rPr>
        <w:tab/>
      </w:r>
      <w:r w:rsidRPr="00EF505E">
        <w:rPr>
          <w:szCs w:val="22"/>
          <w:lang w:val="fr-FR"/>
        </w:rPr>
        <w:t>FEDERAL COMMUNICATIONS COMMISSION</w:t>
      </w:r>
    </w:p>
    <w:p w14:paraId="7A4490D7" w14:textId="77777777" w:rsidR="00F84BCA" w:rsidRPr="00EF505E" w:rsidRDefault="00F84BCA" w:rsidP="00F84BCA">
      <w:pPr>
        <w:rPr>
          <w:szCs w:val="22"/>
          <w:lang w:val="fr-FR"/>
        </w:rPr>
      </w:pPr>
    </w:p>
    <w:p w14:paraId="7A4490D8" w14:textId="77777777" w:rsidR="00F84BCA" w:rsidRPr="00EF505E" w:rsidRDefault="00F84BCA" w:rsidP="00F84BCA">
      <w:pPr>
        <w:rPr>
          <w:szCs w:val="22"/>
          <w:lang w:val="fr-FR"/>
        </w:rPr>
      </w:pPr>
    </w:p>
    <w:p w14:paraId="7A4490D9" w14:textId="77777777" w:rsidR="00F84BCA" w:rsidRPr="00EF505E" w:rsidRDefault="00F84BCA" w:rsidP="00F84BCA">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7A4490DA" w14:textId="77777777" w:rsidR="00F84BCA" w:rsidRPr="00EF505E" w:rsidRDefault="00F84BCA" w:rsidP="00F84BCA">
      <w:pPr>
        <w:outlineLvl w:val="0"/>
        <w:rPr>
          <w:szCs w:val="22"/>
          <w:lang w:val="fr-FR"/>
        </w:rPr>
      </w:pPr>
    </w:p>
    <w:p w14:paraId="7A4490DB" w14:textId="77777777" w:rsidR="00F84BCA" w:rsidRDefault="00F84BCA" w:rsidP="00F84BCA">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sidR="003C6B79">
        <w:rPr>
          <w:szCs w:val="22"/>
          <w:lang w:val="fr-FR"/>
        </w:rPr>
        <w:tab/>
      </w:r>
      <w:r>
        <w:rPr>
          <w:szCs w:val="22"/>
          <w:lang w:val="fr-FR"/>
        </w:rPr>
        <w:t>Travis LeBlanc</w:t>
      </w:r>
    </w:p>
    <w:p w14:paraId="7A4490DC" w14:textId="77777777" w:rsidR="00D84548" w:rsidRDefault="006811F1" w:rsidP="00F84BC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003C6B79">
        <w:rPr>
          <w:szCs w:val="22"/>
          <w:lang w:val="fr-FR"/>
        </w:rPr>
        <w:tab/>
      </w:r>
      <w:r w:rsidR="00F84BCA" w:rsidRPr="00A15CBD">
        <w:rPr>
          <w:szCs w:val="22"/>
        </w:rPr>
        <w:t>C</w:t>
      </w:r>
      <w:r w:rsidR="00F84BCA">
        <w:rPr>
          <w:szCs w:val="22"/>
        </w:rPr>
        <w:t>hief</w:t>
      </w:r>
      <w:r w:rsidR="00B331F5">
        <w:rPr>
          <w:szCs w:val="22"/>
        </w:rPr>
        <w:t xml:space="preserve"> </w:t>
      </w:r>
    </w:p>
    <w:p w14:paraId="7A4490DD" w14:textId="77777777" w:rsidR="00F84BCA" w:rsidRDefault="00F84BCA" w:rsidP="003C6B79">
      <w:pPr>
        <w:ind w:left="3600" w:firstLine="720"/>
        <w:outlineLvl w:val="0"/>
        <w:rPr>
          <w:szCs w:val="22"/>
        </w:rPr>
      </w:pPr>
      <w:r>
        <w:rPr>
          <w:szCs w:val="22"/>
        </w:rPr>
        <w:t>Enforcement Bureau</w:t>
      </w:r>
    </w:p>
    <w:p w14:paraId="7A4490DE" w14:textId="77777777" w:rsidR="00872E2F" w:rsidRDefault="00872E2F" w:rsidP="00CF77B7">
      <w:pPr>
        <w:rPr>
          <w:szCs w:val="22"/>
        </w:rPr>
        <w:sectPr w:rsidR="00872E2F" w:rsidSect="00AA4B1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95" w:right="1440" w:bottom="720" w:left="1440" w:header="720" w:footer="720" w:gutter="0"/>
          <w:pgNumType w:start="1"/>
          <w:cols w:space="720"/>
          <w:noEndnote/>
          <w:docGrid w:linePitch="299"/>
        </w:sectPr>
      </w:pPr>
    </w:p>
    <w:p w14:paraId="7A4490DF" w14:textId="77777777" w:rsidR="00872E2F" w:rsidRPr="00843A5F" w:rsidRDefault="00872E2F" w:rsidP="00872E2F">
      <w:pPr>
        <w:ind w:left="3600" w:firstLine="720"/>
        <w:rPr>
          <w:rFonts w:asciiTheme="minorHAnsi" w:eastAsiaTheme="minorHAnsi" w:hAnsiTheme="minorHAnsi" w:cstheme="minorBidi"/>
          <w:b/>
          <w:snapToGrid/>
          <w:kern w:val="0"/>
          <w:szCs w:val="22"/>
        </w:rPr>
      </w:pPr>
      <w:r w:rsidRPr="001B34AE">
        <w:rPr>
          <w:rFonts w:ascii="Times New Roman Bold" w:hAnsi="Times New Roman Bold"/>
          <w:b/>
          <w:kern w:val="0"/>
        </w:rPr>
        <w:lastRenderedPageBreak/>
        <w:t>Before</w:t>
      </w:r>
      <w:r w:rsidRPr="00843A5F">
        <w:rPr>
          <w:b/>
        </w:rPr>
        <w:t xml:space="preserve"> the</w:t>
      </w:r>
    </w:p>
    <w:p w14:paraId="7A4490E0" w14:textId="77777777" w:rsidR="00872E2F" w:rsidRPr="00843A5F" w:rsidRDefault="00872E2F" w:rsidP="00872E2F">
      <w:pPr>
        <w:pStyle w:val="StyleBoldCentered"/>
      </w:pPr>
      <w:r w:rsidRPr="00843A5F">
        <w:t>F</w:t>
      </w:r>
      <w:r w:rsidRPr="00843A5F">
        <w:rPr>
          <w:caps w:val="0"/>
        </w:rPr>
        <w:t>ederal Communications Commission</w:t>
      </w:r>
    </w:p>
    <w:p w14:paraId="7A4490E1" w14:textId="77777777" w:rsidR="00872E2F" w:rsidRPr="00843A5F" w:rsidRDefault="00872E2F" w:rsidP="00872E2F">
      <w:pPr>
        <w:pStyle w:val="StyleBoldCentered"/>
      </w:pPr>
      <w:r w:rsidRPr="00843A5F">
        <w:rPr>
          <w:caps w:val="0"/>
        </w:rPr>
        <w:t>Washington, DC 20554</w:t>
      </w:r>
    </w:p>
    <w:p w14:paraId="7A4490E2" w14:textId="77777777" w:rsidR="00872E2F" w:rsidRPr="00843A5F" w:rsidRDefault="00872E2F" w:rsidP="00872E2F"/>
    <w:tbl>
      <w:tblPr>
        <w:tblW w:w="9541" w:type="dxa"/>
        <w:tblInd w:w="-108" w:type="dxa"/>
        <w:tblLayout w:type="fixed"/>
        <w:tblLook w:val="0000" w:firstRow="0" w:lastRow="0" w:firstColumn="0" w:lastColumn="0" w:noHBand="0" w:noVBand="0"/>
      </w:tblPr>
      <w:tblGrid>
        <w:gridCol w:w="4681"/>
        <w:gridCol w:w="627"/>
        <w:gridCol w:w="4233"/>
      </w:tblGrid>
      <w:tr w:rsidR="00872E2F" w:rsidRPr="007C0B39" w14:paraId="7A4490F3" w14:textId="77777777" w:rsidTr="00D777FC">
        <w:trPr>
          <w:trHeight w:val="1224"/>
        </w:trPr>
        <w:tc>
          <w:tcPr>
            <w:tcW w:w="4681" w:type="dxa"/>
          </w:tcPr>
          <w:p w14:paraId="7A4490E3" w14:textId="77777777" w:rsidR="00872E2F" w:rsidRPr="00843A5F" w:rsidRDefault="00872E2F" w:rsidP="00D777FC">
            <w:pPr>
              <w:tabs>
                <w:tab w:val="center" w:pos="4680"/>
              </w:tabs>
              <w:suppressAutoHyphens/>
              <w:rPr>
                <w:spacing w:val="-2"/>
              </w:rPr>
            </w:pPr>
            <w:r w:rsidRPr="00843A5F">
              <w:rPr>
                <w:spacing w:val="-2"/>
              </w:rPr>
              <w:t>In the Matter of</w:t>
            </w:r>
          </w:p>
          <w:p w14:paraId="7A4490E4" w14:textId="77777777" w:rsidR="00872E2F" w:rsidRPr="00843A5F" w:rsidRDefault="00872E2F" w:rsidP="00D777FC">
            <w:pPr>
              <w:tabs>
                <w:tab w:val="center" w:pos="4680"/>
              </w:tabs>
              <w:suppressAutoHyphens/>
              <w:rPr>
                <w:spacing w:val="-2"/>
              </w:rPr>
            </w:pPr>
          </w:p>
          <w:p w14:paraId="7A4490E5" w14:textId="77777777" w:rsidR="00872E2F" w:rsidRDefault="00872E2F" w:rsidP="00D777FC">
            <w:pPr>
              <w:tabs>
                <w:tab w:val="center" w:pos="4680"/>
              </w:tabs>
              <w:suppressAutoHyphens/>
              <w:rPr>
                <w:szCs w:val="22"/>
              </w:rPr>
            </w:pPr>
            <w:r>
              <w:rPr>
                <w:szCs w:val="22"/>
              </w:rPr>
              <w:t>Gary P. Bojczak</w:t>
            </w:r>
          </w:p>
          <w:p w14:paraId="7A4490E6" w14:textId="77777777" w:rsidR="00872E2F" w:rsidRDefault="00872E2F" w:rsidP="00D777FC">
            <w:pPr>
              <w:tabs>
                <w:tab w:val="center" w:pos="4680"/>
              </w:tabs>
              <w:suppressAutoHyphens/>
              <w:rPr>
                <w:szCs w:val="22"/>
              </w:rPr>
            </w:pPr>
          </w:p>
          <w:p w14:paraId="7A4490E7" w14:textId="77777777" w:rsidR="00872E2F" w:rsidRPr="007C0B39" w:rsidRDefault="00872E2F" w:rsidP="00D777FC">
            <w:pPr>
              <w:tabs>
                <w:tab w:val="center" w:pos="4680"/>
              </w:tabs>
              <w:suppressAutoHyphens/>
              <w:rPr>
                <w:spacing w:val="-2"/>
              </w:rPr>
            </w:pPr>
            <w:r>
              <w:rPr>
                <w:szCs w:val="22"/>
              </w:rPr>
              <w:t>Whitehouse Station, New Jersey</w:t>
            </w:r>
          </w:p>
        </w:tc>
        <w:tc>
          <w:tcPr>
            <w:tcW w:w="627" w:type="dxa"/>
          </w:tcPr>
          <w:p w14:paraId="7A4490E8" w14:textId="77777777" w:rsidR="00872E2F" w:rsidRPr="007C0B39" w:rsidRDefault="00872E2F" w:rsidP="00D777FC">
            <w:pPr>
              <w:tabs>
                <w:tab w:val="center" w:pos="4680"/>
              </w:tabs>
              <w:suppressAutoHyphens/>
              <w:rPr>
                <w:b/>
                <w:spacing w:val="-2"/>
              </w:rPr>
            </w:pPr>
            <w:r w:rsidRPr="007C0B39">
              <w:rPr>
                <w:b/>
                <w:spacing w:val="-2"/>
              </w:rPr>
              <w:t>)</w:t>
            </w:r>
          </w:p>
          <w:p w14:paraId="7A4490E9" w14:textId="77777777" w:rsidR="00872E2F" w:rsidRPr="007C0B39" w:rsidRDefault="00872E2F" w:rsidP="00D777FC">
            <w:pPr>
              <w:tabs>
                <w:tab w:val="center" w:pos="4680"/>
              </w:tabs>
              <w:suppressAutoHyphens/>
              <w:rPr>
                <w:b/>
                <w:spacing w:val="-2"/>
              </w:rPr>
            </w:pPr>
            <w:r w:rsidRPr="007C0B39">
              <w:rPr>
                <w:b/>
                <w:spacing w:val="-2"/>
              </w:rPr>
              <w:t>)</w:t>
            </w:r>
          </w:p>
          <w:p w14:paraId="7A4490EA" w14:textId="77777777" w:rsidR="00872E2F" w:rsidRPr="007C0B39" w:rsidRDefault="00872E2F" w:rsidP="00D777FC">
            <w:pPr>
              <w:tabs>
                <w:tab w:val="center" w:pos="4680"/>
              </w:tabs>
              <w:suppressAutoHyphens/>
              <w:rPr>
                <w:b/>
                <w:spacing w:val="-2"/>
              </w:rPr>
            </w:pPr>
            <w:r w:rsidRPr="007C0B39">
              <w:rPr>
                <w:b/>
                <w:spacing w:val="-2"/>
              </w:rPr>
              <w:t>)</w:t>
            </w:r>
          </w:p>
          <w:p w14:paraId="7A4490EB" w14:textId="77777777" w:rsidR="00872E2F" w:rsidRPr="007C0B39" w:rsidRDefault="00872E2F" w:rsidP="00D777FC">
            <w:pPr>
              <w:tabs>
                <w:tab w:val="center" w:pos="4680"/>
              </w:tabs>
              <w:suppressAutoHyphens/>
              <w:rPr>
                <w:b/>
                <w:spacing w:val="-2"/>
              </w:rPr>
            </w:pPr>
            <w:r w:rsidRPr="007C0B39">
              <w:rPr>
                <w:b/>
                <w:spacing w:val="-2"/>
              </w:rPr>
              <w:t>)</w:t>
            </w:r>
          </w:p>
          <w:p w14:paraId="7A4490EC" w14:textId="77777777" w:rsidR="00872E2F" w:rsidRPr="007C0B39" w:rsidRDefault="00872E2F" w:rsidP="00D777FC">
            <w:pPr>
              <w:tabs>
                <w:tab w:val="center" w:pos="4680"/>
              </w:tabs>
              <w:suppressAutoHyphens/>
              <w:rPr>
                <w:b/>
                <w:spacing w:val="-2"/>
              </w:rPr>
            </w:pPr>
            <w:r w:rsidRPr="007C0B39">
              <w:rPr>
                <w:b/>
                <w:spacing w:val="-2"/>
              </w:rPr>
              <w:t>)</w:t>
            </w:r>
          </w:p>
          <w:p w14:paraId="7A4490ED" w14:textId="77777777" w:rsidR="00872E2F" w:rsidRPr="007C0B39" w:rsidRDefault="00872E2F" w:rsidP="00D777FC">
            <w:pPr>
              <w:tabs>
                <w:tab w:val="center" w:pos="4680"/>
              </w:tabs>
              <w:suppressAutoHyphens/>
              <w:rPr>
                <w:spacing w:val="-2"/>
              </w:rPr>
            </w:pPr>
          </w:p>
        </w:tc>
        <w:tc>
          <w:tcPr>
            <w:tcW w:w="4233" w:type="dxa"/>
          </w:tcPr>
          <w:p w14:paraId="7A4490EE" w14:textId="77777777" w:rsidR="00872E2F" w:rsidRDefault="00872E2F" w:rsidP="00D777FC">
            <w:pPr>
              <w:tabs>
                <w:tab w:val="center" w:pos="4680"/>
              </w:tabs>
              <w:suppressAutoHyphens/>
              <w:ind w:left="432"/>
              <w:rPr>
                <w:spacing w:val="-2"/>
                <w:szCs w:val="22"/>
              </w:rPr>
            </w:pPr>
          </w:p>
          <w:p w14:paraId="7A4490EF" w14:textId="77777777" w:rsidR="00872E2F" w:rsidRDefault="00872E2F" w:rsidP="00D777FC">
            <w:pPr>
              <w:tabs>
                <w:tab w:val="center" w:pos="4680"/>
              </w:tabs>
              <w:suppressAutoHyphens/>
              <w:ind w:left="432"/>
              <w:rPr>
                <w:spacing w:val="-2"/>
                <w:szCs w:val="22"/>
              </w:rPr>
            </w:pPr>
          </w:p>
          <w:p w14:paraId="7A4490F0" w14:textId="77777777" w:rsidR="00872E2F" w:rsidRPr="007C0B39" w:rsidRDefault="00872E2F" w:rsidP="00D777FC">
            <w:pPr>
              <w:tabs>
                <w:tab w:val="center" w:pos="4680"/>
              </w:tabs>
              <w:suppressAutoHyphens/>
              <w:ind w:left="432"/>
              <w:rPr>
                <w:spacing w:val="-2"/>
                <w:szCs w:val="22"/>
              </w:rPr>
            </w:pPr>
            <w:r w:rsidRPr="007C0B39">
              <w:rPr>
                <w:spacing w:val="-2"/>
                <w:szCs w:val="22"/>
              </w:rPr>
              <w:t>File No.:</w:t>
            </w:r>
            <w:r>
              <w:rPr>
                <w:spacing w:val="-2"/>
                <w:szCs w:val="22"/>
              </w:rPr>
              <w:t xml:space="preserve">  EB-FIELDNER-12-00003665</w:t>
            </w:r>
          </w:p>
          <w:p w14:paraId="7A4490F1" w14:textId="77777777" w:rsidR="00872E2F" w:rsidRPr="007C0B39" w:rsidRDefault="00872E2F" w:rsidP="00D777FC">
            <w:pPr>
              <w:ind w:left="432"/>
              <w:rPr>
                <w:spacing w:val="-2"/>
                <w:szCs w:val="22"/>
              </w:rPr>
            </w:pPr>
            <w:r>
              <w:rPr>
                <w:spacing w:val="-2"/>
                <w:szCs w:val="22"/>
              </w:rPr>
              <w:t>NAL/</w:t>
            </w:r>
            <w:r w:rsidRPr="007C0B39">
              <w:rPr>
                <w:spacing w:val="-2"/>
                <w:szCs w:val="22"/>
              </w:rPr>
              <w:t xml:space="preserve">Acct. No.:  </w:t>
            </w:r>
            <w:r>
              <w:rPr>
                <w:spacing w:val="-2"/>
                <w:szCs w:val="22"/>
              </w:rPr>
              <w:t>201332380001</w:t>
            </w:r>
          </w:p>
          <w:p w14:paraId="7A4490F2" w14:textId="77777777" w:rsidR="00872E2F" w:rsidRPr="007C0B39" w:rsidRDefault="00872E2F" w:rsidP="00D777FC">
            <w:pPr>
              <w:tabs>
                <w:tab w:val="center" w:pos="4680"/>
              </w:tabs>
              <w:suppressAutoHyphens/>
              <w:ind w:left="432"/>
              <w:rPr>
                <w:spacing w:val="-2"/>
              </w:rPr>
            </w:pPr>
            <w:r w:rsidRPr="007C0B39">
              <w:rPr>
                <w:szCs w:val="22"/>
              </w:rPr>
              <w:t xml:space="preserve">FRN: </w:t>
            </w:r>
            <w:r>
              <w:rPr>
                <w:szCs w:val="22"/>
              </w:rPr>
              <w:t xml:space="preserve"> 0022861959</w:t>
            </w:r>
          </w:p>
        </w:tc>
      </w:tr>
    </w:tbl>
    <w:p w14:paraId="7A4490F4" w14:textId="77777777" w:rsidR="00872E2F" w:rsidRPr="007C0B39" w:rsidRDefault="00872E2F" w:rsidP="00872E2F">
      <w:pPr>
        <w:pStyle w:val="StyleBoldCentered"/>
      </w:pPr>
      <w:r w:rsidRPr="007C0B39">
        <w:t>CONSENT DECREE</w:t>
      </w:r>
    </w:p>
    <w:p w14:paraId="7A4490F5" w14:textId="77777777" w:rsidR="00872E2F" w:rsidRPr="007C0B39" w:rsidRDefault="00872E2F" w:rsidP="00872E2F">
      <w:pPr>
        <w:pStyle w:val="StyleBoldCentered"/>
      </w:pPr>
    </w:p>
    <w:p w14:paraId="7A4490F6" w14:textId="77777777" w:rsidR="00872E2F" w:rsidRPr="00B945C1" w:rsidRDefault="00872E2F" w:rsidP="00872E2F">
      <w:pPr>
        <w:pStyle w:val="ParaNum0"/>
      </w:pPr>
      <w:r w:rsidRPr="007C0B39">
        <w:t>The Enforcement Bureau of the Federal Communications Commission and</w:t>
      </w:r>
      <w:r>
        <w:t xml:space="preserve"> Mr. Gary P. Bojczak (Mr. Bojczak),</w:t>
      </w:r>
      <w:r w:rsidRPr="007C0B39">
        <w:t xml:space="preserve"> hereby enter into this Consent Decree for the purpose of terminating the Enforcement Bureau’s investigation into whether </w:t>
      </w:r>
      <w:r>
        <w:t xml:space="preserve">Mr. Bojczak </w:t>
      </w:r>
      <w:r w:rsidRPr="007C0B39">
        <w:t xml:space="preserve">violated </w:t>
      </w:r>
      <w:r>
        <w:t>Sections 301, 302(b) and 333 of the Communications Act of 1934, as amended,</w:t>
      </w:r>
      <w:r>
        <w:rPr>
          <w:rStyle w:val="FootnoteReference"/>
        </w:rPr>
        <w:footnoteReference w:id="9"/>
      </w:r>
      <w:r>
        <w:t xml:space="preserve"> and Sections 2.805(a) and 15.1(c) of the Commission’s rules,</w:t>
      </w:r>
      <w:r>
        <w:rPr>
          <w:rStyle w:val="FootnoteReference"/>
        </w:rPr>
        <w:footnoteReference w:id="10"/>
      </w:r>
      <w:r>
        <w:t xml:space="preserve"> </w:t>
      </w:r>
      <w:r w:rsidRPr="007C0B39">
        <w:rPr>
          <w:szCs w:val="22"/>
        </w:rPr>
        <w:t xml:space="preserve">in connection with </w:t>
      </w:r>
      <w:r>
        <w:rPr>
          <w:szCs w:val="22"/>
        </w:rPr>
        <w:t>Mr. Bojczak’s operation of a Global Positioning System (GPS) jamming device (signal jammer or jammer) at Newark Liberty International Airport.</w:t>
      </w:r>
    </w:p>
    <w:p w14:paraId="7A4490F7" w14:textId="77777777" w:rsidR="00872E2F" w:rsidRPr="007C0B39" w:rsidRDefault="00872E2F" w:rsidP="00872E2F">
      <w:pPr>
        <w:pStyle w:val="Heading1"/>
      </w:pPr>
      <w:r w:rsidRPr="007C0B39">
        <w:t>DEFINITIONS</w:t>
      </w:r>
    </w:p>
    <w:p w14:paraId="7A4490F8" w14:textId="77777777" w:rsidR="00872E2F" w:rsidRPr="007C0B39" w:rsidRDefault="00872E2F" w:rsidP="00872E2F">
      <w:pPr>
        <w:pStyle w:val="ParaNum0"/>
      </w:pPr>
      <w:r w:rsidRPr="007C0B39">
        <w:t>For the purposes of this Consent Decree, the following definitions shall apply:</w:t>
      </w:r>
    </w:p>
    <w:p w14:paraId="7A4490F9" w14:textId="77777777" w:rsidR="00872E2F" w:rsidRPr="007C0B39" w:rsidRDefault="00872E2F" w:rsidP="00872E2F">
      <w:pPr>
        <w:numPr>
          <w:ilvl w:val="0"/>
          <w:numId w:val="49"/>
        </w:numPr>
        <w:tabs>
          <w:tab w:val="clear" w:pos="1224"/>
        </w:tabs>
        <w:spacing w:after="120"/>
        <w:ind w:left="1800" w:hanging="342"/>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11"/>
      </w:r>
    </w:p>
    <w:p w14:paraId="7A4490FA" w14:textId="77777777" w:rsidR="00872E2F" w:rsidRPr="007C0B39" w:rsidRDefault="00872E2F" w:rsidP="00872E2F">
      <w:pPr>
        <w:numPr>
          <w:ilvl w:val="0"/>
          <w:numId w:val="49"/>
        </w:numPr>
        <w:tabs>
          <w:tab w:val="clear" w:pos="1224"/>
        </w:tabs>
        <w:spacing w:after="120"/>
        <w:ind w:left="1800" w:hanging="36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14:paraId="7A4490FB" w14:textId="77777777" w:rsidR="00872E2F" w:rsidRPr="007C0B39" w:rsidRDefault="00872E2F" w:rsidP="00872E2F">
      <w:pPr>
        <w:numPr>
          <w:ilvl w:val="0"/>
          <w:numId w:val="49"/>
        </w:numPr>
        <w:tabs>
          <w:tab w:val="clear" w:pos="1224"/>
        </w:tabs>
        <w:spacing w:after="120"/>
        <w:ind w:left="1800" w:hanging="360"/>
        <w:rPr>
          <w:szCs w:val="22"/>
        </w:rPr>
      </w:pPr>
      <w:r w:rsidRPr="007C0B39">
        <w:rPr>
          <w:szCs w:val="22"/>
        </w:rPr>
        <w:t>“</w:t>
      </w:r>
      <w:r w:rsidRPr="007C0B39">
        <w:t>Bureau</w:t>
      </w:r>
      <w:r w:rsidRPr="007C0B39">
        <w:rPr>
          <w:szCs w:val="22"/>
        </w:rPr>
        <w:t>” means the Enforcement Bureau of the Federal Communications Commission.</w:t>
      </w:r>
    </w:p>
    <w:p w14:paraId="7A4490FC" w14:textId="77777777" w:rsidR="00872E2F" w:rsidRPr="007C0B39" w:rsidRDefault="00872E2F" w:rsidP="00872E2F">
      <w:pPr>
        <w:numPr>
          <w:ilvl w:val="0"/>
          <w:numId w:val="49"/>
        </w:numPr>
        <w:tabs>
          <w:tab w:val="clear" w:pos="1224"/>
        </w:tabs>
        <w:spacing w:after="120"/>
        <w:ind w:left="1800" w:hanging="360"/>
        <w:rPr>
          <w:szCs w:val="22"/>
        </w:rPr>
      </w:pPr>
      <w:r w:rsidRPr="007C0B39">
        <w:rPr>
          <w:szCs w:val="22"/>
        </w:rPr>
        <w:t>“</w:t>
      </w:r>
      <w:r w:rsidRPr="007C0B39">
        <w:t>Commission</w:t>
      </w:r>
      <w:r w:rsidRPr="007C0B39">
        <w:rPr>
          <w:szCs w:val="22"/>
        </w:rPr>
        <w:t>” and “FCC” mean the Federal Communications Commission and all of its bureaus and offices.</w:t>
      </w:r>
    </w:p>
    <w:p w14:paraId="7A4490FD" w14:textId="77777777" w:rsidR="00872E2F" w:rsidRPr="007C0B39" w:rsidRDefault="00872E2F" w:rsidP="00872E2F">
      <w:pPr>
        <w:numPr>
          <w:ilvl w:val="0"/>
          <w:numId w:val="49"/>
        </w:numPr>
        <w:tabs>
          <w:tab w:val="clear" w:pos="1224"/>
        </w:tabs>
        <w:spacing w:after="120"/>
        <w:ind w:left="1800" w:hanging="36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Mr. Bojczak</w:t>
      </w:r>
      <w:r w:rsidRPr="007C0B39">
        <w:rPr>
          <w:szCs w:val="22"/>
        </w:rPr>
        <w:t xml:space="preserve"> is subject by virtue of </w:t>
      </w:r>
      <w:r>
        <w:rPr>
          <w:szCs w:val="22"/>
        </w:rPr>
        <w:t xml:space="preserve">his </w:t>
      </w:r>
      <w:r w:rsidRPr="007C0B39">
        <w:rPr>
          <w:szCs w:val="22"/>
        </w:rPr>
        <w:t>activities.</w:t>
      </w:r>
    </w:p>
    <w:p w14:paraId="7A4490FE" w14:textId="77777777" w:rsidR="00872E2F" w:rsidRDefault="00872E2F" w:rsidP="00872E2F">
      <w:pPr>
        <w:widowControl/>
        <w:numPr>
          <w:ilvl w:val="0"/>
          <w:numId w:val="49"/>
        </w:numPr>
        <w:tabs>
          <w:tab w:val="clear" w:pos="1224"/>
        </w:tabs>
        <w:spacing w:after="120"/>
        <w:ind w:left="1800" w:hanging="346"/>
        <w:rPr>
          <w:szCs w:val="22"/>
        </w:rPr>
      </w:pPr>
      <w:r w:rsidRPr="007C0B39">
        <w:rPr>
          <w:szCs w:val="22"/>
        </w:rPr>
        <w:t>“</w:t>
      </w:r>
      <w:r w:rsidRPr="007C0B39">
        <w:t>Compliance</w:t>
      </w:r>
      <w:r w:rsidRPr="007C0B39">
        <w:rPr>
          <w:szCs w:val="22"/>
        </w:rPr>
        <w:t xml:space="preserve"> </w:t>
      </w:r>
      <w:r>
        <w:rPr>
          <w:szCs w:val="22"/>
        </w:rPr>
        <w:t>Commitment</w:t>
      </w:r>
      <w:r w:rsidRPr="007C0B39">
        <w:rPr>
          <w:szCs w:val="22"/>
        </w:rPr>
        <w:t xml:space="preserve">” means the compliance obligations described in this Consent Decree at paragraph </w:t>
      </w:r>
      <w:r>
        <w:rPr>
          <w:szCs w:val="22"/>
        </w:rPr>
        <w:t>11.</w:t>
      </w:r>
    </w:p>
    <w:p w14:paraId="7A4490FF" w14:textId="77777777" w:rsidR="00872E2F" w:rsidRPr="007C0B39" w:rsidRDefault="00872E2F" w:rsidP="00872E2F">
      <w:pPr>
        <w:numPr>
          <w:ilvl w:val="0"/>
          <w:numId w:val="49"/>
        </w:numPr>
        <w:tabs>
          <w:tab w:val="clear" w:pos="1224"/>
        </w:tabs>
        <w:spacing w:after="120"/>
        <w:ind w:left="1800" w:hanging="346"/>
        <w:rPr>
          <w:szCs w:val="22"/>
        </w:rPr>
      </w:pPr>
      <w:r>
        <w:rPr>
          <w:szCs w:val="22"/>
        </w:rPr>
        <w:t>“Mr. Bojczak” means Mr. Gary P. Bojczak of Whitehouse Station, NJ.</w:t>
      </w:r>
    </w:p>
    <w:p w14:paraId="7A449100" w14:textId="77777777" w:rsidR="00872E2F" w:rsidRPr="007C0B39" w:rsidRDefault="00872E2F" w:rsidP="00872E2F">
      <w:pPr>
        <w:numPr>
          <w:ilvl w:val="0"/>
          <w:numId w:val="49"/>
        </w:numPr>
        <w:tabs>
          <w:tab w:val="clear" w:pos="1224"/>
        </w:tabs>
        <w:spacing w:after="120"/>
        <w:ind w:left="1800" w:hanging="346"/>
        <w:rPr>
          <w:szCs w:val="22"/>
        </w:rPr>
      </w:pPr>
      <w:r w:rsidRPr="007C0B39">
        <w:rPr>
          <w:szCs w:val="22"/>
        </w:rPr>
        <w:t>“</w:t>
      </w:r>
      <w:r w:rsidRPr="007C0B39">
        <w:t>Effective</w:t>
      </w:r>
      <w:r w:rsidRPr="007C0B39">
        <w:rPr>
          <w:szCs w:val="22"/>
        </w:rPr>
        <w:t xml:space="preserve"> Date” means the date by which both the Bureau and </w:t>
      </w:r>
      <w:r>
        <w:rPr>
          <w:szCs w:val="22"/>
        </w:rPr>
        <w:t xml:space="preserve">Mr. Bojczak </w:t>
      </w:r>
      <w:r w:rsidRPr="007C0B39">
        <w:rPr>
          <w:szCs w:val="22"/>
        </w:rPr>
        <w:t>have signed the Consent Decree.</w:t>
      </w:r>
    </w:p>
    <w:p w14:paraId="7A449101" w14:textId="77777777" w:rsidR="00872E2F" w:rsidRDefault="00872E2F" w:rsidP="00872E2F">
      <w:pPr>
        <w:numPr>
          <w:ilvl w:val="0"/>
          <w:numId w:val="49"/>
        </w:numPr>
        <w:tabs>
          <w:tab w:val="clear" w:pos="1224"/>
        </w:tabs>
        <w:spacing w:after="120"/>
        <w:ind w:left="1800" w:hanging="346"/>
        <w:rPr>
          <w:szCs w:val="22"/>
        </w:rPr>
      </w:pPr>
      <w:r w:rsidRPr="007C0B39">
        <w:rPr>
          <w:szCs w:val="22"/>
        </w:rPr>
        <w:t>“</w:t>
      </w:r>
      <w:r w:rsidRPr="00F657B1">
        <w:t>Investigation</w:t>
      </w:r>
      <w:r w:rsidRPr="007C0B39">
        <w:rPr>
          <w:szCs w:val="22"/>
        </w:rPr>
        <w:t xml:space="preserve">” means the investigation </w:t>
      </w:r>
      <w:r>
        <w:rPr>
          <w:szCs w:val="22"/>
        </w:rPr>
        <w:t>into</w:t>
      </w:r>
      <w:r w:rsidRPr="00F657B1">
        <w:rPr>
          <w:szCs w:val="22"/>
        </w:rPr>
        <w:t xml:space="preserve"> </w:t>
      </w:r>
      <w:r>
        <w:rPr>
          <w:szCs w:val="22"/>
        </w:rPr>
        <w:t>Mr. Bojczak’</w:t>
      </w:r>
      <w:r w:rsidRPr="00F657B1">
        <w:rPr>
          <w:szCs w:val="22"/>
        </w:rPr>
        <w:t>s apparent violation</w:t>
      </w:r>
      <w:r>
        <w:rPr>
          <w:szCs w:val="22"/>
        </w:rPr>
        <w:t xml:space="preserve">s of the Act commenced </w:t>
      </w:r>
      <w:r w:rsidRPr="007C0B39">
        <w:rPr>
          <w:szCs w:val="22"/>
        </w:rPr>
        <w:t>by the Bureau</w:t>
      </w:r>
      <w:r>
        <w:rPr>
          <w:szCs w:val="22"/>
        </w:rPr>
        <w:t>’s initial inquiry</w:t>
      </w:r>
      <w:r>
        <w:rPr>
          <w:rStyle w:val="FootnoteReference"/>
          <w:szCs w:val="22"/>
        </w:rPr>
        <w:t xml:space="preserve"> </w:t>
      </w:r>
      <w:r>
        <w:rPr>
          <w:szCs w:val="22"/>
        </w:rPr>
        <w:t xml:space="preserve">in </w:t>
      </w:r>
      <w:r>
        <w:rPr>
          <w:spacing w:val="-2"/>
          <w:szCs w:val="22"/>
        </w:rPr>
        <w:t>EB-FIELDNER-12-00003665</w:t>
      </w:r>
      <w:r>
        <w:rPr>
          <w:szCs w:val="22"/>
        </w:rPr>
        <w:t>.</w:t>
      </w:r>
    </w:p>
    <w:p w14:paraId="7A449102" w14:textId="77777777" w:rsidR="00872E2F" w:rsidRDefault="00872E2F" w:rsidP="00872E2F">
      <w:pPr>
        <w:numPr>
          <w:ilvl w:val="0"/>
          <w:numId w:val="49"/>
        </w:numPr>
        <w:tabs>
          <w:tab w:val="clear" w:pos="1224"/>
        </w:tabs>
        <w:spacing w:after="120"/>
        <w:ind w:left="1800" w:hanging="346"/>
        <w:rPr>
          <w:szCs w:val="22"/>
        </w:rPr>
      </w:pPr>
      <w:r>
        <w:rPr>
          <w:szCs w:val="22"/>
        </w:rPr>
        <w:t>“Jammer Laws” means Sections 301, 302(b) and 333 of the Act, Sections 2.805(a) and 15.1(c) of the Rules, and other Communications Laws that prohibit the use or operation of a cellular phone jammer or other signal jammer.</w:t>
      </w:r>
    </w:p>
    <w:p w14:paraId="7A449103" w14:textId="77777777" w:rsidR="00872E2F" w:rsidRPr="007C0B39" w:rsidRDefault="00872E2F" w:rsidP="00872E2F">
      <w:pPr>
        <w:widowControl/>
        <w:numPr>
          <w:ilvl w:val="0"/>
          <w:numId w:val="49"/>
        </w:numPr>
        <w:tabs>
          <w:tab w:val="clear" w:pos="1224"/>
        </w:tabs>
        <w:spacing w:after="120"/>
        <w:ind w:left="1800" w:hanging="346"/>
        <w:rPr>
          <w:szCs w:val="22"/>
        </w:rPr>
      </w:pPr>
      <w:r>
        <w:rPr>
          <w:szCs w:val="22"/>
        </w:rPr>
        <w:t>“</w:t>
      </w:r>
      <w:r w:rsidRPr="00AE21C4">
        <w:rPr>
          <w:i/>
          <w:szCs w:val="22"/>
        </w:rPr>
        <w:t>NAL</w:t>
      </w:r>
      <w:r>
        <w:rPr>
          <w:szCs w:val="22"/>
        </w:rPr>
        <w:t>” means the Notice of Apparent Liability for Forfeiture issued to Mr. Bojczak on August 2, 2013.</w:t>
      </w:r>
      <w:r>
        <w:rPr>
          <w:rStyle w:val="FootnoteReference"/>
          <w:szCs w:val="22"/>
        </w:rPr>
        <w:footnoteReference w:id="12"/>
      </w:r>
    </w:p>
    <w:p w14:paraId="7A449104" w14:textId="77777777" w:rsidR="00872E2F" w:rsidRPr="007C0B39" w:rsidRDefault="00872E2F" w:rsidP="00872E2F">
      <w:pPr>
        <w:numPr>
          <w:ilvl w:val="0"/>
          <w:numId w:val="49"/>
        </w:numPr>
        <w:tabs>
          <w:tab w:val="clear" w:pos="1224"/>
        </w:tabs>
        <w:spacing w:after="120"/>
        <w:ind w:left="1800" w:hanging="346"/>
        <w:rPr>
          <w:szCs w:val="22"/>
        </w:rPr>
      </w:pPr>
      <w:r w:rsidRPr="007C0B39">
        <w:rPr>
          <w:szCs w:val="22"/>
        </w:rPr>
        <w:t>“</w:t>
      </w:r>
      <w:r w:rsidRPr="007C0B39">
        <w:t>Parties</w:t>
      </w:r>
      <w:r w:rsidRPr="007C0B39">
        <w:rPr>
          <w:szCs w:val="22"/>
        </w:rPr>
        <w:t xml:space="preserve">” means </w:t>
      </w:r>
      <w:r>
        <w:rPr>
          <w:szCs w:val="22"/>
        </w:rPr>
        <w:t xml:space="preserve">Mr. Bojczak </w:t>
      </w:r>
      <w:r w:rsidRPr="007C0B39">
        <w:rPr>
          <w:szCs w:val="22"/>
        </w:rPr>
        <w:t>and the Bureau, each of which is a “Party.”</w:t>
      </w:r>
    </w:p>
    <w:p w14:paraId="7A449105" w14:textId="77777777" w:rsidR="00872E2F" w:rsidRPr="007C0B39" w:rsidRDefault="00872E2F" w:rsidP="00872E2F">
      <w:pPr>
        <w:numPr>
          <w:ilvl w:val="0"/>
          <w:numId w:val="49"/>
        </w:numPr>
        <w:tabs>
          <w:tab w:val="clear" w:pos="1224"/>
        </w:tabs>
        <w:spacing w:after="120"/>
        <w:ind w:left="1800" w:hanging="346"/>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w:t>
      </w:r>
      <w:r>
        <w:rPr>
          <w:szCs w:val="22"/>
        </w:rPr>
        <w:t xml:space="preserve">  </w:t>
      </w:r>
      <w:r w:rsidRPr="007C0B39">
        <w:rPr>
          <w:szCs w:val="22"/>
        </w:rPr>
        <w:t>Federal Regulations.</w:t>
      </w:r>
    </w:p>
    <w:p w14:paraId="7A449106" w14:textId="77777777" w:rsidR="00872E2F" w:rsidRPr="007C0B39" w:rsidRDefault="00872E2F" w:rsidP="00872E2F">
      <w:pPr>
        <w:pStyle w:val="Heading1"/>
        <w:rPr>
          <w:szCs w:val="22"/>
        </w:rPr>
      </w:pPr>
      <w:r w:rsidRPr="007C0B39">
        <w:t>BACKGROUND</w:t>
      </w:r>
    </w:p>
    <w:p w14:paraId="7A449107" w14:textId="77777777" w:rsidR="00872E2F" w:rsidRPr="00445675" w:rsidRDefault="00872E2F" w:rsidP="00872E2F">
      <w:pPr>
        <w:pStyle w:val="ParaNum0"/>
        <w:widowControl/>
        <w:rPr>
          <w:spacing w:val="-2"/>
          <w:szCs w:val="22"/>
        </w:rPr>
      </w:pPr>
      <w:r w:rsidRPr="00445675">
        <w:rPr>
          <w:szCs w:val="22"/>
        </w:rPr>
        <w:t xml:space="preserve">Section 301 </w:t>
      </w:r>
      <w:r>
        <w:rPr>
          <w:szCs w:val="22"/>
        </w:rPr>
        <w:t>of the Act prohibits the use or operation of “any apparatus for the transmission of energy or communications or signals by radio” within the United States unless such use is licensed or authorized.</w:t>
      </w:r>
      <w:r>
        <w:rPr>
          <w:rStyle w:val="FootnoteReference"/>
          <w:szCs w:val="22"/>
        </w:rPr>
        <w:footnoteReference w:id="13"/>
      </w:r>
      <w:r>
        <w:rPr>
          <w:szCs w:val="22"/>
        </w:rPr>
        <w:t xml:space="preserve">  Section 302(b) of the Act provides that “[n]o person shall manufacture, import, sell, offer for sale, or ship devices or home electronic equipment and systems, or use devices, which fail comply with regulations promulgated pursuant to this section.”</w:t>
      </w:r>
      <w:r>
        <w:rPr>
          <w:rStyle w:val="FootnoteReference"/>
          <w:szCs w:val="22"/>
        </w:rPr>
        <w:footnoteReference w:id="14"/>
      </w:r>
      <w:r>
        <w:rPr>
          <w:szCs w:val="22"/>
        </w:rPr>
        <w:t xml:space="preserve">  Section 333 of the Act states that “[n]o person shall willfully or maliciously interfere with or cause interference to any radio communications of any station licensed or authorized by or under this chapter or operated by the United States government.”</w:t>
      </w:r>
      <w:r>
        <w:rPr>
          <w:rStyle w:val="FootnoteReference"/>
          <w:szCs w:val="22"/>
        </w:rPr>
        <w:footnoteReference w:id="15"/>
      </w:r>
      <w:r>
        <w:rPr>
          <w:szCs w:val="22"/>
        </w:rPr>
        <w:t xml:space="preserve">  </w:t>
      </w:r>
    </w:p>
    <w:p w14:paraId="7A449108" w14:textId="77777777" w:rsidR="00872E2F" w:rsidRPr="002D58CA" w:rsidRDefault="00872E2F" w:rsidP="00872E2F">
      <w:pPr>
        <w:pStyle w:val="ParaNum0"/>
        <w:rPr>
          <w:spacing w:val="-2"/>
        </w:rPr>
      </w:pPr>
      <w:r>
        <w:t xml:space="preserve">In response to a </w:t>
      </w:r>
      <w:r w:rsidRPr="00407D07">
        <w:t>complaint from the Federa</w:t>
      </w:r>
      <w:r>
        <w:t>l Aviation Administration, a</w:t>
      </w:r>
      <w:r w:rsidRPr="00407D07">
        <w:t>n agent from the Bureau’s New York Office investigated</w:t>
      </w:r>
      <w:r>
        <w:t xml:space="preserve"> </w:t>
      </w:r>
      <w:r w:rsidRPr="00407D07">
        <w:t>interference during pre-deployment testing of a ground-based augmentation system (GBAS)</w:t>
      </w:r>
      <w:r>
        <w:rPr>
          <w:rStyle w:val="FootnoteReference"/>
          <w:szCs w:val="22"/>
        </w:rPr>
        <w:footnoteReference w:id="16"/>
      </w:r>
      <w:r w:rsidRPr="00407D07">
        <w:t xml:space="preserve"> at Newark Liberty Intern</w:t>
      </w:r>
      <w:r>
        <w:t>ational Airport.  The agent found</w:t>
      </w:r>
      <w:r w:rsidRPr="00407D07">
        <w:t xml:space="preserve"> that a red Ford pickup truck with New Jersey license plates was emanating radio signals within the restricted 1559 to 1610 MHz band allocated to the Radionavigation-Satellite service and used by the GPS satellite navigation system.</w:t>
      </w:r>
      <w:r>
        <w:rPr>
          <w:rStyle w:val="FootnoteReference"/>
          <w:szCs w:val="22"/>
        </w:rPr>
        <w:footnoteReference w:id="17"/>
      </w:r>
      <w:r w:rsidRPr="00407D07">
        <w:t xml:space="preserve">  The signals emanating from the vehicle were blocking the reception of GPS signals by the GPS receivers used in the GBAS.  The FCC agent interviewed the driver, who identified himself as </w:t>
      </w:r>
      <w:r w:rsidRPr="00407D07">
        <w:rPr>
          <w:spacing w:val="-2"/>
        </w:rPr>
        <w:t>Gary Bojczak</w:t>
      </w:r>
      <w:r w:rsidRPr="00407D07">
        <w:t xml:space="preserve"> and admitted that he owned and operated the radio transmitting device that was jamming GPS transmissions.  Mr. Bojczak voluntarily surrendered the jammer to the FCC agent.  After the jammer was removed from the </w:t>
      </w:r>
      <w:r>
        <w:t>vehicle</w:t>
      </w:r>
      <w:r w:rsidRPr="00407D07">
        <w:t xml:space="preserve"> and turned off, the agent confirmed that the unauthorized signals had ceased.</w:t>
      </w:r>
      <w:r>
        <w:t xml:space="preserve"> </w:t>
      </w:r>
      <w:r w:rsidRPr="00407D07">
        <w:t xml:space="preserve"> </w:t>
      </w:r>
      <w:r>
        <w:t xml:space="preserve">On August 2, 2013, the Commission issued the </w:t>
      </w:r>
      <w:r w:rsidRPr="00FB2469">
        <w:rPr>
          <w:i/>
        </w:rPr>
        <w:t>NAL</w:t>
      </w:r>
      <w:r>
        <w:t xml:space="preserve"> against Mr. Bojczak for these apparent violations of the Jammer Laws. </w:t>
      </w:r>
    </w:p>
    <w:p w14:paraId="7A449109" w14:textId="77777777" w:rsidR="00872E2F" w:rsidRPr="007C0B39" w:rsidRDefault="00872E2F" w:rsidP="00872E2F">
      <w:pPr>
        <w:pStyle w:val="ParaNum0"/>
      </w:pPr>
      <w:r>
        <w:t xml:space="preserve">Following release of the </w:t>
      </w:r>
      <w:r>
        <w:rPr>
          <w:i/>
        </w:rPr>
        <w:t>NAL</w:t>
      </w:r>
      <w:r>
        <w:t xml:space="preserve">, the Bureau and Mr. Bojczak conducted settlement negotiations.  During those negotiations, Mr. Bojczak presented – and swore to the truth of – financial information establishing his inability to pay the proposed forfeiture amount.  Among the materials submitted to the Bureau by Mr. Bojczak were his four most recent years’ federal income tax returns, three years of wage and tax (W-2) forms, year-to-date-earnings statements, as well as bank statements and mortgage information.  After further discussions, the Parties agree to the following terms and conditions of settlement and hereby enter into this Consent Decree as provided below.    </w:t>
      </w:r>
    </w:p>
    <w:p w14:paraId="7A44910A" w14:textId="77777777" w:rsidR="00872E2F" w:rsidRPr="007C0B39" w:rsidRDefault="00872E2F" w:rsidP="00872E2F">
      <w:pPr>
        <w:pStyle w:val="Heading1"/>
      </w:pPr>
      <w:bookmarkStart w:id="1" w:name="FN[FN18]"/>
      <w:bookmarkEnd w:id="1"/>
      <w:r w:rsidRPr="007C0B39">
        <w:t>TERMS OF AGREEMENT</w:t>
      </w:r>
    </w:p>
    <w:p w14:paraId="7A44910B" w14:textId="77777777" w:rsidR="00872E2F" w:rsidRPr="007C0B39" w:rsidRDefault="00872E2F" w:rsidP="00872E2F">
      <w:pPr>
        <w:pStyle w:val="ParaNum0"/>
        <w:rPr>
          <w:szCs w:val="22"/>
        </w:rPr>
      </w:pPr>
      <w:r w:rsidRPr="007C0B39">
        <w:rPr>
          <w:b/>
          <w:szCs w:val="22"/>
          <w:u w:val="single"/>
        </w:rPr>
        <w:t>Adopting Order</w:t>
      </w:r>
      <w:r w:rsidRPr="007C0B39">
        <w:rPr>
          <w:szCs w:val="22"/>
        </w:rPr>
        <w:t>.  The provisions of this Consent Decree shall be incorporated by the Bureau in an Adopting Order.</w:t>
      </w:r>
    </w:p>
    <w:p w14:paraId="7A44910C" w14:textId="77777777" w:rsidR="00872E2F" w:rsidRPr="007C0B39" w:rsidRDefault="00872E2F" w:rsidP="00872E2F">
      <w:pPr>
        <w:pStyle w:val="ParaNum0"/>
        <w:rPr>
          <w:szCs w:val="22"/>
        </w:rPr>
      </w:pPr>
      <w:r w:rsidRPr="007C0B39">
        <w:rPr>
          <w:b/>
          <w:szCs w:val="22"/>
          <w:u w:val="single"/>
        </w:rPr>
        <w:t>Jurisdiction</w:t>
      </w:r>
      <w:r w:rsidRPr="007C0B39">
        <w:rPr>
          <w:szCs w:val="22"/>
        </w:rPr>
        <w:t xml:space="preserve">.  </w:t>
      </w:r>
      <w:r>
        <w:rPr>
          <w:szCs w:val="22"/>
        </w:rPr>
        <w:t xml:space="preserve">Mr. Bojczak </w:t>
      </w:r>
      <w:r w:rsidRPr="007C0B39">
        <w:rPr>
          <w:szCs w:val="22"/>
        </w:rPr>
        <w:t>agrees that the</w:t>
      </w:r>
      <w:r>
        <w:rPr>
          <w:szCs w:val="22"/>
        </w:rPr>
        <w:t xml:space="preserve"> Bureau has jurisdiction over him</w:t>
      </w:r>
      <w:r w:rsidRPr="007C0B39">
        <w:rPr>
          <w:szCs w:val="22"/>
        </w:rPr>
        <w:t xml:space="preserve"> and the matters contained in this Consent Decree and has the </w:t>
      </w:r>
      <w:r w:rsidRPr="00ED419F">
        <w:t>authority</w:t>
      </w:r>
      <w:r w:rsidRPr="007C0B39">
        <w:rPr>
          <w:szCs w:val="22"/>
        </w:rPr>
        <w:t xml:space="preserve"> to enter into and adopt this Consent Decree.</w:t>
      </w:r>
    </w:p>
    <w:p w14:paraId="7A44910D" w14:textId="77777777" w:rsidR="00872E2F" w:rsidRPr="007C0B39" w:rsidRDefault="00872E2F" w:rsidP="00872E2F">
      <w:pPr>
        <w:pStyle w:val="ParaNum0"/>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14:paraId="7A44910E" w14:textId="77777777" w:rsidR="00872E2F" w:rsidRPr="00C566EC" w:rsidRDefault="00872E2F" w:rsidP="00872E2F">
      <w:pPr>
        <w:pStyle w:val="ParaNum0"/>
        <w:rPr>
          <w:szCs w:val="22"/>
        </w:rPr>
      </w:pPr>
      <w:r w:rsidRPr="007C0B39">
        <w:rPr>
          <w:b/>
          <w:szCs w:val="22"/>
          <w:u w:val="single"/>
        </w:rPr>
        <w:t xml:space="preserve">Termination of </w:t>
      </w:r>
      <w:r w:rsidRPr="00F657B1">
        <w:rPr>
          <w:b/>
          <w:szCs w:val="22"/>
          <w:u w:val="single"/>
        </w:rPr>
        <w:t>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w:t>
      </w:r>
      <w:r w:rsidRPr="00F657B1">
        <w:rPr>
          <w:szCs w:val="22"/>
        </w:rPr>
        <w:t>Investigation</w:t>
      </w:r>
      <w:r w:rsidRPr="007C0B39">
        <w:rPr>
          <w:szCs w:val="22"/>
        </w:rPr>
        <w:t xml:space="preserve">.  In consideration for the termination of the </w:t>
      </w:r>
      <w:r w:rsidRPr="00F657B1">
        <w:rPr>
          <w:szCs w:val="22"/>
        </w:rPr>
        <w:t>Investigation</w:t>
      </w:r>
      <w:r w:rsidRPr="007C0B39">
        <w:rPr>
          <w:szCs w:val="22"/>
        </w:rPr>
        <w:t xml:space="preserve">, </w:t>
      </w:r>
      <w:r>
        <w:rPr>
          <w:szCs w:val="22"/>
        </w:rPr>
        <w:t xml:space="preserve">Mr. Bojczak </w:t>
      </w:r>
      <w:r w:rsidRPr="007C0B39">
        <w:rPr>
          <w:szCs w:val="22"/>
        </w:rPr>
        <w:t xml:space="preserve">agrees to the terms, conditions, and procedures contained herein.  The Bureau further agrees that, in the absence of new material evidence, it will not use the facts developed in the </w:t>
      </w:r>
      <w:r w:rsidRPr="00F657B1">
        <w:rPr>
          <w:szCs w:val="22"/>
        </w:rPr>
        <w:t>Investigation</w:t>
      </w:r>
      <w:r w:rsidRPr="007C0B39">
        <w:rPr>
          <w:szCs w:val="22"/>
        </w:rPr>
        <w:t xml:space="preserve"> through the Effective Date, or the existence of this Consent Decree, to institute, on its own motion, any new proceeding, formal or informal, or take any action on its own motion against </w:t>
      </w:r>
      <w:r>
        <w:rPr>
          <w:szCs w:val="22"/>
        </w:rPr>
        <w:t>Mr. Bojczak c</w:t>
      </w:r>
      <w:r w:rsidRPr="007C0B39">
        <w:rPr>
          <w:szCs w:val="22"/>
        </w:rPr>
        <w:t xml:space="preserve">oncerning the matters that were the subject of the </w:t>
      </w:r>
      <w:r w:rsidRPr="00F657B1">
        <w:rPr>
          <w:szCs w:val="22"/>
        </w:rPr>
        <w:t>Investigation</w:t>
      </w:r>
      <w:r w:rsidRPr="007C0B39">
        <w:rPr>
          <w:szCs w:val="22"/>
        </w:rPr>
        <w:t xml:space="preserve">.  </w:t>
      </w:r>
      <w:r>
        <w:t xml:space="preserve">The Bureau also agrees that, in the absence of new material evidence, it will not use the facts developed in the </w:t>
      </w:r>
      <w:r w:rsidRPr="00F657B1">
        <w:t>Investigation</w:t>
      </w:r>
      <w:r>
        <w:t xml:space="preserve"> through the Effective Date, or the existence of this Consent Decree, to institute on its own motion any proceeding, formal or informal, or to set for hearing the question of Mr. </w:t>
      </w:r>
      <w:r>
        <w:rPr>
          <w:szCs w:val="22"/>
        </w:rPr>
        <w:t>Bojczak</w:t>
      </w:r>
      <w:r>
        <w:t>’s basic qualifications to be a Commission licensee or hold Commission licenses or authorizations.</w:t>
      </w:r>
      <w:r>
        <w:rPr>
          <w:rStyle w:val="FootnoteReference"/>
        </w:rPr>
        <w:footnoteReference w:id="18"/>
      </w:r>
    </w:p>
    <w:p w14:paraId="7A44910F" w14:textId="77777777" w:rsidR="00872E2F" w:rsidRPr="00FB4048" w:rsidRDefault="00872E2F" w:rsidP="00872E2F">
      <w:pPr>
        <w:pStyle w:val="ParaNum0"/>
        <w:rPr>
          <w:szCs w:val="22"/>
        </w:rPr>
      </w:pPr>
      <w:r w:rsidRPr="007C0B39">
        <w:rPr>
          <w:b/>
          <w:u w:val="single"/>
        </w:rPr>
        <w:t>Admission of Liability</w:t>
      </w:r>
      <w:r w:rsidRPr="007C0B39">
        <w:t xml:space="preserve">.  </w:t>
      </w:r>
      <w:r>
        <w:t xml:space="preserve">Mr. </w:t>
      </w:r>
      <w:r>
        <w:rPr>
          <w:szCs w:val="22"/>
        </w:rPr>
        <w:t>Bojczak</w:t>
      </w:r>
      <w:r>
        <w:t xml:space="preserve"> a</w:t>
      </w:r>
      <w:r w:rsidRPr="007C0B39">
        <w:t>dmits for the purpose of this Consent Decree and for Commission civil enforcement purposes, and in express reliance on the provisions of paragraph</w:t>
      </w:r>
      <w:r>
        <w:t xml:space="preserve"> 4 </w:t>
      </w:r>
      <w:r w:rsidRPr="007C0B39">
        <w:t>herein,</w:t>
      </w:r>
      <w:r>
        <w:t xml:space="preserve"> that the actions that were the subject of the </w:t>
      </w:r>
      <w:r w:rsidRPr="004A0940">
        <w:rPr>
          <w:i/>
        </w:rPr>
        <w:t>NAL</w:t>
      </w:r>
      <w:r>
        <w:t xml:space="preserve"> violated the Jammer Laws.</w:t>
      </w:r>
      <w:r w:rsidRPr="00FB4048">
        <w:rPr>
          <w:szCs w:val="22"/>
        </w:rPr>
        <w:t xml:space="preserve">  </w:t>
      </w:r>
      <w:bookmarkStart w:id="2" w:name="_Ref357521957"/>
    </w:p>
    <w:p w14:paraId="7A449110" w14:textId="77777777" w:rsidR="00872E2F" w:rsidRDefault="00872E2F" w:rsidP="00872E2F">
      <w:pPr>
        <w:pStyle w:val="ParaNum0"/>
      </w:pPr>
      <w:bookmarkStart w:id="3" w:name="_Ref379202869"/>
      <w:r w:rsidRPr="00A75CEA">
        <w:rPr>
          <w:b/>
          <w:u w:val="single"/>
        </w:rPr>
        <w:t>Compliance Commitment</w:t>
      </w:r>
      <w:r>
        <w:t>.  Mr. Bojczak has ceased using and agrees not to</w:t>
      </w:r>
      <w:r w:rsidRPr="00222B05">
        <w:t xml:space="preserve"> </w:t>
      </w:r>
      <w:r>
        <w:t>use in the future any cellular jamming device or other illegal jamming device</w:t>
      </w:r>
      <w:r w:rsidRPr="00222B05">
        <w:t xml:space="preserve">.  </w:t>
      </w:r>
      <w:r>
        <w:t>A</w:t>
      </w:r>
      <w:r w:rsidRPr="00066639">
        <w:t xml:space="preserve">ny such operation </w:t>
      </w:r>
      <w:r>
        <w:t xml:space="preserve">would violate the Jammer Laws and the terms of </w:t>
      </w:r>
      <w:r w:rsidRPr="00066639">
        <w:t>this Consent Decre</w:t>
      </w:r>
      <w:bookmarkEnd w:id="3"/>
      <w:r>
        <w:t xml:space="preserve">e. </w:t>
      </w:r>
      <w:r w:rsidRPr="00D0308D">
        <w:t xml:space="preserve"> </w:t>
      </w:r>
      <w:r>
        <w:t xml:space="preserve">Mr. Bojczak </w:t>
      </w:r>
      <w:r w:rsidRPr="007C0B39">
        <w:t xml:space="preserve">shall report any noncompliance with the </w:t>
      </w:r>
      <w:r>
        <w:t>Jammer Laws or</w:t>
      </w:r>
      <w:r w:rsidRPr="007C0B39">
        <w:t xml:space="preserve"> with the terms and conditions of this Consent Decree within fifteen (15) calendar days after discovery of such noncompliance</w:t>
      </w:r>
      <w:r>
        <w:t xml:space="preserve"> to Chief, Spectrum Enforcement Division, Enforcement Bureau, Federal Communications Commission, 445 12th Street, SW, Washington, DC 20554</w:t>
      </w:r>
      <w:r w:rsidRPr="007C0B39">
        <w:t xml:space="preserve">, with a copy submitted electronically to </w:t>
      </w:r>
      <w:r>
        <w:t xml:space="preserve">JoAnn Lucanik at </w:t>
      </w:r>
      <w:r w:rsidRPr="009B678F">
        <w:t>JoAnn.Lucanink@fcc.gov</w:t>
      </w:r>
      <w:r>
        <w:t xml:space="preserve"> and Maureen McCarthy at Maureen.McCarthy</w:t>
      </w:r>
      <w:r w:rsidRPr="001C1A46">
        <w:t>@fcc.gov</w:t>
      </w:r>
      <w:r w:rsidRPr="007C0B39">
        <w:t xml:space="preserve">.  </w:t>
      </w:r>
    </w:p>
    <w:p w14:paraId="7A449111" w14:textId="77777777" w:rsidR="00872E2F" w:rsidRDefault="00872E2F" w:rsidP="00872E2F">
      <w:pPr>
        <w:pStyle w:val="ParaNum0"/>
      </w:pPr>
      <w:r w:rsidRPr="00621691">
        <w:rPr>
          <w:b/>
          <w:u w:val="single"/>
        </w:rPr>
        <w:t>Termination Date</w:t>
      </w:r>
      <w:r w:rsidRPr="00621691">
        <w:t>.</w:t>
      </w:r>
      <w:r w:rsidRPr="00621691">
        <w:rPr>
          <w:b/>
        </w:rPr>
        <w:t xml:space="preserve"> </w:t>
      </w:r>
      <w:r w:rsidRPr="00621691">
        <w:t xml:space="preserve"> </w:t>
      </w:r>
      <w:r>
        <w:t>Unless stated otherwise, the requirements set forth in paragraph 11 shall expire thirty-six (36) months after the Effective Date.</w:t>
      </w:r>
    </w:p>
    <w:p w14:paraId="7A449112" w14:textId="77777777" w:rsidR="00872E2F" w:rsidRDefault="00872E2F" w:rsidP="00872E2F">
      <w:pPr>
        <w:pStyle w:val="ParaNum0"/>
      </w:pPr>
      <w:r w:rsidRPr="001D546F">
        <w:rPr>
          <w:b/>
          <w:u w:val="single"/>
        </w:rPr>
        <w:t>Civil Penalty</w:t>
      </w:r>
      <w:r>
        <w:t xml:space="preserve">.  In light of Mr. Bojczak’s demonstrated inability to pay and subject to the provisions of paragraph 14 below, Mr. </w:t>
      </w:r>
      <w:r w:rsidRPr="001D546F">
        <w:rPr>
          <w:szCs w:val="22"/>
        </w:rPr>
        <w:t>Bojczak</w:t>
      </w:r>
      <w:r w:rsidRPr="007C0B39">
        <w:t xml:space="preserve"> will pay a civil penalty to the United States Treasury in the amount of </w:t>
      </w:r>
      <w:r>
        <w:t>two thousand three hundred sixty dollars ($2,360) (Civil Penalty).  Such payment shall be made in four (4) installments (each, an Installment Payment).  The first Installment Payment in the amount of five hundred dollars ($500) is due</w:t>
      </w:r>
      <w:r w:rsidRPr="00D528BF">
        <w:t xml:space="preserve"> within </w:t>
      </w:r>
      <w:r w:rsidRPr="00346D7E">
        <w:t>thirty (30)</w:t>
      </w:r>
      <w:r w:rsidRPr="00D528BF">
        <w:t xml:space="preserve"> calendar </w:t>
      </w:r>
      <w:r>
        <w:t>days of the Effective Date.  Thereafter, three Installment Payments in the amount of six hundred twenty dollars ($620) are due and payable as follows</w:t>
      </w:r>
      <w:r w:rsidRPr="008151F9">
        <w:t xml:space="preserve">: the first Installment Payment is due within ninety (90) calendar days of the Effective Date; the second Installment Payment is due within one hundred and eighty (180) calendar days of the Effective Date; and the third Installment Payment is due within three hundred sixty days of the Effective Date.  Mr. Bojczak </w:t>
      </w:r>
      <w:r w:rsidRPr="00D528BF">
        <w:t>acknowledges and agrees that upon execution of this Consent Decree, the Civil Penalt</w:t>
      </w:r>
      <w:r>
        <w:t>y and each Installment Payment</w:t>
      </w:r>
      <w:r w:rsidRPr="00D528BF">
        <w:t xml:space="preserve"> shall become a “Claim” or “Debt” as defined in Section 3701(b)(1) of the Debt Collection Improvement Act of 1996 (DCIA).</w:t>
      </w:r>
      <w:r w:rsidRPr="00D528BF">
        <w:rPr>
          <w:rStyle w:val="FootnoteReference"/>
        </w:rPr>
        <w:footnoteReference w:id="19"/>
      </w:r>
      <w:r w:rsidRPr="00D528BF">
        <w:t xml:space="preserve">  </w:t>
      </w:r>
    </w:p>
    <w:p w14:paraId="7A449113" w14:textId="77777777" w:rsidR="00872E2F" w:rsidRDefault="00872E2F" w:rsidP="00872E2F">
      <w:pPr>
        <w:pStyle w:val="ParaNum0"/>
      </w:pPr>
      <w:r w:rsidRPr="002F123F">
        <w:rPr>
          <w:b/>
          <w:u w:val="single"/>
        </w:rPr>
        <w:t>Suspended Penalty</w:t>
      </w:r>
      <w:r w:rsidRPr="002F123F">
        <w:t xml:space="preserve">.  </w:t>
      </w:r>
      <w:r>
        <w:t>Mr. Bojczak</w:t>
      </w:r>
      <w:r w:rsidRPr="00D528BF">
        <w:t xml:space="preserve"> further agrees that, upon an Event of Default (as</w:t>
      </w:r>
      <w:r>
        <w:t xml:space="preserve"> described below in paragraph 16</w:t>
      </w:r>
      <w:r w:rsidRPr="00D528BF">
        <w:t>),</w:t>
      </w:r>
      <w:r>
        <w:t xml:space="preserve"> he</w:t>
      </w:r>
      <w:r w:rsidRPr="00D528BF">
        <w:t xml:space="preserve"> will pay </w:t>
      </w:r>
      <w:r>
        <w:t>a</w:t>
      </w:r>
      <w:r w:rsidRPr="00D528BF">
        <w:t xml:space="preserve"> further civil penalty to the United States Treasury in the amount of tw</w:t>
      </w:r>
      <w:r>
        <w:t xml:space="preserve">enty-nine thousand, five hundred fifteen </w:t>
      </w:r>
      <w:r w:rsidRPr="00D528BF">
        <w:t>dollars ($2</w:t>
      </w:r>
      <w:r>
        <w:t>9,515</w:t>
      </w:r>
      <w:r w:rsidRPr="00D528BF">
        <w:t>)</w:t>
      </w:r>
      <w:r>
        <w:t xml:space="preserve"> (Additional</w:t>
      </w:r>
      <w:r w:rsidRPr="00D528BF">
        <w:t xml:space="preserve"> Civil Penalty).  </w:t>
      </w:r>
      <w:r>
        <w:t>Mr. Bojczak</w:t>
      </w:r>
      <w:r w:rsidRPr="00D528BF">
        <w:t xml:space="preserve"> acknowledges and agrees that upon an Event of Default, the </w:t>
      </w:r>
      <w:r>
        <w:t>Additional</w:t>
      </w:r>
      <w:r w:rsidRPr="00D528BF">
        <w:t xml:space="preserve"> Civil Penalty shall</w:t>
      </w:r>
      <w:r>
        <w:t xml:space="preserve"> also</w:t>
      </w:r>
      <w:r w:rsidRPr="00D528BF">
        <w:t xml:space="preserve"> become a </w:t>
      </w:r>
    </w:p>
    <w:p w14:paraId="7A449114" w14:textId="77777777" w:rsidR="00872E2F" w:rsidRDefault="00872E2F" w:rsidP="00872E2F">
      <w:pPr>
        <w:pStyle w:val="ParaNum0"/>
        <w:numPr>
          <w:ilvl w:val="0"/>
          <w:numId w:val="0"/>
        </w:numPr>
      </w:pPr>
      <w:r w:rsidRPr="00D528BF">
        <w:t>“Claim” or “Debt” as defined in Section 3701(b)(1) of the DCIA,</w:t>
      </w:r>
      <w:r>
        <w:rPr>
          <w:rStyle w:val="FootnoteReference"/>
        </w:rPr>
        <w:footnoteReference w:id="20"/>
      </w:r>
      <w:r w:rsidRPr="00D528BF">
        <w:t xml:space="preserve"> and all procedures for collection of the </w:t>
      </w:r>
      <w:r>
        <w:t>Additional</w:t>
      </w:r>
      <w:r w:rsidRPr="00D528BF">
        <w:t xml:space="preserve"> Civil Penalty may, at the Commission’s discretion, be initiated</w:t>
      </w:r>
      <w:r>
        <w:t xml:space="preserve"> against Mr. Bojczak</w:t>
      </w:r>
      <w:r w:rsidRPr="00D528BF">
        <w:t>.</w:t>
      </w:r>
    </w:p>
    <w:p w14:paraId="7A449115" w14:textId="77777777" w:rsidR="00872E2F" w:rsidRPr="007C0B39" w:rsidRDefault="00872E2F" w:rsidP="00872E2F">
      <w:pPr>
        <w:pStyle w:val="ParaNum0"/>
      </w:pPr>
      <w:r w:rsidRPr="002F123F">
        <w:rPr>
          <w:b/>
          <w:u w:val="single"/>
        </w:rPr>
        <w:t>Payment</w:t>
      </w:r>
      <w:r w:rsidRPr="0060340B">
        <w:t>.</w:t>
      </w:r>
      <w:r>
        <w:t xml:space="preserve">  Mr. Bojczak</w:t>
      </w:r>
      <w:r w:rsidRPr="002F123F">
        <w:rPr>
          <w:szCs w:val="22"/>
        </w:rPr>
        <w:t xml:space="preserve"> </w:t>
      </w:r>
      <w:r w:rsidRPr="007C0B39">
        <w:t>shall send electronic notification of payment to</w:t>
      </w:r>
      <w:r>
        <w:t xml:space="preserve"> JoAnn Lucanik at</w:t>
      </w:r>
      <w:r w:rsidRPr="007C0B39">
        <w:t xml:space="preserve"> </w:t>
      </w:r>
      <w:r w:rsidRPr="003D703C">
        <w:t>JoAnn.Lucanik@fcc.gov;</w:t>
      </w:r>
      <w:r>
        <w:t xml:space="preserve"> Maureen McCarthy at </w:t>
      </w:r>
      <w:r w:rsidRPr="003D703C">
        <w:t>Maureen.McCarthy@fcc.gov</w:t>
      </w:r>
      <w:r>
        <w:t>; and Samantha Peoples at Sam.Peoples@fcc.gov</w:t>
      </w:r>
      <w:r w:rsidRPr="007C0B39">
        <w:t xml:space="preserve"> </w:t>
      </w:r>
      <w:r>
        <w:t xml:space="preserve">on the date </w:t>
      </w:r>
      <w:r w:rsidRPr="007C0B39">
        <w:t xml:space="preserve">payment is made.  </w:t>
      </w:r>
      <w:r w:rsidRPr="002F123F">
        <w:rPr>
          <w:szCs w:val="22"/>
        </w:rPr>
        <w:t xml:space="preserve">The </w:t>
      </w:r>
      <w:r w:rsidRPr="007C0B39">
        <w:t xml:space="preserve">payment </w:t>
      </w:r>
      <w:r w:rsidRPr="002F123F">
        <w:rPr>
          <w:szCs w:val="22"/>
        </w:rPr>
        <w:t>must be made by check or similar instrument, wire transfer, or credit card, and must include the NAL/Account Number and FRN referenced above</w:t>
      </w:r>
      <w:r w:rsidRPr="008B082A">
        <w:t>.</w:t>
      </w:r>
      <w:r w:rsidRPr="002F123F">
        <w:rPr>
          <w:szCs w:val="22"/>
        </w:rPr>
        <w:t xml:space="preserve">  </w:t>
      </w:r>
      <w:bookmarkEnd w:id="2"/>
      <w:r w:rsidRPr="002F123F">
        <w:rPr>
          <w:szCs w:val="22"/>
        </w:rPr>
        <w:t>Regardless of the form of payment, a completed FCC Form 159 (Remittance Advice) must be submitted.</w:t>
      </w:r>
      <w:r w:rsidRPr="007C0B39">
        <w:rPr>
          <w:rStyle w:val="FootnoteReference"/>
          <w:szCs w:val="22"/>
        </w:rPr>
        <w:footnoteReference w:id="21"/>
      </w:r>
      <w:r w:rsidRPr="002F123F">
        <w:rPr>
          <w:szCs w:val="22"/>
        </w:rPr>
        <w:t xml:space="preserve">  When completing the FCC Form 159, enter the NAL/Account Number in block number 23A (call sign/other ID) and enter the letters “FORF” in block number 24A (payment type code).  Below are additional instructions that should be followed based on the form of payment selected:</w:t>
      </w:r>
    </w:p>
    <w:p w14:paraId="7A449116" w14:textId="77777777" w:rsidR="00872E2F" w:rsidRPr="007C0B39" w:rsidRDefault="00872E2F" w:rsidP="00872E2F">
      <w:pPr>
        <w:pStyle w:val="ParaNum0"/>
        <w:numPr>
          <w:ilvl w:val="0"/>
          <w:numId w:val="50"/>
        </w:numPr>
        <w:rPr>
          <w:rFonts w:eastAsia="MS Mincho"/>
          <w:szCs w:val="22"/>
        </w:rPr>
      </w:pPr>
      <w:r w:rsidRPr="007C0B39">
        <w:rPr>
          <w:rFonts w:eastAsia="MS Mincho"/>
          <w:szCs w:val="22"/>
        </w:rPr>
        <w:t>Payment by check or money order must be made payable to the order of the Federal Communications Commission.</w:t>
      </w:r>
      <w:r>
        <w:rPr>
          <w:rFonts w:eastAsia="MS Mincho"/>
          <w:szCs w:val="22"/>
        </w:rPr>
        <w:t xml:space="preserve"> </w:t>
      </w:r>
      <w:r w:rsidRPr="007C0B39">
        <w:rPr>
          <w:rFonts w:eastAsia="MS Mincho"/>
          <w:szCs w:val="22"/>
        </w:rPr>
        <w:t xml:space="preserve"> Such payments</w:t>
      </w:r>
      <w:r>
        <w:rPr>
          <w:rFonts w:eastAsia="MS Mincho"/>
          <w:szCs w:val="22"/>
        </w:rPr>
        <w:t xml:space="preserve"> </w:t>
      </w:r>
      <w:r w:rsidRPr="007C0B39">
        <w:rPr>
          <w:rFonts w:eastAsia="MS Mincho"/>
          <w:szCs w:val="22"/>
        </w:rPr>
        <w:t>(along with the completed Form 159)</w:t>
      </w:r>
      <w:r>
        <w:rPr>
          <w:rFonts w:eastAsia="MS Mincho"/>
          <w:szCs w:val="22"/>
        </w:rPr>
        <w:t xml:space="preserve"> </w:t>
      </w:r>
      <w:r w:rsidRPr="007C0B39">
        <w:rPr>
          <w:rFonts w:eastAsia="MS Mincho"/>
          <w:szCs w:val="22"/>
        </w:rPr>
        <w:t>must be mailed to Federal Communications Commission, P.O. Box 979088, St.</w:t>
      </w:r>
      <w:r>
        <w:rPr>
          <w:rFonts w:eastAsia="MS Mincho"/>
          <w:szCs w:val="22"/>
        </w:rPr>
        <w:t xml:space="preserve"> </w:t>
      </w:r>
      <w:r w:rsidRPr="007C0B39">
        <w:rPr>
          <w:rFonts w:eastAsia="MS Mincho"/>
          <w:szCs w:val="22"/>
        </w:rPr>
        <w:t>Louis, MO 63197-9000, or sent via</w:t>
      </w:r>
      <w:r>
        <w:rPr>
          <w:rFonts w:eastAsia="MS Mincho"/>
          <w:szCs w:val="22"/>
        </w:rPr>
        <w:t xml:space="preserve"> </w:t>
      </w:r>
      <w:r w:rsidRPr="007C0B39">
        <w:rPr>
          <w:rFonts w:eastAsia="MS Mincho"/>
          <w:szCs w:val="22"/>
        </w:rPr>
        <w:t>overnight mail</w:t>
      </w:r>
      <w:r>
        <w:rPr>
          <w:rFonts w:eastAsia="MS Mincho"/>
          <w:szCs w:val="22"/>
        </w:rPr>
        <w:t xml:space="preserve"> </w:t>
      </w:r>
      <w:r w:rsidRPr="007C0B39">
        <w:rPr>
          <w:rFonts w:eastAsia="MS Mincho"/>
          <w:szCs w:val="22"/>
        </w:rPr>
        <w:t>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14:paraId="7A449117" w14:textId="77777777" w:rsidR="00872E2F" w:rsidRPr="007C0B39" w:rsidRDefault="00872E2F" w:rsidP="00872E2F">
      <w:pPr>
        <w:pStyle w:val="ParaNum0"/>
        <w:numPr>
          <w:ilvl w:val="0"/>
          <w:numId w:val="50"/>
        </w:numPr>
        <w:rPr>
          <w:rFonts w:eastAsia="MS Mincho"/>
          <w:szCs w:val="22"/>
        </w:rPr>
      </w:pPr>
      <w:r w:rsidRPr="007C0B39">
        <w:rPr>
          <w:rFonts w:eastAsia="MS Mincho"/>
          <w:szCs w:val="22"/>
        </w:rPr>
        <w:t>Payment by</w:t>
      </w:r>
      <w:r>
        <w:rPr>
          <w:rFonts w:eastAsia="MS Mincho"/>
          <w:szCs w:val="22"/>
        </w:rPr>
        <w:t xml:space="preserve"> </w:t>
      </w:r>
      <w:r w:rsidRPr="007C0B39">
        <w:rPr>
          <w:rFonts w:eastAsia="MS Mincho"/>
          <w:szCs w:val="22"/>
        </w:rPr>
        <w:t>wire transfer</w:t>
      </w:r>
      <w:r>
        <w:rPr>
          <w:rFonts w:eastAsia="MS Mincho"/>
          <w:szCs w:val="22"/>
        </w:rPr>
        <w:t xml:space="preserve"> </w:t>
      </w:r>
      <w:r w:rsidRPr="007C0B39">
        <w:rPr>
          <w:rFonts w:eastAsia="MS Mincho"/>
          <w:szCs w:val="22"/>
        </w:rPr>
        <w:t>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A449118" w14:textId="77777777" w:rsidR="00872E2F" w:rsidRPr="007C0B39" w:rsidRDefault="00872E2F" w:rsidP="00872E2F">
      <w:pPr>
        <w:pStyle w:val="ParaNum0"/>
        <w:widowControl/>
        <w:numPr>
          <w:ilvl w:val="0"/>
          <w:numId w:val="50"/>
        </w:numPr>
        <w:rPr>
          <w:rFonts w:eastAsia="MS Mincho"/>
          <w:szCs w:val="22"/>
        </w:rPr>
      </w:pPr>
      <w:r w:rsidRPr="007C0B39">
        <w:rPr>
          <w:rFonts w:eastAsia="MS Mincho"/>
          <w:szCs w:val="22"/>
        </w:rPr>
        <w:t>Payment by credit card must be made by providing the required credit card information on FCC Form 159 and signing</w:t>
      </w:r>
      <w:r>
        <w:rPr>
          <w:rFonts w:eastAsia="MS Mincho"/>
          <w:szCs w:val="22"/>
        </w:rPr>
        <w:t xml:space="preserve"> </w:t>
      </w:r>
      <w:r w:rsidRPr="007C0B39">
        <w:rPr>
          <w:rFonts w:eastAsia="MS Mincho"/>
          <w:szCs w:val="22"/>
        </w:rPr>
        <w:t>and dating</w:t>
      </w:r>
      <w:r>
        <w:rPr>
          <w:rFonts w:eastAsia="MS Mincho"/>
          <w:szCs w:val="22"/>
        </w:rPr>
        <w:t xml:space="preserve"> </w:t>
      </w:r>
      <w:r w:rsidRPr="007C0B39">
        <w:rPr>
          <w:rFonts w:eastAsia="MS Mincho"/>
          <w:szCs w:val="22"/>
        </w:rPr>
        <w:t>the Form 159 to authorize</w:t>
      </w:r>
      <w:r>
        <w:rPr>
          <w:rFonts w:eastAsia="MS Mincho"/>
          <w:szCs w:val="22"/>
        </w:rPr>
        <w:t xml:space="preserve"> </w:t>
      </w:r>
      <w:r w:rsidRPr="007C0B39">
        <w:rPr>
          <w:rFonts w:eastAsia="MS Mincho"/>
          <w:szCs w:val="22"/>
        </w:rPr>
        <w:t>the credit card payment.  The completed Form 159 must then be mailed to Federal Communications Commission, P.O. Box 979088, St. Louis, MO 63197-9000, or sent via</w:t>
      </w:r>
      <w:r>
        <w:rPr>
          <w:rFonts w:eastAsia="MS Mincho"/>
          <w:szCs w:val="22"/>
        </w:rPr>
        <w:t xml:space="preserve"> </w:t>
      </w:r>
      <w:r w:rsidRPr="007C0B39">
        <w:rPr>
          <w:rFonts w:eastAsia="MS Mincho"/>
          <w:szCs w:val="22"/>
        </w:rPr>
        <w:t>overnight mail</w:t>
      </w:r>
      <w:r>
        <w:rPr>
          <w:rFonts w:eastAsia="MS Mincho"/>
          <w:szCs w:val="22"/>
        </w:rPr>
        <w:t xml:space="preserve"> </w:t>
      </w:r>
      <w:r w:rsidRPr="007C0B39">
        <w:rPr>
          <w:rFonts w:eastAsia="MS Mincho"/>
          <w:szCs w:val="22"/>
        </w:rPr>
        <w:t>to U.S. Bank – Government Lockbox #979088, SL-MO-C2-GL, 1005 Convention Plaza, St. Louis, MO 63101.</w:t>
      </w:r>
    </w:p>
    <w:p w14:paraId="7A449119" w14:textId="77777777" w:rsidR="00872E2F" w:rsidRDefault="00872E2F" w:rsidP="00872E2F">
      <w:pPr>
        <w:spacing w:after="120"/>
        <w:rPr>
          <w:rFonts w:eastAsia="MS Mincho"/>
        </w:rPr>
      </w:pPr>
      <w:r w:rsidRPr="007C0B39">
        <w:rPr>
          <w:rFonts w:eastAsia="MS Mincho"/>
        </w:rPr>
        <w:t>Questions regarding payment procedures should be addressed to the Financial Operations Group Help Desk</w:t>
      </w:r>
      <w:r>
        <w:rPr>
          <w:rFonts w:eastAsia="MS Mincho"/>
        </w:rPr>
        <w:t xml:space="preserve"> </w:t>
      </w:r>
      <w:r w:rsidRPr="007C0B39">
        <w:rPr>
          <w:rFonts w:eastAsia="MS Mincho"/>
        </w:rPr>
        <w:t>by phone,</w:t>
      </w:r>
      <w:r>
        <w:rPr>
          <w:rFonts w:eastAsia="MS Mincho"/>
        </w:rPr>
        <w:t xml:space="preserve"> </w:t>
      </w:r>
      <w:r w:rsidRPr="007C0B39">
        <w:rPr>
          <w:rFonts w:eastAsia="MS Mincho"/>
        </w:rPr>
        <w:t>1-877-480-3201, or</w:t>
      </w:r>
      <w:r>
        <w:rPr>
          <w:rFonts w:eastAsia="MS Mincho"/>
        </w:rPr>
        <w:t xml:space="preserve"> </w:t>
      </w:r>
      <w:r w:rsidRPr="007C0B39">
        <w:rPr>
          <w:rFonts w:eastAsia="MS Mincho"/>
        </w:rPr>
        <w:t xml:space="preserve">by e-mail, </w:t>
      </w:r>
      <w:r w:rsidRPr="00891D41">
        <w:rPr>
          <w:rFonts w:eastAsia="MS Mincho"/>
        </w:rPr>
        <w:t>ARINQUIRIES@fcc.gov</w:t>
      </w:r>
      <w:r w:rsidRPr="007C0B39">
        <w:rPr>
          <w:rFonts w:eastAsia="MS Mincho"/>
        </w:rPr>
        <w:t>.</w:t>
      </w:r>
    </w:p>
    <w:p w14:paraId="7A44911A" w14:textId="77777777" w:rsidR="00872E2F" w:rsidRPr="00621691" w:rsidRDefault="00872E2F" w:rsidP="00872E2F">
      <w:pPr>
        <w:pStyle w:val="ParaNum0"/>
        <w:rPr>
          <w:rFonts w:eastAsia="MS Mincho"/>
        </w:rPr>
      </w:pPr>
      <w:r w:rsidRPr="00791DF7">
        <w:rPr>
          <w:b/>
          <w:u w:val="single"/>
        </w:rPr>
        <w:t>Event of Default</w:t>
      </w:r>
      <w:r w:rsidRPr="00791DF7">
        <w:rPr>
          <w:i/>
        </w:rPr>
        <w:t>.</w:t>
      </w:r>
      <w:r w:rsidRPr="008B082A">
        <w:t xml:space="preserve">  </w:t>
      </w:r>
      <w:r>
        <w:t>Mr. Bojczak</w:t>
      </w:r>
      <w:r w:rsidRPr="00D528BF">
        <w:t xml:space="preserve"> agrees that an Event of Default shall occur upon</w:t>
      </w:r>
      <w:r>
        <w:t>:</w:t>
      </w:r>
      <w:r w:rsidRPr="00D528BF">
        <w:t xml:space="preserve"> (1) </w:t>
      </w:r>
      <w:r>
        <w:t xml:space="preserve">the failure to pay the </w:t>
      </w:r>
      <w:r w:rsidRPr="000F0482">
        <w:t>Civil Penalty</w:t>
      </w:r>
      <w:r>
        <w:t xml:space="preserve"> or any Installment Payments to the U.S. Treasury on or before the dates specified in Paragraph 13; (2) </w:t>
      </w:r>
      <w:r w:rsidRPr="00D528BF">
        <w:t xml:space="preserve">the release of an order </w:t>
      </w:r>
      <w:r>
        <w:t xml:space="preserve">within three years of the Effective Date </w:t>
      </w:r>
      <w:r w:rsidRPr="00D528BF">
        <w:t xml:space="preserve">by the Commission, such as a Notice of Apparent Liability for Forfeiture </w:t>
      </w:r>
      <w:r>
        <w:t xml:space="preserve">that is uncontested </w:t>
      </w:r>
      <w:r w:rsidRPr="00D528BF">
        <w:t xml:space="preserve">or </w:t>
      </w:r>
      <w:r>
        <w:t xml:space="preserve">a </w:t>
      </w:r>
      <w:r w:rsidRPr="00D528BF">
        <w:t xml:space="preserve">Forfeiture Order, finding that </w:t>
      </w:r>
      <w:r>
        <w:t>Mr. Bojczak</w:t>
      </w:r>
      <w:r w:rsidRPr="00D528BF">
        <w:t xml:space="preserve"> violated the </w:t>
      </w:r>
      <w:r>
        <w:t>Jammer Laws</w:t>
      </w:r>
      <w:r w:rsidRPr="00E04F98">
        <w:t xml:space="preserve"> in effect at the time of this agreement; </w:t>
      </w:r>
      <w:r w:rsidRPr="00D528BF">
        <w:t>or (</w:t>
      </w:r>
      <w:r>
        <w:t>3</w:t>
      </w:r>
      <w:r w:rsidRPr="00D528BF">
        <w:t>)</w:t>
      </w:r>
      <w:r>
        <w:t> </w:t>
      </w:r>
      <w:r w:rsidRPr="00D528BF">
        <w:t xml:space="preserve">the release of an order by the Commission finding that </w:t>
      </w:r>
      <w:r>
        <w:t>Mr. Bojczak materially misstated hi</w:t>
      </w:r>
      <w:r w:rsidRPr="00D528BF">
        <w:t>s financi</w:t>
      </w:r>
      <w:r>
        <w:t>al condition in the documents he</w:t>
      </w:r>
      <w:r w:rsidRPr="00D528BF">
        <w:t xml:space="preserve"> produced to support </w:t>
      </w:r>
      <w:r>
        <w:t>his</w:t>
      </w:r>
      <w:r w:rsidRPr="00D528BF">
        <w:t xml:space="preserve"> claim of inability to pay.  </w:t>
      </w:r>
    </w:p>
    <w:p w14:paraId="7A44911B" w14:textId="77777777" w:rsidR="00872E2F" w:rsidRPr="00AF6D67" w:rsidRDefault="00872E2F" w:rsidP="00872E2F">
      <w:pPr>
        <w:pStyle w:val="ParaNum0"/>
        <w:rPr>
          <w:rFonts w:eastAsia="MS Mincho"/>
        </w:rPr>
      </w:pPr>
      <w:r w:rsidRPr="00D0308D">
        <w:rPr>
          <w:b/>
          <w:u w:val="single"/>
        </w:rPr>
        <w:t>Interest, Charges for Collection, and Acceleration of Maturity Date</w:t>
      </w:r>
      <w:r w:rsidRPr="002A1775">
        <w:t xml:space="preserve">. </w:t>
      </w:r>
      <w:r>
        <w:t>Upon an Event of Default, all procedures for collection permitted by the DCIA and other provisions of law</w:t>
      </w:r>
      <w:r>
        <w:rPr>
          <w:rStyle w:val="FootnoteReference"/>
        </w:rPr>
        <w:footnoteReference w:id="22"/>
      </w:r>
      <w:r>
        <w:t xml:space="preserve"> may, at the Commission’s discretion, be initiated and the following shall become immediately due and payable, without notice, presentment, demand, protest, or notice of protest of any kind, all of which are waived by Mr. Bojczak: (a) any unpaid Civil Penalties or Installment Payments referenced in Paragraph 13, which shall accrue interest at a rate of the U.S. Prime Rate in effect on the date of the Event of Default plus 4.75 percent per annum from the date of the Event of Default until payment in full; (b) the Additional Civil Penalty referenced in Paragraph 14, which shall accrue interest at a rate of the U.S. Prime Rate in effect on the date of the Event of Default plus 4.75 percent per annum from the date of the Event of Default </w:t>
      </w:r>
    </w:p>
    <w:p w14:paraId="7A44911C" w14:textId="77777777" w:rsidR="00872E2F" w:rsidRPr="002A4EC6" w:rsidRDefault="00872E2F" w:rsidP="00872E2F">
      <w:pPr>
        <w:pStyle w:val="ParaNum0"/>
        <w:numPr>
          <w:ilvl w:val="0"/>
          <w:numId w:val="0"/>
        </w:numPr>
        <w:rPr>
          <w:rFonts w:eastAsia="MS Mincho"/>
        </w:rPr>
      </w:pPr>
      <w:r>
        <w:t>until payment in full; (c) any penalties permitted and/or required by the law, including but not limited to 31 U.S.C. § 3717; and (d) any administrative charge(s), including the costs of collection, litigation, and attorneys’ fees.</w:t>
      </w:r>
    </w:p>
    <w:p w14:paraId="7A44911D" w14:textId="77777777" w:rsidR="00872E2F" w:rsidRDefault="00872E2F" w:rsidP="00872E2F">
      <w:pPr>
        <w:pStyle w:val="ParaNum0"/>
        <w:widowControl/>
      </w:pPr>
      <w:r w:rsidRPr="007C0B39">
        <w:rPr>
          <w:b/>
          <w:u w:val="single"/>
        </w:rPr>
        <w:t>Waivers</w:t>
      </w:r>
      <w:r w:rsidRPr="007C0B39">
        <w:t xml:space="preserve">.  As of the Effective Date, </w:t>
      </w:r>
      <w:r>
        <w:t>Mr. Bojczak waives any and all rights he</w:t>
      </w:r>
      <w:r w:rsidRPr="007C0B39">
        <w:t xml:space="preserve"> may have to seek administrative or judicial reconsideration, review, appeal or stay, or to otherwise challenge or contest the validity of this Consent Decree and the Adopting Order.  </w:t>
      </w:r>
      <w:r>
        <w:t xml:space="preserve">Mr. Bojczak </w:t>
      </w:r>
      <w:r w:rsidRPr="007C0B39">
        <w:t xml:space="preserve">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 xml:space="preserve">Mr. Bojczak </w:t>
      </w:r>
      <w:r w:rsidRPr="007C0B39">
        <w:t xml:space="preserve">nor the Commission shall contest the validity of the Consent Decree or the Adopting Order, and </w:t>
      </w:r>
      <w:r>
        <w:t xml:space="preserve">Mr. </w:t>
      </w:r>
      <w:r>
        <w:rPr>
          <w:szCs w:val="22"/>
        </w:rPr>
        <w:t>Bojczak</w:t>
      </w:r>
      <w:r>
        <w:t xml:space="preserve"> s</w:t>
      </w:r>
      <w:r w:rsidRPr="007C0B39">
        <w:t xml:space="preserve">hall waive any statutory right to a trial </w:t>
      </w:r>
      <w:r w:rsidRPr="007C0B39">
        <w:rPr>
          <w:i/>
        </w:rPr>
        <w:t>de novo</w:t>
      </w:r>
      <w:r w:rsidRPr="007C0B39">
        <w:t xml:space="preserve">.  </w:t>
      </w:r>
      <w:r>
        <w:t xml:space="preserve">Mr. </w:t>
      </w:r>
      <w:r>
        <w:rPr>
          <w:szCs w:val="22"/>
        </w:rPr>
        <w:t>Bojczak</w:t>
      </w:r>
      <w:r w:rsidRPr="007C0B39">
        <w:t xml:space="preserve"> hereby agr</w:t>
      </w:r>
      <w:r>
        <w:t>ees to waive any claims he</w:t>
      </w:r>
      <w:r w:rsidRPr="007C0B39">
        <w:t xml:space="preserve"> may otherwise have under the Equal Access to Justice Act</w:t>
      </w:r>
      <w:r w:rsidRPr="007C0B39">
        <w:rPr>
          <w:rStyle w:val="FootnoteReference"/>
          <w:szCs w:val="22"/>
        </w:rPr>
        <w:footnoteReference w:id="23"/>
      </w:r>
      <w:r w:rsidRPr="007C0B39">
        <w:t xml:space="preserve"> relating to the matters addressed in this Consent Decree.</w:t>
      </w:r>
      <w:r>
        <w:t xml:space="preserve">  </w:t>
      </w:r>
    </w:p>
    <w:p w14:paraId="7A44911E" w14:textId="77777777" w:rsidR="00872E2F" w:rsidRPr="007C0B39" w:rsidRDefault="00872E2F" w:rsidP="00872E2F">
      <w:pPr>
        <w:pStyle w:val="ParaNum0"/>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7A44911F" w14:textId="77777777" w:rsidR="00872E2F" w:rsidRPr="007C0B39" w:rsidRDefault="00872E2F" w:rsidP="00872E2F">
      <w:pPr>
        <w:pStyle w:val="ParaNum0"/>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14:paraId="7A449120" w14:textId="77777777" w:rsidR="00872E2F" w:rsidRPr="007C0B39" w:rsidRDefault="00872E2F" w:rsidP="00872E2F">
      <w:pPr>
        <w:pStyle w:val="ParaNum0"/>
      </w:pPr>
      <w:r w:rsidRPr="007C0B39">
        <w:rPr>
          <w:b/>
          <w:u w:val="single"/>
        </w:rPr>
        <w:t>Subsequent Rule or Order</w:t>
      </w:r>
      <w:r w:rsidRPr="007C0B39">
        <w:t>.  The Parties agree that if any provision of the Consent Decree conflicts with any subsequent Rule or Order adopted by the Commission</w:t>
      </w:r>
      <w:r>
        <w:t xml:space="preserve">, </w:t>
      </w:r>
      <w:r w:rsidRPr="007C0B39">
        <w:t>that provision will be s</w:t>
      </w:r>
      <w:r>
        <w:t>uperseded by such Rule or Order</w:t>
      </w:r>
      <w:r w:rsidRPr="007C0B39">
        <w:t>.</w:t>
      </w:r>
    </w:p>
    <w:p w14:paraId="7A449121" w14:textId="77777777" w:rsidR="00872E2F" w:rsidRPr="007C0B39" w:rsidRDefault="00872E2F" w:rsidP="00872E2F">
      <w:pPr>
        <w:pStyle w:val="ParaNum0"/>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w:t>
      </w:r>
      <w:r w:rsidRPr="00F657B1">
        <w:rPr>
          <w:szCs w:val="22"/>
        </w:rPr>
        <w:t>Investigation</w:t>
      </w:r>
      <w:r w:rsidRPr="007C0B39">
        <w:rPr>
          <w:szCs w:val="22"/>
        </w:rPr>
        <w:t>.</w:t>
      </w:r>
      <w:r w:rsidRPr="0004267E">
        <w:rPr>
          <w:szCs w:val="22"/>
        </w:rPr>
        <w:t xml:space="preserve">  </w:t>
      </w:r>
    </w:p>
    <w:p w14:paraId="7A449122" w14:textId="77777777" w:rsidR="00872E2F" w:rsidRPr="007C0B39" w:rsidRDefault="00872E2F" w:rsidP="00872E2F">
      <w:pPr>
        <w:pStyle w:val="ParaNum0"/>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7A449123" w14:textId="77777777" w:rsidR="00872E2F" w:rsidRPr="007C0B39" w:rsidRDefault="00872E2F" w:rsidP="00872E2F">
      <w:pPr>
        <w:pStyle w:val="ParaNum0"/>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7A449124" w14:textId="2AC8BC88" w:rsidR="00237600" w:rsidRDefault="00872E2F" w:rsidP="00872E2F">
      <w:pPr>
        <w:pStyle w:val="ParaNum0"/>
        <w:widowControl/>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71F5799B" w14:textId="77777777" w:rsidR="00237600" w:rsidRDefault="00237600">
      <w:pPr>
        <w:widowControl/>
        <w:rPr>
          <w:szCs w:val="22"/>
        </w:rPr>
      </w:pPr>
      <w:r>
        <w:rPr>
          <w:szCs w:val="22"/>
        </w:rPr>
        <w:br w:type="page"/>
      </w:r>
    </w:p>
    <w:p w14:paraId="7A449125" w14:textId="77777777" w:rsidR="00872E2F" w:rsidRDefault="00872E2F" w:rsidP="00872E2F">
      <w:pPr>
        <w:pStyle w:val="ParaNum0"/>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14:paraId="7A449126" w14:textId="77777777" w:rsidR="00872E2F" w:rsidRDefault="00872E2F" w:rsidP="00872E2F">
      <w:pPr>
        <w:pStyle w:val="ParaNum0"/>
        <w:numPr>
          <w:ilvl w:val="0"/>
          <w:numId w:val="0"/>
        </w:numPr>
        <w:ind w:left="720"/>
        <w:rPr>
          <w:szCs w:val="22"/>
        </w:rPr>
      </w:pPr>
    </w:p>
    <w:p w14:paraId="7A449127" w14:textId="77777777" w:rsidR="00872E2F" w:rsidRDefault="00872E2F" w:rsidP="00872E2F">
      <w:pPr>
        <w:pStyle w:val="ParaNum0"/>
        <w:numPr>
          <w:ilvl w:val="0"/>
          <w:numId w:val="0"/>
        </w:numPr>
        <w:ind w:left="720"/>
        <w:rPr>
          <w:szCs w:val="22"/>
        </w:rPr>
      </w:pPr>
    </w:p>
    <w:p w14:paraId="7A449128" w14:textId="77777777" w:rsidR="00872E2F" w:rsidRDefault="00872E2F" w:rsidP="00872E2F">
      <w:pPr>
        <w:pStyle w:val="ParaNum0"/>
        <w:numPr>
          <w:ilvl w:val="0"/>
          <w:numId w:val="0"/>
        </w:numPr>
        <w:spacing w:after="0"/>
      </w:pPr>
      <w:r w:rsidRPr="005319A9">
        <w:t>______________________________</w:t>
      </w:r>
      <w:r>
        <w:tab/>
      </w:r>
      <w:r>
        <w:tab/>
      </w:r>
      <w:r>
        <w:tab/>
      </w:r>
      <w:r>
        <w:tab/>
        <w:t>__________________________</w:t>
      </w:r>
    </w:p>
    <w:p w14:paraId="7A449129" w14:textId="77777777" w:rsidR="00872E2F" w:rsidRDefault="00872E2F" w:rsidP="00872E2F">
      <w:pPr>
        <w:pStyle w:val="ParaNum0"/>
        <w:numPr>
          <w:ilvl w:val="0"/>
          <w:numId w:val="0"/>
        </w:numPr>
        <w:spacing w:after="0"/>
      </w:pPr>
      <w:r>
        <w:t>Travis LeBlanc, Chief</w:t>
      </w:r>
      <w:r>
        <w:tab/>
      </w:r>
      <w:r>
        <w:tab/>
      </w:r>
      <w:r>
        <w:tab/>
      </w:r>
      <w:r>
        <w:tab/>
      </w:r>
      <w:r>
        <w:tab/>
      </w:r>
      <w:r>
        <w:tab/>
        <w:t>Gary P. Bojczak</w:t>
      </w:r>
    </w:p>
    <w:p w14:paraId="7A44912A" w14:textId="77777777" w:rsidR="00872E2F" w:rsidRPr="005319A9" w:rsidRDefault="00872E2F" w:rsidP="00872E2F">
      <w:pPr>
        <w:pStyle w:val="ParaNum0"/>
        <w:numPr>
          <w:ilvl w:val="0"/>
          <w:numId w:val="0"/>
        </w:numPr>
        <w:spacing w:after="0"/>
      </w:pPr>
      <w:r>
        <w:t>Enforcement Bureau</w:t>
      </w:r>
      <w:r>
        <w:tab/>
      </w:r>
      <w:r>
        <w:tab/>
      </w:r>
      <w:r>
        <w:tab/>
      </w:r>
      <w:r>
        <w:tab/>
      </w:r>
      <w:r>
        <w:tab/>
      </w:r>
      <w:r>
        <w:tab/>
      </w:r>
    </w:p>
    <w:p w14:paraId="7A44912B" w14:textId="77777777" w:rsidR="00872E2F" w:rsidRDefault="00872E2F" w:rsidP="00872E2F">
      <w:pPr>
        <w:pStyle w:val="ParaNum0"/>
        <w:numPr>
          <w:ilvl w:val="0"/>
          <w:numId w:val="0"/>
        </w:numPr>
        <w:spacing w:after="0"/>
        <w:rPr>
          <w:szCs w:val="22"/>
        </w:rPr>
      </w:pPr>
    </w:p>
    <w:p w14:paraId="7A44912C" w14:textId="77777777" w:rsidR="00872E2F" w:rsidRDefault="00872E2F" w:rsidP="00872E2F">
      <w:pPr>
        <w:pStyle w:val="ParaNum0"/>
        <w:numPr>
          <w:ilvl w:val="0"/>
          <w:numId w:val="0"/>
        </w:numPr>
        <w:spacing w:after="0"/>
        <w:rPr>
          <w:szCs w:val="22"/>
        </w:rPr>
      </w:pPr>
      <w:r>
        <w:rPr>
          <w:szCs w:val="22"/>
        </w:rPr>
        <w:t>Date:  ______________________</w:t>
      </w:r>
      <w:r>
        <w:rPr>
          <w:szCs w:val="22"/>
        </w:rPr>
        <w:tab/>
      </w:r>
      <w:r>
        <w:rPr>
          <w:szCs w:val="22"/>
        </w:rPr>
        <w:tab/>
      </w:r>
      <w:r>
        <w:rPr>
          <w:szCs w:val="22"/>
        </w:rPr>
        <w:tab/>
      </w:r>
      <w:r>
        <w:rPr>
          <w:szCs w:val="22"/>
        </w:rPr>
        <w:tab/>
        <w:t>Date:  _____________________</w:t>
      </w:r>
    </w:p>
    <w:p w14:paraId="7A44912D" w14:textId="77777777" w:rsidR="00412FC5" w:rsidRPr="008C4282" w:rsidRDefault="00412FC5" w:rsidP="00CF77B7">
      <w:pPr>
        <w:rPr>
          <w:szCs w:val="22"/>
        </w:rPr>
      </w:pPr>
    </w:p>
    <w:sectPr w:rsidR="00412FC5" w:rsidRPr="008C4282" w:rsidSect="001B34AE">
      <w:headerReference w:type="default" r:id="rId14"/>
      <w:footerReference w:type="even" r:id="rId15"/>
      <w:footerReference w:type="default" r:id="rId16"/>
      <w:headerReference w:type="first" r:id="rId17"/>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49131" w14:textId="77777777" w:rsidR="00367F93" w:rsidRDefault="00367F93">
      <w:pPr>
        <w:spacing w:line="20" w:lineRule="exact"/>
      </w:pPr>
    </w:p>
  </w:endnote>
  <w:endnote w:type="continuationSeparator" w:id="0">
    <w:p w14:paraId="7A449132" w14:textId="77777777" w:rsidR="00367F93" w:rsidRDefault="00367F93">
      <w:r>
        <w:t xml:space="preserve"> </w:t>
      </w:r>
    </w:p>
  </w:endnote>
  <w:endnote w:type="continuationNotice" w:id="1">
    <w:p w14:paraId="7A449133" w14:textId="77777777" w:rsidR="00367F93" w:rsidRDefault="00367F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9138" w14:textId="77777777" w:rsidR="00676723" w:rsidRDefault="00404B01" w:rsidP="0055614C">
    <w:pPr>
      <w:pStyle w:val="Footer"/>
      <w:framePr w:wrap="around" w:vAnchor="text" w:hAnchor="margin" w:xAlign="center" w:y="1"/>
    </w:pPr>
    <w:r>
      <w:fldChar w:fldCharType="begin"/>
    </w:r>
    <w:r w:rsidR="00676723">
      <w:instrText xml:space="preserve">PAGE  </w:instrText>
    </w:r>
    <w:r>
      <w:fldChar w:fldCharType="end"/>
    </w:r>
  </w:p>
  <w:p w14:paraId="7A449139" w14:textId="77777777" w:rsidR="00676723" w:rsidRDefault="0067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913A" w14:textId="77777777" w:rsidR="00676723" w:rsidRPr="007B3BDA" w:rsidRDefault="00404B01" w:rsidP="0055614C">
    <w:pPr>
      <w:pStyle w:val="Footer"/>
      <w:framePr w:wrap="around" w:vAnchor="text" w:hAnchor="margin" w:xAlign="center" w:y="1"/>
    </w:pPr>
    <w:r w:rsidRPr="007B3BDA">
      <w:fldChar w:fldCharType="begin"/>
    </w:r>
    <w:r w:rsidR="00676723" w:rsidRPr="007B3BDA">
      <w:instrText xml:space="preserve">PAGE  </w:instrText>
    </w:r>
    <w:r w:rsidRPr="007B3BDA">
      <w:fldChar w:fldCharType="separate"/>
    </w:r>
    <w:r w:rsidR="00950C07">
      <w:rPr>
        <w:noProof/>
      </w:rPr>
      <w:t>1</w:t>
    </w:r>
    <w:r w:rsidRPr="007B3BDA">
      <w:fldChar w:fldCharType="end"/>
    </w:r>
  </w:p>
  <w:p w14:paraId="7A44913B" w14:textId="77777777" w:rsidR="00676723" w:rsidRPr="007B3BDA" w:rsidRDefault="00676723">
    <w:pPr>
      <w:suppressAutoHyphens/>
      <w:spacing w:line="227" w:lineRule="auto"/>
    </w:pPr>
  </w:p>
  <w:p w14:paraId="7A44913C" w14:textId="77777777" w:rsidR="00676723" w:rsidRPr="007B3BDA" w:rsidRDefault="006767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9140" w14:textId="77777777" w:rsidR="00676723" w:rsidRDefault="00676723">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9144" w14:textId="77777777" w:rsidR="00B945C1" w:rsidRDefault="00872E2F" w:rsidP="0055614C">
    <w:pPr>
      <w:pStyle w:val="Footer"/>
      <w:framePr w:wrap="around" w:vAnchor="text" w:hAnchor="margin" w:xAlign="center" w:y="1"/>
    </w:pPr>
    <w:r>
      <w:fldChar w:fldCharType="begin"/>
    </w:r>
    <w:r>
      <w:instrText xml:space="preserve">PAGE  </w:instrText>
    </w:r>
    <w:r>
      <w:fldChar w:fldCharType="end"/>
    </w:r>
  </w:p>
  <w:p w14:paraId="7A449145" w14:textId="77777777" w:rsidR="00B945C1" w:rsidRDefault="00872E2F" w:rsidP="001D5875">
    <w:pPr>
      <w:pStyle w:val="DocID"/>
    </w:pPr>
    <w:r>
      <w:t>999797.2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9146" w14:textId="77777777" w:rsidR="00B945C1" w:rsidRDefault="00872E2F" w:rsidP="0055614C">
    <w:pPr>
      <w:pStyle w:val="Footer"/>
      <w:framePr w:wrap="around" w:vAnchor="text" w:hAnchor="margin" w:xAlign="center" w:y="1"/>
    </w:pPr>
    <w:r>
      <w:fldChar w:fldCharType="begin"/>
    </w:r>
    <w:r>
      <w:instrText xml:space="preserve">PAGE  </w:instrText>
    </w:r>
    <w:r>
      <w:fldChar w:fldCharType="separate"/>
    </w:r>
    <w:r w:rsidR="00237600">
      <w:rPr>
        <w:noProof/>
      </w:rPr>
      <w:t>4</w:t>
    </w:r>
    <w:r>
      <w:fldChar w:fldCharType="end"/>
    </w:r>
  </w:p>
  <w:p w14:paraId="7A449147" w14:textId="77777777" w:rsidR="00B945C1" w:rsidRDefault="00950C07" w:rsidP="00222B05">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4912E" w14:textId="77777777" w:rsidR="00367F93" w:rsidRDefault="00367F93">
      <w:pPr>
        <w:rPr>
          <w:noProof/>
        </w:rPr>
      </w:pPr>
      <w:r>
        <w:rPr>
          <w:noProof/>
        </w:rPr>
        <w:separator/>
      </w:r>
    </w:p>
  </w:footnote>
  <w:footnote w:type="continuationSeparator" w:id="0">
    <w:p w14:paraId="7A44912F" w14:textId="77777777" w:rsidR="00367F93" w:rsidRDefault="00367F93">
      <w:pPr>
        <w:rPr>
          <w:sz w:val="20"/>
        </w:rPr>
      </w:pPr>
      <w:r>
        <w:rPr>
          <w:sz w:val="20"/>
        </w:rPr>
        <w:t xml:space="preserve">(Continued from previous page)  </w:t>
      </w:r>
      <w:r>
        <w:rPr>
          <w:sz w:val="20"/>
        </w:rPr>
        <w:separator/>
      </w:r>
    </w:p>
  </w:footnote>
  <w:footnote w:type="continuationNotice" w:id="1">
    <w:p w14:paraId="7A449130" w14:textId="77777777" w:rsidR="00367F93" w:rsidRDefault="00367F93">
      <w:pPr>
        <w:rPr>
          <w:sz w:val="20"/>
        </w:rPr>
      </w:pPr>
      <w:r>
        <w:rPr>
          <w:sz w:val="20"/>
        </w:rPr>
        <w:t>(continued….)</w:t>
      </w:r>
    </w:p>
  </w:footnote>
  <w:footnote w:id="2">
    <w:p w14:paraId="7A449151" w14:textId="77777777" w:rsidR="00333867" w:rsidRPr="00520DE0" w:rsidRDefault="00333867" w:rsidP="00333867">
      <w:pPr>
        <w:pStyle w:val="FootnoteText"/>
      </w:pPr>
      <w:r>
        <w:rPr>
          <w:rStyle w:val="FootnoteReference"/>
        </w:rPr>
        <w:footnoteRef/>
      </w:r>
      <w:r>
        <w:t xml:space="preserve"> </w:t>
      </w:r>
      <w:r>
        <w:rPr>
          <w:i/>
        </w:rPr>
        <w:t xml:space="preserve">Gary P. Bojczak, </w:t>
      </w:r>
      <w:r>
        <w:t xml:space="preserve">Notice of Apparent Liability for Forfeiture, 28 FCC Rcd 11589 (2013) (proposing a $31,875 forfeiture).  </w:t>
      </w:r>
    </w:p>
  </w:footnote>
  <w:footnote w:id="3">
    <w:p w14:paraId="7A449152" w14:textId="77777777" w:rsidR="003A061A" w:rsidRPr="00804614" w:rsidRDefault="003A061A">
      <w:pPr>
        <w:pStyle w:val="FootnoteText"/>
      </w:pPr>
      <w:r>
        <w:rPr>
          <w:rStyle w:val="FootnoteReference"/>
        </w:rPr>
        <w:footnoteRef/>
      </w:r>
      <w:r>
        <w:t xml:space="preserve"> </w:t>
      </w:r>
      <w:r>
        <w:rPr>
          <w:i/>
          <w:snapToGrid w:val="0"/>
        </w:rPr>
        <w:t xml:space="preserve">See Letter from Mr. Gary P. Bojczak, to </w:t>
      </w:r>
      <w:r w:rsidR="00125593">
        <w:rPr>
          <w:i/>
          <w:snapToGrid w:val="0"/>
        </w:rPr>
        <w:t xml:space="preserve">New York Office, Northeast Region, Enforcement Bureau, </w:t>
      </w:r>
      <w:r>
        <w:rPr>
          <w:i/>
          <w:snapToGrid w:val="0"/>
        </w:rPr>
        <w:t xml:space="preserve">Federal Communications Commission </w:t>
      </w:r>
      <w:r>
        <w:rPr>
          <w:snapToGrid w:val="0"/>
        </w:rPr>
        <w:t>(Sept. 25, 2013)</w:t>
      </w:r>
      <w:r w:rsidR="00804614">
        <w:rPr>
          <w:i/>
          <w:snapToGrid w:val="0"/>
        </w:rPr>
        <w:t xml:space="preserve">; Letter from Mr. Gary P. Bojczak, to </w:t>
      </w:r>
      <w:r w:rsidR="00125593">
        <w:rPr>
          <w:i/>
          <w:snapToGrid w:val="0"/>
        </w:rPr>
        <w:t xml:space="preserve">Spectrum Enforcement Division, Enforcement Bureau, </w:t>
      </w:r>
      <w:r w:rsidR="00804614">
        <w:rPr>
          <w:i/>
          <w:snapToGrid w:val="0"/>
        </w:rPr>
        <w:t xml:space="preserve">Federal Communications Commission </w:t>
      </w:r>
      <w:r w:rsidR="00804614">
        <w:rPr>
          <w:snapToGrid w:val="0"/>
        </w:rPr>
        <w:t>(Jan. 5, 2016).</w:t>
      </w:r>
    </w:p>
  </w:footnote>
  <w:footnote w:id="4">
    <w:p w14:paraId="7A449153" w14:textId="77777777" w:rsidR="00B277A4" w:rsidRPr="00D84548" w:rsidRDefault="00B277A4" w:rsidP="00D23E19">
      <w:pPr>
        <w:pStyle w:val="FootnoteText"/>
        <w:tabs>
          <w:tab w:val="left" w:pos="2207"/>
        </w:tabs>
      </w:pPr>
      <w:r w:rsidRPr="00ED5746">
        <w:rPr>
          <w:rStyle w:val="FootnoteReference"/>
        </w:rPr>
        <w:footnoteRef/>
      </w:r>
      <w:r w:rsidRPr="00D84548">
        <w:t xml:space="preserve"> </w:t>
      </w:r>
      <w:r w:rsidR="00EC1426">
        <w:rPr>
          <w:szCs w:val="22"/>
        </w:rPr>
        <w:t>47 U.S.C. § 301, 302a(b), 333</w:t>
      </w:r>
      <w:r w:rsidRPr="00D84548">
        <w:rPr>
          <w:szCs w:val="22"/>
        </w:rPr>
        <w:t>.</w:t>
      </w:r>
      <w:r w:rsidR="00ED5746" w:rsidRPr="00D84548">
        <w:rPr>
          <w:szCs w:val="22"/>
        </w:rPr>
        <w:tab/>
      </w:r>
    </w:p>
  </w:footnote>
  <w:footnote w:id="5">
    <w:p w14:paraId="7A449154" w14:textId="77777777" w:rsidR="00B277A4" w:rsidRPr="00D84548" w:rsidRDefault="00B277A4">
      <w:pPr>
        <w:pStyle w:val="FootnoteText"/>
      </w:pPr>
      <w:r w:rsidRPr="00D84548">
        <w:rPr>
          <w:rStyle w:val="FootnoteReference"/>
        </w:rPr>
        <w:footnoteRef/>
      </w:r>
      <w:r w:rsidRPr="00D84548">
        <w:t xml:space="preserve"> </w:t>
      </w:r>
      <w:r w:rsidR="00EC1426">
        <w:rPr>
          <w:szCs w:val="22"/>
        </w:rPr>
        <w:t>47 C.F.R. § 2.805, 15.1(c)</w:t>
      </w:r>
      <w:r w:rsidRPr="00D84548">
        <w:rPr>
          <w:szCs w:val="22"/>
        </w:rPr>
        <w:t>.</w:t>
      </w:r>
    </w:p>
  </w:footnote>
  <w:footnote w:id="6">
    <w:p w14:paraId="7A449155" w14:textId="77777777" w:rsidR="00357044" w:rsidRPr="00F74D07" w:rsidRDefault="00357044">
      <w:pPr>
        <w:pStyle w:val="FootnoteText"/>
      </w:pPr>
      <w:r>
        <w:rPr>
          <w:rStyle w:val="FootnoteReference"/>
        </w:rPr>
        <w:footnoteRef/>
      </w:r>
      <w:r>
        <w:t xml:space="preserve"> </w:t>
      </w:r>
      <w:r>
        <w:rPr>
          <w:i/>
        </w:rPr>
        <w:t xml:space="preserve">See </w:t>
      </w:r>
      <w:r>
        <w:t xml:space="preserve">47 C.F.R. </w:t>
      </w:r>
      <w:r w:rsidR="00F74D07">
        <w:t>§ 1.93(b).</w:t>
      </w:r>
    </w:p>
  </w:footnote>
  <w:footnote w:id="7">
    <w:p w14:paraId="7A449156" w14:textId="77777777" w:rsidR="009632A6" w:rsidRPr="00D84548" w:rsidRDefault="009632A6">
      <w:pPr>
        <w:pStyle w:val="FootnoteText"/>
      </w:pPr>
      <w:r w:rsidRPr="00D84548">
        <w:rPr>
          <w:rStyle w:val="FootnoteReference"/>
        </w:rPr>
        <w:footnoteRef/>
      </w:r>
      <w:r w:rsidRPr="00D84548">
        <w:t xml:space="preserve"> </w:t>
      </w:r>
      <w:r w:rsidRPr="00D84548">
        <w:rPr>
          <w:szCs w:val="22"/>
        </w:rPr>
        <w:t>47 U.S.C. §§</w:t>
      </w:r>
      <w:r w:rsidR="009E7E5F">
        <w:rPr>
          <w:szCs w:val="22"/>
        </w:rPr>
        <w:t xml:space="preserve"> 154(i), 503(b)</w:t>
      </w:r>
      <w:r w:rsidRPr="00D84548">
        <w:rPr>
          <w:szCs w:val="22"/>
        </w:rPr>
        <w:t>.</w:t>
      </w:r>
    </w:p>
  </w:footnote>
  <w:footnote w:id="8">
    <w:p w14:paraId="7A449157" w14:textId="77777777" w:rsidR="009632A6" w:rsidRDefault="009632A6">
      <w:pPr>
        <w:pStyle w:val="FootnoteText"/>
      </w:pPr>
      <w:r w:rsidRPr="00D84548">
        <w:rPr>
          <w:rStyle w:val="FootnoteReference"/>
        </w:rPr>
        <w:footnoteRef/>
      </w:r>
      <w:r w:rsidRPr="00D84548">
        <w:t xml:space="preserve"> </w:t>
      </w:r>
      <w:r w:rsidRPr="00D84548">
        <w:rPr>
          <w:szCs w:val="22"/>
        </w:rPr>
        <w:t>47 C.F.R §§ 0.111, 0.311.</w:t>
      </w:r>
    </w:p>
  </w:footnote>
  <w:footnote w:id="9">
    <w:p w14:paraId="7A449158" w14:textId="77777777" w:rsidR="00872E2F" w:rsidRDefault="00872E2F" w:rsidP="00872E2F">
      <w:pPr>
        <w:pStyle w:val="FootnoteText"/>
      </w:pPr>
      <w:r>
        <w:rPr>
          <w:rStyle w:val="FootnoteReference"/>
        </w:rPr>
        <w:footnoteRef/>
      </w:r>
      <w:r>
        <w:t xml:space="preserve"> 47 U.S.C. §§ 301, 302a(b), and 333.</w:t>
      </w:r>
    </w:p>
  </w:footnote>
  <w:footnote w:id="10">
    <w:p w14:paraId="7A449159" w14:textId="77777777" w:rsidR="00872E2F" w:rsidRDefault="00872E2F" w:rsidP="00872E2F">
      <w:pPr>
        <w:pStyle w:val="FootnoteText"/>
      </w:pPr>
      <w:r>
        <w:rPr>
          <w:rStyle w:val="FootnoteReference"/>
        </w:rPr>
        <w:footnoteRef/>
      </w:r>
      <w:r>
        <w:t xml:space="preserve"> 47 C.F.R. §§ 2.805(a) and 15.1(c).</w:t>
      </w:r>
    </w:p>
  </w:footnote>
  <w:footnote w:id="11">
    <w:p w14:paraId="7A44915A" w14:textId="77777777" w:rsidR="00872E2F" w:rsidRDefault="00872E2F" w:rsidP="00872E2F">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2">
    <w:p w14:paraId="7A44915B" w14:textId="77777777" w:rsidR="00872E2F" w:rsidRDefault="00872E2F" w:rsidP="00872E2F">
      <w:pPr>
        <w:pStyle w:val="FootnoteText"/>
      </w:pPr>
      <w:r>
        <w:rPr>
          <w:rStyle w:val="FootnoteReference"/>
        </w:rPr>
        <w:footnoteRef/>
      </w:r>
      <w:r>
        <w:t xml:space="preserve"> </w:t>
      </w:r>
      <w:r w:rsidRPr="00DD5B17">
        <w:rPr>
          <w:i/>
        </w:rPr>
        <w:t>Gary P. Bojczak</w:t>
      </w:r>
      <w:r>
        <w:t>, Notice of Apparent Liability for Forfeiture, 28 FCC Rcd 11589 (2013).</w:t>
      </w:r>
    </w:p>
  </w:footnote>
  <w:footnote w:id="13">
    <w:p w14:paraId="7A44915C" w14:textId="77777777" w:rsidR="00872E2F" w:rsidRDefault="00872E2F" w:rsidP="00872E2F">
      <w:pPr>
        <w:pStyle w:val="FootnoteText"/>
      </w:pPr>
      <w:r>
        <w:rPr>
          <w:rStyle w:val="FootnoteReference"/>
        </w:rPr>
        <w:footnoteRef/>
      </w:r>
      <w:r>
        <w:t xml:space="preserve"> 47 U.S.C. § 301.</w:t>
      </w:r>
    </w:p>
  </w:footnote>
  <w:footnote w:id="14">
    <w:p w14:paraId="7A44915D" w14:textId="77777777" w:rsidR="00872E2F" w:rsidRDefault="00872E2F" w:rsidP="00872E2F">
      <w:pPr>
        <w:pStyle w:val="FootnoteText"/>
      </w:pPr>
      <w:r>
        <w:rPr>
          <w:rStyle w:val="FootnoteReference"/>
        </w:rPr>
        <w:footnoteRef/>
      </w:r>
      <w:r>
        <w:t xml:space="preserve"> </w:t>
      </w:r>
      <w:r>
        <w:rPr>
          <w:i/>
        </w:rPr>
        <w:t>Id</w:t>
      </w:r>
      <w:r>
        <w:t>. § 302(b).</w:t>
      </w:r>
    </w:p>
  </w:footnote>
  <w:footnote w:id="15">
    <w:p w14:paraId="7A44915E" w14:textId="77777777" w:rsidR="00872E2F" w:rsidRDefault="00872E2F" w:rsidP="00872E2F">
      <w:pPr>
        <w:pStyle w:val="FootnoteText"/>
      </w:pPr>
      <w:r>
        <w:rPr>
          <w:rStyle w:val="FootnoteReference"/>
        </w:rPr>
        <w:footnoteRef/>
      </w:r>
      <w:r>
        <w:t xml:space="preserve"> </w:t>
      </w:r>
      <w:r>
        <w:rPr>
          <w:i/>
        </w:rPr>
        <w:t>Id</w:t>
      </w:r>
      <w:r>
        <w:t>. § 333.</w:t>
      </w:r>
    </w:p>
  </w:footnote>
  <w:footnote w:id="16">
    <w:p w14:paraId="7A44915F" w14:textId="77777777" w:rsidR="00872E2F" w:rsidRDefault="00872E2F" w:rsidP="00872E2F">
      <w:pPr>
        <w:pStyle w:val="FootnoteText"/>
      </w:pPr>
      <w:r>
        <w:rPr>
          <w:rStyle w:val="FootnoteReference"/>
        </w:rPr>
        <w:footnoteRef/>
      </w:r>
      <w:r>
        <w:t xml:space="preserve"> </w:t>
      </w:r>
      <w:r>
        <w:rPr>
          <w:szCs w:val="22"/>
        </w:rPr>
        <w:t xml:space="preserve">The GBAS installation at Newark Airport was fully deployed and put into service on September 28, 2012.  </w:t>
      </w:r>
      <w:r w:rsidRPr="00407D07">
        <w:rPr>
          <w:szCs w:val="22"/>
        </w:rPr>
        <w:t xml:space="preserve">The GBAS provides enhanced navigation signals to aircraft in the vicinity of an airport for precision approach, departure procedures, and terminal area operations.  </w:t>
      </w:r>
    </w:p>
  </w:footnote>
  <w:footnote w:id="17">
    <w:p w14:paraId="7A449160" w14:textId="77777777" w:rsidR="00872E2F" w:rsidRDefault="00872E2F" w:rsidP="00872E2F">
      <w:pPr>
        <w:pStyle w:val="FootnoteText"/>
      </w:pPr>
      <w:r>
        <w:rPr>
          <w:rStyle w:val="FootnoteReference"/>
        </w:rPr>
        <w:footnoteRef/>
      </w:r>
      <w:r>
        <w:t xml:space="preserve"> Specifically, the signal emanating from the vehicle occupied the spectrum from 1568 to 1595 MHz.</w:t>
      </w:r>
    </w:p>
  </w:footnote>
  <w:footnote w:id="18">
    <w:p w14:paraId="7A449161" w14:textId="77777777" w:rsidR="00872E2F" w:rsidRDefault="00872E2F" w:rsidP="00872E2F">
      <w:pPr>
        <w:pStyle w:val="FootnoteText"/>
      </w:pPr>
      <w:r>
        <w:rPr>
          <w:rStyle w:val="FootnoteReference"/>
        </w:rPr>
        <w:footnoteRef/>
      </w:r>
      <w:r>
        <w:t xml:space="preserve"> </w:t>
      </w:r>
      <w:r w:rsidRPr="00C566EC">
        <w:rPr>
          <w:i/>
        </w:rPr>
        <w:t>See</w:t>
      </w:r>
      <w:r>
        <w:t xml:space="preserve"> 47 C.F.R. § 1.93(b).</w:t>
      </w:r>
    </w:p>
  </w:footnote>
  <w:footnote w:id="19">
    <w:p w14:paraId="7A449162" w14:textId="77777777" w:rsidR="00872E2F" w:rsidRDefault="00872E2F" w:rsidP="00872E2F">
      <w:pPr>
        <w:pStyle w:val="FootnoteText"/>
      </w:pPr>
      <w:r>
        <w:rPr>
          <w:rStyle w:val="FootnoteReference"/>
        </w:rPr>
        <w:footnoteRef/>
      </w:r>
      <w:r>
        <w:t xml:space="preserve"> Debt Collection Improvement Act of 1996, Pub. L. No. 104-134, 110 Stat. 1321, 1358 (Apr. 26, 1996) (DCIA).</w:t>
      </w:r>
    </w:p>
  </w:footnote>
  <w:footnote w:id="20">
    <w:p w14:paraId="7A449163" w14:textId="77777777" w:rsidR="00872E2F" w:rsidRPr="00E43BC9" w:rsidRDefault="00872E2F" w:rsidP="00872E2F">
      <w:pPr>
        <w:pStyle w:val="FootnoteText"/>
        <w:rPr>
          <w:i/>
        </w:rPr>
      </w:pPr>
      <w:r>
        <w:rPr>
          <w:rStyle w:val="FootnoteReference"/>
        </w:rPr>
        <w:footnoteRef/>
      </w:r>
      <w:r>
        <w:t xml:space="preserve"> </w:t>
      </w:r>
      <w:r>
        <w:rPr>
          <w:i/>
        </w:rPr>
        <w:t>Id.</w:t>
      </w:r>
    </w:p>
  </w:footnote>
  <w:footnote w:id="21">
    <w:p w14:paraId="7A449164" w14:textId="77777777" w:rsidR="00872E2F" w:rsidRPr="00042447" w:rsidRDefault="00872E2F" w:rsidP="00872E2F">
      <w:pPr>
        <w:pStyle w:val="FootnoteText"/>
      </w:pPr>
      <w:r w:rsidRPr="00A07FCB">
        <w:rPr>
          <w:rStyle w:val="FootnoteReference"/>
        </w:rPr>
        <w:footnoteRef/>
      </w:r>
      <w:r w:rsidRPr="003F6349">
        <w:t xml:space="preserve"> </w:t>
      </w:r>
      <w:r w:rsidRPr="00A07FCB">
        <w:rPr>
          <w:rFonts w:eastAsia="MS Mincho" w:cs="Arial"/>
        </w:rPr>
        <w:t>An FCC Form 159</w:t>
      </w:r>
      <w:r>
        <w:rPr>
          <w:rFonts w:eastAsia="MS Mincho" w:cs="Arial"/>
        </w:rPr>
        <w:t xml:space="preserve"> </w:t>
      </w:r>
      <w:r w:rsidRPr="00A07FCB">
        <w:rPr>
          <w:rFonts w:eastAsia="MS Mincho" w:cs="Arial"/>
        </w:rPr>
        <w:t>and</w:t>
      </w:r>
      <w:r>
        <w:rPr>
          <w:rFonts w:eastAsia="MS Mincho" w:cs="Arial"/>
        </w:rPr>
        <w:t xml:space="preserve"> </w:t>
      </w:r>
      <w:r w:rsidRPr="00A07FCB">
        <w:rPr>
          <w:rFonts w:eastAsia="MS Mincho" w:cs="Arial"/>
        </w:rPr>
        <w:t>detailed instructions</w:t>
      </w:r>
      <w:r>
        <w:rPr>
          <w:rFonts w:eastAsia="MS Mincho" w:cs="Arial"/>
        </w:rPr>
        <w:t xml:space="preserve"> </w:t>
      </w:r>
      <w:r w:rsidRPr="00A07FCB">
        <w:rPr>
          <w:rFonts w:eastAsia="MS Mincho" w:cs="Arial"/>
        </w:rPr>
        <w:t>for completing the form may be obtained at http://www.fcc.gov/Forms/Form159/159.pdf.</w:t>
      </w:r>
    </w:p>
  </w:footnote>
  <w:footnote w:id="22">
    <w:p w14:paraId="7A449165" w14:textId="77777777" w:rsidR="00872E2F" w:rsidRDefault="00872E2F" w:rsidP="00872E2F">
      <w:pPr>
        <w:pStyle w:val="FootnoteText"/>
      </w:pPr>
      <w:r>
        <w:rPr>
          <w:rStyle w:val="FootnoteReference"/>
        </w:rPr>
        <w:footnoteRef/>
      </w:r>
      <w:r>
        <w:t xml:space="preserve"> </w:t>
      </w:r>
      <w:r>
        <w:rPr>
          <w:i/>
        </w:rPr>
        <w:t>See</w:t>
      </w:r>
      <w:r>
        <w:t xml:space="preserve"> 31 C.F.R. Part 900, </w:t>
      </w:r>
      <w:r>
        <w:rPr>
          <w:i/>
        </w:rPr>
        <w:t>et seq</w:t>
      </w:r>
      <w:r>
        <w:t>.</w:t>
      </w:r>
    </w:p>
  </w:footnote>
  <w:footnote w:id="23">
    <w:p w14:paraId="7A449166" w14:textId="77777777" w:rsidR="00872E2F" w:rsidRDefault="00872E2F" w:rsidP="00872E2F">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D2366" w14:textId="77777777" w:rsidR="0010651A" w:rsidRDefault="00106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9134" w14:textId="77777777" w:rsidR="00C438ED" w:rsidRDefault="00C438ED" w:rsidP="00C438ED">
    <w:pPr>
      <w:pStyle w:val="Header"/>
    </w:pPr>
  </w:p>
  <w:p w14:paraId="7A449135" w14:textId="77777777" w:rsidR="00882321" w:rsidRDefault="00882321" w:rsidP="00C438ED">
    <w:pPr>
      <w:pStyle w:val="Header"/>
    </w:pPr>
  </w:p>
  <w:p w14:paraId="7A449136" w14:textId="77777777" w:rsidR="00C438ED" w:rsidRDefault="00C438ED" w:rsidP="00C438ED">
    <w:pPr>
      <w:tabs>
        <w:tab w:val="center" w:pos="4680"/>
        <w:tab w:val="right" w:pos="9360"/>
      </w:tabs>
    </w:pPr>
    <w:r>
      <w:rPr>
        <w:noProof/>
      </w:rPr>
      <mc:AlternateContent>
        <mc:Choice Requires="wps">
          <w:drawing>
            <wp:anchor distT="0" distB="0" distL="114300" distR="114300" simplePos="0" relativeHeight="251659264" behindDoc="1" locked="0" layoutInCell="0" allowOverlap="1" wp14:anchorId="7A449149" wp14:editId="7A44914A">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BA9C86"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Pr>
        <w:b/>
      </w:rPr>
      <w:tab/>
      <w:t>Federal Communications Commission</w:t>
    </w:r>
    <w:r>
      <w:rPr>
        <w:b/>
      </w:rPr>
      <w:tab/>
    </w:r>
    <w:r w:rsidR="00841D12">
      <w:rPr>
        <w:b/>
        <w:spacing w:val="-2"/>
      </w:rPr>
      <w:t>DA 16</w:t>
    </w:r>
    <w:r>
      <w:rPr>
        <w:b/>
        <w:spacing w:val="-2"/>
      </w:rPr>
      <w:t>-</w:t>
    </w:r>
    <w:r w:rsidR="00882321">
      <w:rPr>
        <w:b/>
        <w:spacing w:val="-2"/>
      </w:rPr>
      <w:t>184</w:t>
    </w:r>
  </w:p>
  <w:p w14:paraId="7A449137" w14:textId="77777777" w:rsidR="00676723" w:rsidRPr="00C438ED" w:rsidRDefault="00676723" w:rsidP="00C43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913D" w14:textId="77777777" w:rsidR="00032EB3" w:rsidRPr="00D42D5D" w:rsidRDefault="00D42D5D" w:rsidP="00032EB3">
    <w:pPr>
      <w:pStyle w:val="Header"/>
    </w:pPr>
    <w:r>
      <w:t>9-10-14 draft</w:t>
    </w:r>
    <w:r w:rsidR="00676723">
      <w:tab/>
    </w:r>
    <w:r w:rsidR="00032EB3">
      <w:t>Federa</w:t>
    </w:r>
    <w:r w:rsidR="00CF77B7">
      <w:t>l Communications Commission</w:t>
    </w:r>
    <w:r w:rsidR="00CF77B7">
      <w:tab/>
      <w:t>DA</w:t>
    </w:r>
    <w:r>
      <w:t xml:space="preserve"> [</w:t>
    </w:r>
    <w:r w:rsidRPr="00D42D5D">
      <w:rPr>
        <w:i/>
      </w:rPr>
      <w:t>or</w:t>
    </w:r>
    <w:r>
      <w:t xml:space="preserve"> FCC]</w:t>
    </w:r>
    <w:r w:rsidR="00CF77B7">
      <w:t xml:space="preserve"> </w:t>
    </w:r>
    <w:r w:rsidR="00CF77B7" w:rsidRPr="00CF77B7">
      <w:rPr>
        <w:highlight w:val="yellow"/>
      </w:rPr>
      <w:t>YR-XXX</w:t>
    </w:r>
  </w:p>
  <w:p w14:paraId="7A44913E" w14:textId="77777777" w:rsidR="00676723" w:rsidRDefault="00032EB3" w:rsidP="007A247C">
    <w:pPr>
      <w:pStyle w:val="Header"/>
    </w:pPr>
    <w:r>
      <w:rPr>
        <w:b w:val="0"/>
        <w:noProof/>
        <w:snapToGrid/>
      </w:rPr>
      <w:drawing>
        <wp:inline distT="0" distB="0" distL="0" distR="0" wp14:anchorId="7A44914B" wp14:editId="7A44914C">
          <wp:extent cx="595249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19050"/>
                  </a:xfrm>
                  <a:prstGeom prst="rect">
                    <a:avLst/>
                  </a:prstGeom>
                  <a:noFill/>
                </pic:spPr>
              </pic:pic>
            </a:graphicData>
          </a:graphic>
        </wp:inline>
      </w:drawing>
    </w:r>
    <w:r>
      <w:br/>
    </w:r>
  </w:p>
  <w:p w14:paraId="7A44913F" w14:textId="77777777" w:rsidR="002E4C64" w:rsidRDefault="002E4C64" w:rsidP="007A24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9141" w14:textId="77777777" w:rsidR="00B945C1" w:rsidRDefault="00872E2F" w:rsidP="00810B6F">
    <w:pPr>
      <w:pStyle w:val="Header"/>
      <w:rPr>
        <w:b w:val="0"/>
      </w:rPr>
    </w:pPr>
    <w:r>
      <w:tab/>
      <w:t>Federal Communications Commission</w:t>
    </w:r>
    <w:r>
      <w:tab/>
    </w:r>
    <w:r w:rsidRPr="001B34AE">
      <w:t>DA</w:t>
    </w:r>
    <w:r>
      <w:t xml:space="preserve"> 16-184</w:t>
    </w:r>
    <w:r w:rsidRPr="001B34AE">
      <w:t xml:space="preserve"> </w:t>
    </w:r>
  </w:p>
  <w:p w14:paraId="7A449142" w14:textId="77777777" w:rsidR="00B945C1" w:rsidRDefault="00872E2F">
    <w:pPr>
      <w:tabs>
        <w:tab w:val="left" w:pos="-720"/>
      </w:tabs>
      <w:suppressAutoHyphens/>
      <w:spacing w:line="19" w:lineRule="exact"/>
      <w:rPr>
        <w:spacing w:val="-2"/>
      </w:rPr>
    </w:pPr>
    <w:r>
      <w:rPr>
        <w:noProof/>
      </w:rPr>
      <mc:AlternateContent>
        <mc:Choice Requires="wps">
          <w:drawing>
            <wp:anchor distT="0" distB="0" distL="114300" distR="114300" simplePos="0" relativeHeight="251661312" behindDoc="1" locked="0" layoutInCell="0" allowOverlap="1" wp14:anchorId="7A44914D" wp14:editId="7A44914E">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06DE11"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A449143" w14:textId="77777777" w:rsidR="00B945C1" w:rsidRPr="001B34AE" w:rsidRDefault="00950C07" w:rsidP="001B34AE">
    <w:pPr>
      <w:spacing w:after="389" w:line="100" w:lineRule="exact"/>
      <w:rPr>
        <w:b/>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9148" w14:textId="77777777" w:rsidR="00222B05" w:rsidRDefault="00872E2F" w:rsidP="00222B05">
    <w:pPr>
      <w:pStyle w:val="Header"/>
      <w:rPr>
        <w:b w:val="0"/>
      </w:rPr>
    </w:pPr>
    <w:r w:rsidRPr="00843A5F">
      <w:rPr>
        <w:noProof/>
        <w:snapToGrid/>
      </w:rPr>
      <mc:AlternateContent>
        <mc:Choice Requires="wps">
          <w:drawing>
            <wp:anchor distT="0" distB="0" distL="114300" distR="114300" simplePos="0" relativeHeight="251662336" behindDoc="1" locked="0" layoutInCell="0" allowOverlap="1" wp14:anchorId="7A44914F" wp14:editId="7A449150">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665545"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Pr>
        <w:spacing w:val="-2"/>
      </w:rPr>
      <w:t>16-184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
    <w:nsid w:val="00000002"/>
    <w:multiLevelType w:val="multilevel"/>
    <w:tmpl w:val="1C16C8BE"/>
    <w:lvl w:ilvl="0">
      <w:start w:val="1"/>
      <w:numFmt w:val="lowerLetter"/>
      <w:suff w:val="nothing"/>
      <w:lvlText w:val="(%1)"/>
      <w:lvlJc w:val="left"/>
      <w:pPr>
        <w:ind w:left="810" w:firstLine="1440"/>
      </w:pPr>
      <w:rPr>
        <w:rFonts w:hint="default"/>
        <w:i w:val="0"/>
        <w:color w:val="000000"/>
        <w:position w:val="0"/>
        <w:sz w:val="24"/>
      </w:rPr>
    </w:lvl>
    <w:lvl w:ilvl="1">
      <w:start w:val="1"/>
      <w:numFmt w:val="lowerLetter"/>
      <w:lvlText w:val="%2)"/>
      <w:lvlJc w:val="left"/>
      <w:pPr>
        <w:ind w:left="720" w:firstLine="1440"/>
      </w:pPr>
      <w:rPr>
        <w:rFonts w:hint="default"/>
        <w:color w:val="000000"/>
        <w:position w:val="0"/>
        <w:sz w:val="24"/>
      </w:rPr>
    </w:lvl>
    <w:lvl w:ilvl="2">
      <w:start w:val="1"/>
      <w:numFmt w:val="lowerRoman"/>
      <w:suff w:val="nothing"/>
      <w:lvlText w:val="%3."/>
      <w:lvlJc w:val="left"/>
      <w:pPr>
        <w:ind w:left="720" w:firstLine="2160"/>
      </w:pPr>
      <w:rPr>
        <w:rFonts w:hint="default"/>
        <w:color w:val="000000"/>
        <w:position w:val="0"/>
        <w:sz w:val="24"/>
      </w:rPr>
    </w:lvl>
    <w:lvl w:ilvl="3">
      <w:start w:val="1"/>
      <w:numFmt w:val="decimal"/>
      <w:isLgl/>
      <w:suff w:val="nothing"/>
      <w:lvlText w:val="%4."/>
      <w:lvlJc w:val="left"/>
      <w:pPr>
        <w:ind w:left="720" w:firstLine="2880"/>
      </w:pPr>
      <w:rPr>
        <w:rFonts w:hint="default"/>
        <w:color w:val="000000"/>
        <w:position w:val="0"/>
        <w:sz w:val="24"/>
      </w:rPr>
    </w:lvl>
    <w:lvl w:ilvl="4">
      <w:start w:val="1"/>
      <w:numFmt w:val="lowerLetter"/>
      <w:suff w:val="nothing"/>
      <w:lvlText w:val="%5."/>
      <w:lvlJc w:val="left"/>
      <w:pPr>
        <w:ind w:left="720" w:firstLine="3600"/>
      </w:pPr>
      <w:rPr>
        <w:rFonts w:hint="default"/>
        <w:color w:val="000000"/>
        <w:position w:val="0"/>
        <w:sz w:val="24"/>
      </w:rPr>
    </w:lvl>
    <w:lvl w:ilvl="5">
      <w:start w:val="1"/>
      <w:numFmt w:val="lowerRoman"/>
      <w:suff w:val="nothing"/>
      <w:lvlText w:val="%6."/>
      <w:lvlJc w:val="left"/>
      <w:pPr>
        <w:ind w:left="720" w:firstLine="4320"/>
      </w:pPr>
      <w:rPr>
        <w:rFonts w:hint="default"/>
        <w:color w:val="000000"/>
        <w:position w:val="0"/>
        <w:sz w:val="24"/>
      </w:rPr>
    </w:lvl>
    <w:lvl w:ilvl="6">
      <w:start w:val="1"/>
      <w:numFmt w:val="decimal"/>
      <w:isLgl/>
      <w:suff w:val="nothing"/>
      <w:lvlText w:val="%7."/>
      <w:lvlJc w:val="left"/>
      <w:pPr>
        <w:ind w:left="720" w:firstLine="5040"/>
      </w:pPr>
      <w:rPr>
        <w:rFonts w:hint="default"/>
        <w:color w:val="000000"/>
        <w:position w:val="0"/>
        <w:sz w:val="24"/>
      </w:rPr>
    </w:lvl>
    <w:lvl w:ilvl="7">
      <w:start w:val="1"/>
      <w:numFmt w:val="lowerLetter"/>
      <w:suff w:val="nothing"/>
      <w:lvlText w:val="%8."/>
      <w:lvlJc w:val="left"/>
      <w:pPr>
        <w:ind w:left="720" w:firstLine="5760"/>
      </w:pPr>
      <w:rPr>
        <w:rFonts w:hint="default"/>
        <w:color w:val="000000"/>
        <w:position w:val="0"/>
        <w:sz w:val="24"/>
      </w:rPr>
    </w:lvl>
    <w:lvl w:ilvl="8">
      <w:start w:val="1"/>
      <w:numFmt w:val="lowerRoman"/>
      <w:suff w:val="nothing"/>
      <w:lvlText w:val="%9."/>
      <w:lvlJc w:val="left"/>
      <w:pPr>
        <w:ind w:left="720" w:firstLine="6480"/>
      </w:pPr>
      <w:rPr>
        <w:rFonts w:hint="default"/>
        <w:color w:val="000000"/>
        <w:position w:val="0"/>
        <w:sz w:val="24"/>
      </w:rPr>
    </w:lvl>
  </w:abstractNum>
  <w:abstractNum w:abstractNumId="2">
    <w:nsid w:val="009A3200"/>
    <w:multiLevelType w:val="hybridMultilevel"/>
    <w:tmpl w:val="3C96C21C"/>
    <w:lvl w:ilvl="0" w:tplc="1A86D3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0B6C4F"/>
    <w:multiLevelType w:val="hybridMultilevel"/>
    <w:tmpl w:val="3AEAA554"/>
    <w:lvl w:ilvl="0" w:tplc="A306CFF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60F0118"/>
    <w:multiLevelType w:val="hybridMultilevel"/>
    <w:tmpl w:val="09E26F7A"/>
    <w:lvl w:ilvl="0" w:tplc="2A0215F2">
      <w:start w:val="1"/>
      <w:numFmt w:val="lowerLetter"/>
      <w:lvlText w:val="%1)"/>
      <w:lvlJc w:val="left"/>
      <w:pPr>
        <w:tabs>
          <w:tab w:val="num" w:pos="1440"/>
        </w:tabs>
        <w:ind w:left="1440" w:hanging="360"/>
      </w:pPr>
      <w:rPr>
        <w:b w:val="0"/>
        <w:i w:val="0"/>
      </w:rPr>
    </w:lvl>
    <w:lvl w:ilvl="1" w:tplc="1EA85EB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9F448E3"/>
    <w:multiLevelType w:val="hybridMultilevel"/>
    <w:tmpl w:val="6EAC4E5A"/>
    <w:lvl w:ilvl="0" w:tplc="003C56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A5414D2"/>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5">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7">
    <w:nsid w:val="628E1E95"/>
    <w:multiLevelType w:val="singleLevel"/>
    <w:tmpl w:val="4F1400D0"/>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16"/>
  </w:num>
  <w:num w:numId="3">
    <w:abstractNumId w:val="8"/>
  </w:num>
  <w:num w:numId="4">
    <w:abstractNumId w:val="0"/>
  </w:num>
  <w:num w:numId="5">
    <w:abstractNumId w:val="1"/>
  </w:num>
  <w:num w:numId="6">
    <w:abstractNumId w:val="11"/>
  </w:num>
  <w:num w:numId="7">
    <w:abstractNumId w:val="6"/>
  </w:num>
  <w:num w:numId="8">
    <w:abstractNumId w:val="0"/>
  </w:num>
  <w:num w:numId="9">
    <w:abstractNumId w:val="17"/>
  </w:num>
  <w:num w:numId="10">
    <w:abstractNumId w:val="2"/>
  </w:num>
  <w:num w:numId="11">
    <w:abstractNumId w:val="15"/>
  </w:num>
  <w:num w:numId="12">
    <w:abstractNumId w:val="12"/>
  </w:num>
  <w:num w:numId="13">
    <w:abstractNumId w:val="14"/>
  </w:num>
  <w:num w:numId="14">
    <w:abstractNumId w:val="4"/>
  </w:num>
  <w:num w:numId="15">
    <w:abstractNumId w:val="13"/>
  </w:num>
  <w:num w:numId="16">
    <w:abstractNumId w:val="7"/>
  </w:num>
  <w:num w:numId="17">
    <w:abstractNumId w:val="3"/>
  </w:num>
  <w:num w:numId="18">
    <w:abstractNumId w:val="8"/>
  </w:num>
  <w:num w:numId="19">
    <w:abstractNumId w:val="8"/>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0"/>
  </w:num>
  <w:num w:numId="47">
    <w:abstractNumId w:val="16"/>
  </w:num>
  <w:num w:numId="48">
    <w:abstractNumId w:val="16"/>
  </w:num>
  <w:num w:numId="49">
    <w:abstractNumId w:val="5"/>
  </w:num>
  <w:num w:numId="5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6D1"/>
    <w:rsid w:val="00010E77"/>
    <w:rsid w:val="0001137C"/>
    <w:rsid w:val="00012135"/>
    <w:rsid w:val="00013878"/>
    <w:rsid w:val="000156B8"/>
    <w:rsid w:val="00015CD6"/>
    <w:rsid w:val="00020F52"/>
    <w:rsid w:val="000239E2"/>
    <w:rsid w:val="00023CBD"/>
    <w:rsid w:val="00032EB3"/>
    <w:rsid w:val="00036039"/>
    <w:rsid w:val="00036EBB"/>
    <w:rsid w:val="00037506"/>
    <w:rsid w:val="00037F90"/>
    <w:rsid w:val="000409A7"/>
    <w:rsid w:val="00041FA4"/>
    <w:rsid w:val="00043776"/>
    <w:rsid w:val="00044329"/>
    <w:rsid w:val="000474B4"/>
    <w:rsid w:val="000510A7"/>
    <w:rsid w:val="00051D08"/>
    <w:rsid w:val="000546E3"/>
    <w:rsid w:val="00060B19"/>
    <w:rsid w:val="00060E3B"/>
    <w:rsid w:val="00064FCE"/>
    <w:rsid w:val="00077556"/>
    <w:rsid w:val="00080528"/>
    <w:rsid w:val="000812CD"/>
    <w:rsid w:val="00084844"/>
    <w:rsid w:val="000875BF"/>
    <w:rsid w:val="00093012"/>
    <w:rsid w:val="00094FF2"/>
    <w:rsid w:val="00096D8C"/>
    <w:rsid w:val="000A1DBA"/>
    <w:rsid w:val="000A69D0"/>
    <w:rsid w:val="000A747B"/>
    <w:rsid w:val="000A78D2"/>
    <w:rsid w:val="000B076B"/>
    <w:rsid w:val="000B4C5A"/>
    <w:rsid w:val="000C0B65"/>
    <w:rsid w:val="000C3C46"/>
    <w:rsid w:val="000C4982"/>
    <w:rsid w:val="000C5E7E"/>
    <w:rsid w:val="000D2CE7"/>
    <w:rsid w:val="000D2FF2"/>
    <w:rsid w:val="000D4423"/>
    <w:rsid w:val="000D7E5C"/>
    <w:rsid w:val="000E156D"/>
    <w:rsid w:val="000E1A32"/>
    <w:rsid w:val="000E3D42"/>
    <w:rsid w:val="000E57DB"/>
    <w:rsid w:val="000E5FE3"/>
    <w:rsid w:val="000F1739"/>
    <w:rsid w:val="000F2290"/>
    <w:rsid w:val="000F5AE0"/>
    <w:rsid w:val="000F71E7"/>
    <w:rsid w:val="00104AE7"/>
    <w:rsid w:val="0010651A"/>
    <w:rsid w:val="00107438"/>
    <w:rsid w:val="00111B57"/>
    <w:rsid w:val="001130D9"/>
    <w:rsid w:val="001163D2"/>
    <w:rsid w:val="00122BD5"/>
    <w:rsid w:val="00122F40"/>
    <w:rsid w:val="00123544"/>
    <w:rsid w:val="00123DC5"/>
    <w:rsid w:val="001251A4"/>
    <w:rsid w:val="0012535E"/>
    <w:rsid w:val="00125593"/>
    <w:rsid w:val="00130E75"/>
    <w:rsid w:val="00131135"/>
    <w:rsid w:val="0013481A"/>
    <w:rsid w:val="0013545C"/>
    <w:rsid w:val="00150039"/>
    <w:rsid w:val="00151AF8"/>
    <w:rsid w:val="00152144"/>
    <w:rsid w:val="0015292D"/>
    <w:rsid w:val="00152E7C"/>
    <w:rsid w:val="001569B9"/>
    <w:rsid w:val="00161F7D"/>
    <w:rsid w:val="00163419"/>
    <w:rsid w:val="00164854"/>
    <w:rsid w:val="001659BF"/>
    <w:rsid w:val="001664A0"/>
    <w:rsid w:val="00170E56"/>
    <w:rsid w:val="0017171A"/>
    <w:rsid w:val="00172BF5"/>
    <w:rsid w:val="00174F9E"/>
    <w:rsid w:val="00176197"/>
    <w:rsid w:val="0017677C"/>
    <w:rsid w:val="00180D54"/>
    <w:rsid w:val="00182E46"/>
    <w:rsid w:val="001850F1"/>
    <w:rsid w:val="001877EB"/>
    <w:rsid w:val="00193512"/>
    <w:rsid w:val="001955C8"/>
    <w:rsid w:val="00196CFD"/>
    <w:rsid w:val="001A5074"/>
    <w:rsid w:val="001A6AEF"/>
    <w:rsid w:val="001A7A02"/>
    <w:rsid w:val="001B4BAE"/>
    <w:rsid w:val="001C50A9"/>
    <w:rsid w:val="001C7762"/>
    <w:rsid w:val="001D10CF"/>
    <w:rsid w:val="001D63ED"/>
    <w:rsid w:val="001D6BCF"/>
    <w:rsid w:val="001E01CA"/>
    <w:rsid w:val="001E7454"/>
    <w:rsid w:val="001F0CA8"/>
    <w:rsid w:val="001F11C8"/>
    <w:rsid w:val="001F1433"/>
    <w:rsid w:val="001F278E"/>
    <w:rsid w:val="001F2BAB"/>
    <w:rsid w:val="00202B90"/>
    <w:rsid w:val="0020707F"/>
    <w:rsid w:val="0021043C"/>
    <w:rsid w:val="0021060B"/>
    <w:rsid w:val="00211D92"/>
    <w:rsid w:val="00211EE2"/>
    <w:rsid w:val="00221D7C"/>
    <w:rsid w:val="00223374"/>
    <w:rsid w:val="00231522"/>
    <w:rsid w:val="002352DC"/>
    <w:rsid w:val="00237600"/>
    <w:rsid w:val="00237F53"/>
    <w:rsid w:val="00240F56"/>
    <w:rsid w:val="00243018"/>
    <w:rsid w:val="002551FD"/>
    <w:rsid w:val="002626EB"/>
    <w:rsid w:val="002645F4"/>
    <w:rsid w:val="00273B9A"/>
    <w:rsid w:val="00276796"/>
    <w:rsid w:val="00276DAE"/>
    <w:rsid w:val="00277598"/>
    <w:rsid w:val="00277F32"/>
    <w:rsid w:val="00284E12"/>
    <w:rsid w:val="00285017"/>
    <w:rsid w:val="00287BA4"/>
    <w:rsid w:val="00287EEC"/>
    <w:rsid w:val="00291DFD"/>
    <w:rsid w:val="0029201C"/>
    <w:rsid w:val="00295C0F"/>
    <w:rsid w:val="002A1D20"/>
    <w:rsid w:val="002A2D2E"/>
    <w:rsid w:val="002B22CB"/>
    <w:rsid w:val="002B2AA5"/>
    <w:rsid w:val="002B3194"/>
    <w:rsid w:val="002B4338"/>
    <w:rsid w:val="002B518C"/>
    <w:rsid w:val="002C0646"/>
    <w:rsid w:val="002C30EE"/>
    <w:rsid w:val="002C67F6"/>
    <w:rsid w:val="002D2357"/>
    <w:rsid w:val="002E4C64"/>
    <w:rsid w:val="002E5543"/>
    <w:rsid w:val="002F0F20"/>
    <w:rsid w:val="002F7BE9"/>
    <w:rsid w:val="0030082F"/>
    <w:rsid w:val="003016ED"/>
    <w:rsid w:val="00302BBF"/>
    <w:rsid w:val="00320448"/>
    <w:rsid w:val="00320BE0"/>
    <w:rsid w:val="00327A56"/>
    <w:rsid w:val="00331532"/>
    <w:rsid w:val="003317A6"/>
    <w:rsid w:val="00333867"/>
    <w:rsid w:val="00334F59"/>
    <w:rsid w:val="00340918"/>
    <w:rsid w:val="00343749"/>
    <w:rsid w:val="00343B8B"/>
    <w:rsid w:val="003447A3"/>
    <w:rsid w:val="003504B7"/>
    <w:rsid w:val="00351188"/>
    <w:rsid w:val="00351C94"/>
    <w:rsid w:val="00352167"/>
    <w:rsid w:val="00355126"/>
    <w:rsid w:val="00357044"/>
    <w:rsid w:val="00357963"/>
    <w:rsid w:val="00357FDE"/>
    <w:rsid w:val="00361141"/>
    <w:rsid w:val="003628A3"/>
    <w:rsid w:val="00367050"/>
    <w:rsid w:val="00367F93"/>
    <w:rsid w:val="0038137F"/>
    <w:rsid w:val="003820CD"/>
    <w:rsid w:val="00383733"/>
    <w:rsid w:val="003869A9"/>
    <w:rsid w:val="00386C09"/>
    <w:rsid w:val="00387DC6"/>
    <w:rsid w:val="00393892"/>
    <w:rsid w:val="00395BCD"/>
    <w:rsid w:val="003A061A"/>
    <w:rsid w:val="003A0A67"/>
    <w:rsid w:val="003A0CEB"/>
    <w:rsid w:val="003A10AC"/>
    <w:rsid w:val="003A1CBF"/>
    <w:rsid w:val="003A24DA"/>
    <w:rsid w:val="003A2932"/>
    <w:rsid w:val="003A35BB"/>
    <w:rsid w:val="003A398D"/>
    <w:rsid w:val="003A45E5"/>
    <w:rsid w:val="003A4AB4"/>
    <w:rsid w:val="003A71C7"/>
    <w:rsid w:val="003A764B"/>
    <w:rsid w:val="003B0550"/>
    <w:rsid w:val="003B1CF4"/>
    <w:rsid w:val="003B3956"/>
    <w:rsid w:val="003B5217"/>
    <w:rsid w:val="003B694F"/>
    <w:rsid w:val="003B6F58"/>
    <w:rsid w:val="003C6B79"/>
    <w:rsid w:val="003C6DEB"/>
    <w:rsid w:val="003D03D1"/>
    <w:rsid w:val="003D49D5"/>
    <w:rsid w:val="003F1126"/>
    <w:rsid w:val="003F171C"/>
    <w:rsid w:val="004008FF"/>
    <w:rsid w:val="00400BCE"/>
    <w:rsid w:val="00404B01"/>
    <w:rsid w:val="004051F6"/>
    <w:rsid w:val="0041095B"/>
    <w:rsid w:val="00412FC5"/>
    <w:rsid w:val="00414A07"/>
    <w:rsid w:val="00414BD8"/>
    <w:rsid w:val="00414F00"/>
    <w:rsid w:val="004172DB"/>
    <w:rsid w:val="00422276"/>
    <w:rsid w:val="00422A75"/>
    <w:rsid w:val="004242F1"/>
    <w:rsid w:val="00433E5E"/>
    <w:rsid w:val="00434575"/>
    <w:rsid w:val="004348F7"/>
    <w:rsid w:val="004359DD"/>
    <w:rsid w:val="00435FB8"/>
    <w:rsid w:val="004409D9"/>
    <w:rsid w:val="00445A00"/>
    <w:rsid w:val="004479E5"/>
    <w:rsid w:val="00450242"/>
    <w:rsid w:val="00451B0F"/>
    <w:rsid w:val="00452FFD"/>
    <w:rsid w:val="00463506"/>
    <w:rsid w:val="0046402A"/>
    <w:rsid w:val="004655CB"/>
    <w:rsid w:val="00465FD1"/>
    <w:rsid w:val="00471DDB"/>
    <w:rsid w:val="004737E2"/>
    <w:rsid w:val="00484691"/>
    <w:rsid w:val="00486ADC"/>
    <w:rsid w:val="00490FA1"/>
    <w:rsid w:val="00491CAC"/>
    <w:rsid w:val="00492284"/>
    <w:rsid w:val="0049610C"/>
    <w:rsid w:val="004A1DD7"/>
    <w:rsid w:val="004A25AB"/>
    <w:rsid w:val="004A296D"/>
    <w:rsid w:val="004A4478"/>
    <w:rsid w:val="004B441D"/>
    <w:rsid w:val="004B5795"/>
    <w:rsid w:val="004B5871"/>
    <w:rsid w:val="004C2EE3"/>
    <w:rsid w:val="004C693C"/>
    <w:rsid w:val="004C6AC5"/>
    <w:rsid w:val="004C7120"/>
    <w:rsid w:val="004C7963"/>
    <w:rsid w:val="004D14D2"/>
    <w:rsid w:val="004D1DB2"/>
    <w:rsid w:val="004E2022"/>
    <w:rsid w:val="004E347E"/>
    <w:rsid w:val="004E4A22"/>
    <w:rsid w:val="004E5936"/>
    <w:rsid w:val="004E7FFE"/>
    <w:rsid w:val="004F3A1A"/>
    <w:rsid w:val="004F4B62"/>
    <w:rsid w:val="004F5449"/>
    <w:rsid w:val="004F5E64"/>
    <w:rsid w:val="0050401D"/>
    <w:rsid w:val="005050D6"/>
    <w:rsid w:val="0051080A"/>
    <w:rsid w:val="00511968"/>
    <w:rsid w:val="0051245D"/>
    <w:rsid w:val="005124D9"/>
    <w:rsid w:val="005145CB"/>
    <w:rsid w:val="00520DE0"/>
    <w:rsid w:val="00522A30"/>
    <w:rsid w:val="00525103"/>
    <w:rsid w:val="00526103"/>
    <w:rsid w:val="0052710C"/>
    <w:rsid w:val="005278FD"/>
    <w:rsid w:val="005404E4"/>
    <w:rsid w:val="00540959"/>
    <w:rsid w:val="00541786"/>
    <w:rsid w:val="005419E0"/>
    <w:rsid w:val="00541F03"/>
    <w:rsid w:val="005508BF"/>
    <w:rsid w:val="00551532"/>
    <w:rsid w:val="0055614C"/>
    <w:rsid w:val="0055639D"/>
    <w:rsid w:val="005579D5"/>
    <w:rsid w:val="00561D23"/>
    <w:rsid w:val="005626D4"/>
    <w:rsid w:val="005645B1"/>
    <w:rsid w:val="00566077"/>
    <w:rsid w:val="00567FCE"/>
    <w:rsid w:val="00572218"/>
    <w:rsid w:val="00572A65"/>
    <w:rsid w:val="005742F2"/>
    <w:rsid w:val="005776BD"/>
    <w:rsid w:val="00582969"/>
    <w:rsid w:val="00586385"/>
    <w:rsid w:val="00592C4C"/>
    <w:rsid w:val="00597DF3"/>
    <w:rsid w:val="005A2A94"/>
    <w:rsid w:val="005B3200"/>
    <w:rsid w:val="005B364E"/>
    <w:rsid w:val="005B431A"/>
    <w:rsid w:val="005B4565"/>
    <w:rsid w:val="005B76E1"/>
    <w:rsid w:val="005B77EC"/>
    <w:rsid w:val="005C11B2"/>
    <w:rsid w:val="005C3D6F"/>
    <w:rsid w:val="005C6948"/>
    <w:rsid w:val="005C7E8A"/>
    <w:rsid w:val="005D0017"/>
    <w:rsid w:val="005D3EF6"/>
    <w:rsid w:val="005E221D"/>
    <w:rsid w:val="005E2EA3"/>
    <w:rsid w:val="005E31E1"/>
    <w:rsid w:val="005E7899"/>
    <w:rsid w:val="005F3A0D"/>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225BE"/>
    <w:rsid w:val="00624FD7"/>
    <w:rsid w:val="00626EB6"/>
    <w:rsid w:val="0063094A"/>
    <w:rsid w:val="006313E2"/>
    <w:rsid w:val="006520A5"/>
    <w:rsid w:val="006554F4"/>
    <w:rsid w:val="00655D03"/>
    <w:rsid w:val="006561B9"/>
    <w:rsid w:val="00661747"/>
    <w:rsid w:val="006663EC"/>
    <w:rsid w:val="00671673"/>
    <w:rsid w:val="0067516C"/>
    <w:rsid w:val="00675EA4"/>
    <w:rsid w:val="00675F97"/>
    <w:rsid w:val="00676723"/>
    <w:rsid w:val="006776B4"/>
    <w:rsid w:val="006811E0"/>
    <w:rsid w:val="006811F1"/>
    <w:rsid w:val="00683EA2"/>
    <w:rsid w:val="00683F84"/>
    <w:rsid w:val="00686A51"/>
    <w:rsid w:val="00696E22"/>
    <w:rsid w:val="006A05CA"/>
    <w:rsid w:val="006A1C87"/>
    <w:rsid w:val="006A2A50"/>
    <w:rsid w:val="006A3260"/>
    <w:rsid w:val="006A331D"/>
    <w:rsid w:val="006A33DB"/>
    <w:rsid w:val="006A581E"/>
    <w:rsid w:val="006A6A81"/>
    <w:rsid w:val="006B6017"/>
    <w:rsid w:val="006C1944"/>
    <w:rsid w:val="006D015E"/>
    <w:rsid w:val="006D2DF3"/>
    <w:rsid w:val="006D6923"/>
    <w:rsid w:val="006E2904"/>
    <w:rsid w:val="006E4326"/>
    <w:rsid w:val="006E4A96"/>
    <w:rsid w:val="006E6CFC"/>
    <w:rsid w:val="006F35AB"/>
    <w:rsid w:val="006F6AE9"/>
    <w:rsid w:val="006F7393"/>
    <w:rsid w:val="0070224F"/>
    <w:rsid w:val="0070289F"/>
    <w:rsid w:val="0070589D"/>
    <w:rsid w:val="007115F7"/>
    <w:rsid w:val="00714014"/>
    <w:rsid w:val="0071473B"/>
    <w:rsid w:val="00722CD3"/>
    <w:rsid w:val="00725C20"/>
    <w:rsid w:val="0072645F"/>
    <w:rsid w:val="007279D7"/>
    <w:rsid w:val="00733B04"/>
    <w:rsid w:val="00736852"/>
    <w:rsid w:val="007447A7"/>
    <w:rsid w:val="0074605C"/>
    <w:rsid w:val="007511CA"/>
    <w:rsid w:val="0075516F"/>
    <w:rsid w:val="007570F2"/>
    <w:rsid w:val="00760E00"/>
    <w:rsid w:val="00763ED6"/>
    <w:rsid w:val="00764026"/>
    <w:rsid w:val="007661E4"/>
    <w:rsid w:val="00775907"/>
    <w:rsid w:val="0077592C"/>
    <w:rsid w:val="00782791"/>
    <w:rsid w:val="00785675"/>
    <w:rsid w:val="00785689"/>
    <w:rsid w:val="00785DDD"/>
    <w:rsid w:val="00785EA8"/>
    <w:rsid w:val="007875C0"/>
    <w:rsid w:val="007916AE"/>
    <w:rsid w:val="00792CB1"/>
    <w:rsid w:val="00793ABE"/>
    <w:rsid w:val="0079527C"/>
    <w:rsid w:val="00795338"/>
    <w:rsid w:val="007953B5"/>
    <w:rsid w:val="0079587C"/>
    <w:rsid w:val="0079754B"/>
    <w:rsid w:val="007A1E6D"/>
    <w:rsid w:val="007A247C"/>
    <w:rsid w:val="007A7BA1"/>
    <w:rsid w:val="007B0C25"/>
    <w:rsid w:val="007B37B7"/>
    <w:rsid w:val="007B3BDA"/>
    <w:rsid w:val="007B4F15"/>
    <w:rsid w:val="007B4F9B"/>
    <w:rsid w:val="007C4B67"/>
    <w:rsid w:val="007C6255"/>
    <w:rsid w:val="007D3344"/>
    <w:rsid w:val="007D3BC9"/>
    <w:rsid w:val="007E10BA"/>
    <w:rsid w:val="007E1B57"/>
    <w:rsid w:val="007E2BD7"/>
    <w:rsid w:val="007E2D92"/>
    <w:rsid w:val="007E460A"/>
    <w:rsid w:val="007F25D2"/>
    <w:rsid w:val="008044E4"/>
    <w:rsid w:val="00804614"/>
    <w:rsid w:val="00805856"/>
    <w:rsid w:val="008067EA"/>
    <w:rsid w:val="00811D58"/>
    <w:rsid w:val="008128B3"/>
    <w:rsid w:val="00815E84"/>
    <w:rsid w:val="008217DF"/>
    <w:rsid w:val="00822CE0"/>
    <w:rsid w:val="00823DB9"/>
    <w:rsid w:val="00824015"/>
    <w:rsid w:val="0082410C"/>
    <w:rsid w:val="0082670C"/>
    <w:rsid w:val="0082735A"/>
    <w:rsid w:val="00831C59"/>
    <w:rsid w:val="008346E7"/>
    <w:rsid w:val="00841AB1"/>
    <w:rsid w:val="00841D12"/>
    <w:rsid w:val="00844998"/>
    <w:rsid w:val="008472AC"/>
    <w:rsid w:val="00850DBC"/>
    <w:rsid w:val="008511B9"/>
    <w:rsid w:val="00852F69"/>
    <w:rsid w:val="00860B3E"/>
    <w:rsid w:val="008644A6"/>
    <w:rsid w:val="0086518D"/>
    <w:rsid w:val="00867B1A"/>
    <w:rsid w:val="00870AA2"/>
    <w:rsid w:val="00872E2F"/>
    <w:rsid w:val="00880BA8"/>
    <w:rsid w:val="00881DA6"/>
    <w:rsid w:val="00882321"/>
    <w:rsid w:val="00883302"/>
    <w:rsid w:val="00890101"/>
    <w:rsid w:val="008947F4"/>
    <w:rsid w:val="00897120"/>
    <w:rsid w:val="008A0994"/>
    <w:rsid w:val="008A1228"/>
    <w:rsid w:val="008A267C"/>
    <w:rsid w:val="008A37FE"/>
    <w:rsid w:val="008A5341"/>
    <w:rsid w:val="008A7EA5"/>
    <w:rsid w:val="008C14DE"/>
    <w:rsid w:val="008C2D54"/>
    <w:rsid w:val="008C4282"/>
    <w:rsid w:val="008D046F"/>
    <w:rsid w:val="008D579C"/>
    <w:rsid w:val="008D66A7"/>
    <w:rsid w:val="008E08DB"/>
    <w:rsid w:val="008E0BCC"/>
    <w:rsid w:val="008F546F"/>
    <w:rsid w:val="008F5609"/>
    <w:rsid w:val="008F6354"/>
    <w:rsid w:val="009000B2"/>
    <w:rsid w:val="00903487"/>
    <w:rsid w:val="00903E19"/>
    <w:rsid w:val="009052A4"/>
    <w:rsid w:val="009102C4"/>
    <w:rsid w:val="00910F04"/>
    <w:rsid w:val="00911882"/>
    <w:rsid w:val="00912507"/>
    <w:rsid w:val="00912A4B"/>
    <w:rsid w:val="0091342F"/>
    <w:rsid w:val="00915D1A"/>
    <w:rsid w:val="00916DF6"/>
    <w:rsid w:val="00917CD4"/>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50C07"/>
    <w:rsid w:val="00950EB7"/>
    <w:rsid w:val="00956027"/>
    <w:rsid w:val="00956337"/>
    <w:rsid w:val="00962945"/>
    <w:rsid w:val="009632A6"/>
    <w:rsid w:val="00964237"/>
    <w:rsid w:val="00966371"/>
    <w:rsid w:val="009676BC"/>
    <w:rsid w:val="00970C6B"/>
    <w:rsid w:val="009711A2"/>
    <w:rsid w:val="0097256B"/>
    <w:rsid w:val="009741B1"/>
    <w:rsid w:val="00975449"/>
    <w:rsid w:val="00976233"/>
    <w:rsid w:val="0097651C"/>
    <w:rsid w:val="00981C93"/>
    <w:rsid w:val="0098449D"/>
    <w:rsid w:val="00987FB6"/>
    <w:rsid w:val="0099140B"/>
    <w:rsid w:val="00992F4D"/>
    <w:rsid w:val="009942A1"/>
    <w:rsid w:val="009A40C2"/>
    <w:rsid w:val="009A4C16"/>
    <w:rsid w:val="009A7EE4"/>
    <w:rsid w:val="009B5A50"/>
    <w:rsid w:val="009D332B"/>
    <w:rsid w:val="009D66D5"/>
    <w:rsid w:val="009E2677"/>
    <w:rsid w:val="009E4E15"/>
    <w:rsid w:val="009E58C9"/>
    <w:rsid w:val="009E5BD6"/>
    <w:rsid w:val="009E7E5F"/>
    <w:rsid w:val="009F04D5"/>
    <w:rsid w:val="009F185B"/>
    <w:rsid w:val="009F286B"/>
    <w:rsid w:val="009F3A92"/>
    <w:rsid w:val="009F77E2"/>
    <w:rsid w:val="009F7C04"/>
    <w:rsid w:val="00A00B66"/>
    <w:rsid w:val="00A027EA"/>
    <w:rsid w:val="00A03DB3"/>
    <w:rsid w:val="00A05473"/>
    <w:rsid w:val="00A06315"/>
    <w:rsid w:val="00A0704F"/>
    <w:rsid w:val="00A12F28"/>
    <w:rsid w:val="00A16466"/>
    <w:rsid w:val="00A17A3B"/>
    <w:rsid w:val="00A20FF3"/>
    <w:rsid w:val="00A214C3"/>
    <w:rsid w:val="00A23AF4"/>
    <w:rsid w:val="00A27ACB"/>
    <w:rsid w:val="00A35CE8"/>
    <w:rsid w:val="00A3732E"/>
    <w:rsid w:val="00A453E0"/>
    <w:rsid w:val="00A45F4F"/>
    <w:rsid w:val="00A4658E"/>
    <w:rsid w:val="00A5227B"/>
    <w:rsid w:val="00A5729D"/>
    <w:rsid w:val="00A57B31"/>
    <w:rsid w:val="00A600A9"/>
    <w:rsid w:val="00A60258"/>
    <w:rsid w:val="00A606BF"/>
    <w:rsid w:val="00A6117C"/>
    <w:rsid w:val="00A61ED7"/>
    <w:rsid w:val="00A66336"/>
    <w:rsid w:val="00A669A9"/>
    <w:rsid w:val="00A74DB8"/>
    <w:rsid w:val="00A77D25"/>
    <w:rsid w:val="00A81E40"/>
    <w:rsid w:val="00A82494"/>
    <w:rsid w:val="00A87C06"/>
    <w:rsid w:val="00A936BB"/>
    <w:rsid w:val="00A95282"/>
    <w:rsid w:val="00A96A5E"/>
    <w:rsid w:val="00AA2600"/>
    <w:rsid w:val="00AA4B16"/>
    <w:rsid w:val="00AA55B7"/>
    <w:rsid w:val="00AA5B9E"/>
    <w:rsid w:val="00AA7463"/>
    <w:rsid w:val="00AA7622"/>
    <w:rsid w:val="00AB2407"/>
    <w:rsid w:val="00AB2C10"/>
    <w:rsid w:val="00AB39F3"/>
    <w:rsid w:val="00AB4688"/>
    <w:rsid w:val="00AB4CF8"/>
    <w:rsid w:val="00AB53DF"/>
    <w:rsid w:val="00AB7ACE"/>
    <w:rsid w:val="00AC12AD"/>
    <w:rsid w:val="00AC2247"/>
    <w:rsid w:val="00AC3D20"/>
    <w:rsid w:val="00AC5A7C"/>
    <w:rsid w:val="00AD010D"/>
    <w:rsid w:val="00AD0ADA"/>
    <w:rsid w:val="00AD3587"/>
    <w:rsid w:val="00AD6C34"/>
    <w:rsid w:val="00AE1D47"/>
    <w:rsid w:val="00AE27F8"/>
    <w:rsid w:val="00AE43B7"/>
    <w:rsid w:val="00AE4DB3"/>
    <w:rsid w:val="00AE4E54"/>
    <w:rsid w:val="00AF03D6"/>
    <w:rsid w:val="00AF6522"/>
    <w:rsid w:val="00AF7DAD"/>
    <w:rsid w:val="00B00166"/>
    <w:rsid w:val="00B02DC2"/>
    <w:rsid w:val="00B02FB8"/>
    <w:rsid w:val="00B07321"/>
    <w:rsid w:val="00B07E5C"/>
    <w:rsid w:val="00B10576"/>
    <w:rsid w:val="00B13350"/>
    <w:rsid w:val="00B141B4"/>
    <w:rsid w:val="00B14FAF"/>
    <w:rsid w:val="00B15877"/>
    <w:rsid w:val="00B1792B"/>
    <w:rsid w:val="00B211FD"/>
    <w:rsid w:val="00B239D9"/>
    <w:rsid w:val="00B277A4"/>
    <w:rsid w:val="00B302CB"/>
    <w:rsid w:val="00B32157"/>
    <w:rsid w:val="00B331F5"/>
    <w:rsid w:val="00B44A4F"/>
    <w:rsid w:val="00B47311"/>
    <w:rsid w:val="00B508D0"/>
    <w:rsid w:val="00B517BE"/>
    <w:rsid w:val="00B5414A"/>
    <w:rsid w:val="00B64EC5"/>
    <w:rsid w:val="00B65EF8"/>
    <w:rsid w:val="00B66445"/>
    <w:rsid w:val="00B66F5A"/>
    <w:rsid w:val="00B67077"/>
    <w:rsid w:val="00B675F9"/>
    <w:rsid w:val="00B75912"/>
    <w:rsid w:val="00B761CF"/>
    <w:rsid w:val="00B80DF6"/>
    <w:rsid w:val="00B811F7"/>
    <w:rsid w:val="00B816A7"/>
    <w:rsid w:val="00B84E6C"/>
    <w:rsid w:val="00B860D7"/>
    <w:rsid w:val="00B87679"/>
    <w:rsid w:val="00B903B5"/>
    <w:rsid w:val="00BA3B91"/>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E2581"/>
    <w:rsid w:val="00BE2B2B"/>
    <w:rsid w:val="00BE2B30"/>
    <w:rsid w:val="00BE56B5"/>
    <w:rsid w:val="00BE73DC"/>
    <w:rsid w:val="00BE7722"/>
    <w:rsid w:val="00BF0234"/>
    <w:rsid w:val="00BF1EEC"/>
    <w:rsid w:val="00C02FA9"/>
    <w:rsid w:val="00C04D36"/>
    <w:rsid w:val="00C06E84"/>
    <w:rsid w:val="00C10ADD"/>
    <w:rsid w:val="00C218DC"/>
    <w:rsid w:val="00C26F5F"/>
    <w:rsid w:val="00C34006"/>
    <w:rsid w:val="00C4174C"/>
    <w:rsid w:val="00C426B1"/>
    <w:rsid w:val="00C438ED"/>
    <w:rsid w:val="00C447D2"/>
    <w:rsid w:val="00C473A8"/>
    <w:rsid w:val="00C47A0C"/>
    <w:rsid w:val="00C518D0"/>
    <w:rsid w:val="00C523B9"/>
    <w:rsid w:val="00C52CF8"/>
    <w:rsid w:val="00C6071D"/>
    <w:rsid w:val="00C612AC"/>
    <w:rsid w:val="00C67932"/>
    <w:rsid w:val="00C700F9"/>
    <w:rsid w:val="00C713BD"/>
    <w:rsid w:val="00C7579F"/>
    <w:rsid w:val="00C76BB9"/>
    <w:rsid w:val="00C85DCF"/>
    <w:rsid w:val="00C90D6A"/>
    <w:rsid w:val="00C9246B"/>
    <w:rsid w:val="00C92F97"/>
    <w:rsid w:val="00C93A14"/>
    <w:rsid w:val="00C95D80"/>
    <w:rsid w:val="00CA0F78"/>
    <w:rsid w:val="00CA21C0"/>
    <w:rsid w:val="00CA247E"/>
    <w:rsid w:val="00CA349E"/>
    <w:rsid w:val="00CA7078"/>
    <w:rsid w:val="00CB260B"/>
    <w:rsid w:val="00CB51FE"/>
    <w:rsid w:val="00CB75B9"/>
    <w:rsid w:val="00CC2691"/>
    <w:rsid w:val="00CC28B3"/>
    <w:rsid w:val="00CC532C"/>
    <w:rsid w:val="00CC58AC"/>
    <w:rsid w:val="00CC596B"/>
    <w:rsid w:val="00CC72B6"/>
    <w:rsid w:val="00CC746A"/>
    <w:rsid w:val="00CD0180"/>
    <w:rsid w:val="00CD04E2"/>
    <w:rsid w:val="00CD2C9B"/>
    <w:rsid w:val="00CD45F8"/>
    <w:rsid w:val="00CE1849"/>
    <w:rsid w:val="00CE1A0C"/>
    <w:rsid w:val="00CE428F"/>
    <w:rsid w:val="00CE632C"/>
    <w:rsid w:val="00CE76C6"/>
    <w:rsid w:val="00CF1C0F"/>
    <w:rsid w:val="00CF2F47"/>
    <w:rsid w:val="00CF77B7"/>
    <w:rsid w:val="00D0218D"/>
    <w:rsid w:val="00D03AD8"/>
    <w:rsid w:val="00D046D2"/>
    <w:rsid w:val="00D05A77"/>
    <w:rsid w:val="00D1069B"/>
    <w:rsid w:val="00D10745"/>
    <w:rsid w:val="00D15C14"/>
    <w:rsid w:val="00D23E19"/>
    <w:rsid w:val="00D257FE"/>
    <w:rsid w:val="00D25C5E"/>
    <w:rsid w:val="00D25ED7"/>
    <w:rsid w:val="00D26289"/>
    <w:rsid w:val="00D3032A"/>
    <w:rsid w:val="00D31663"/>
    <w:rsid w:val="00D31FDB"/>
    <w:rsid w:val="00D34498"/>
    <w:rsid w:val="00D34844"/>
    <w:rsid w:val="00D3490E"/>
    <w:rsid w:val="00D35731"/>
    <w:rsid w:val="00D377A5"/>
    <w:rsid w:val="00D42D5D"/>
    <w:rsid w:val="00D44790"/>
    <w:rsid w:val="00D52151"/>
    <w:rsid w:val="00D52555"/>
    <w:rsid w:val="00D55448"/>
    <w:rsid w:val="00D5619D"/>
    <w:rsid w:val="00D56630"/>
    <w:rsid w:val="00D630D3"/>
    <w:rsid w:val="00D67F84"/>
    <w:rsid w:val="00D704AA"/>
    <w:rsid w:val="00D70822"/>
    <w:rsid w:val="00D71CDA"/>
    <w:rsid w:val="00D81FA0"/>
    <w:rsid w:val="00D82EB7"/>
    <w:rsid w:val="00D83129"/>
    <w:rsid w:val="00D84548"/>
    <w:rsid w:val="00D86532"/>
    <w:rsid w:val="00D91240"/>
    <w:rsid w:val="00D943A2"/>
    <w:rsid w:val="00D95AC5"/>
    <w:rsid w:val="00D95C94"/>
    <w:rsid w:val="00D9774A"/>
    <w:rsid w:val="00D978A8"/>
    <w:rsid w:val="00D97B34"/>
    <w:rsid w:val="00DA2529"/>
    <w:rsid w:val="00DA2BA0"/>
    <w:rsid w:val="00DA2CFF"/>
    <w:rsid w:val="00DA2DB9"/>
    <w:rsid w:val="00DA7E2A"/>
    <w:rsid w:val="00DB0422"/>
    <w:rsid w:val="00DB130A"/>
    <w:rsid w:val="00DB4B14"/>
    <w:rsid w:val="00DB5B28"/>
    <w:rsid w:val="00DC10A1"/>
    <w:rsid w:val="00DC1BFB"/>
    <w:rsid w:val="00DC5271"/>
    <w:rsid w:val="00DC5DD8"/>
    <w:rsid w:val="00DC655F"/>
    <w:rsid w:val="00DC6E68"/>
    <w:rsid w:val="00DC6EB4"/>
    <w:rsid w:val="00DD0B59"/>
    <w:rsid w:val="00DD1CEE"/>
    <w:rsid w:val="00DD6824"/>
    <w:rsid w:val="00DD7967"/>
    <w:rsid w:val="00DD7DE0"/>
    <w:rsid w:val="00DD7EBD"/>
    <w:rsid w:val="00DE0C2F"/>
    <w:rsid w:val="00DE31E5"/>
    <w:rsid w:val="00DE704A"/>
    <w:rsid w:val="00DE7126"/>
    <w:rsid w:val="00DF05A3"/>
    <w:rsid w:val="00DF1C0C"/>
    <w:rsid w:val="00DF4504"/>
    <w:rsid w:val="00DF47DF"/>
    <w:rsid w:val="00DF5AF8"/>
    <w:rsid w:val="00DF5C09"/>
    <w:rsid w:val="00DF62B6"/>
    <w:rsid w:val="00DF7138"/>
    <w:rsid w:val="00E03633"/>
    <w:rsid w:val="00E037E1"/>
    <w:rsid w:val="00E069F9"/>
    <w:rsid w:val="00E07225"/>
    <w:rsid w:val="00E141AE"/>
    <w:rsid w:val="00E211FE"/>
    <w:rsid w:val="00E32005"/>
    <w:rsid w:val="00E3204A"/>
    <w:rsid w:val="00E3378C"/>
    <w:rsid w:val="00E35272"/>
    <w:rsid w:val="00E41B30"/>
    <w:rsid w:val="00E421F8"/>
    <w:rsid w:val="00E440DF"/>
    <w:rsid w:val="00E44AC6"/>
    <w:rsid w:val="00E465A8"/>
    <w:rsid w:val="00E52DC7"/>
    <w:rsid w:val="00E5409F"/>
    <w:rsid w:val="00E54C87"/>
    <w:rsid w:val="00E70486"/>
    <w:rsid w:val="00E73616"/>
    <w:rsid w:val="00E76A80"/>
    <w:rsid w:val="00E76AE5"/>
    <w:rsid w:val="00E828C5"/>
    <w:rsid w:val="00E843BC"/>
    <w:rsid w:val="00E87831"/>
    <w:rsid w:val="00E93679"/>
    <w:rsid w:val="00E94865"/>
    <w:rsid w:val="00E95C94"/>
    <w:rsid w:val="00E972C0"/>
    <w:rsid w:val="00E9743A"/>
    <w:rsid w:val="00EA1A3D"/>
    <w:rsid w:val="00EA21F8"/>
    <w:rsid w:val="00EA296C"/>
    <w:rsid w:val="00EB0F91"/>
    <w:rsid w:val="00EB1673"/>
    <w:rsid w:val="00EB2E40"/>
    <w:rsid w:val="00EB356C"/>
    <w:rsid w:val="00EB6225"/>
    <w:rsid w:val="00EB752D"/>
    <w:rsid w:val="00EC1426"/>
    <w:rsid w:val="00EC5684"/>
    <w:rsid w:val="00EC58BD"/>
    <w:rsid w:val="00EC663A"/>
    <w:rsid w:val="00EC767E"/>
    <w:rsid w:val="00ED1A85"/>
    <w:rsid w:val="00ED2B20"/>
    <w:rsid w:val="00ED48FF"/>
    <w:rsid w:val="00ED5746"/>
    <w:rsid w:val="00ED64B0"/>
    <w:rsid w:val="00EE0C8E"/>
    <w:rsid w:val="00EE6488"/>
    <w:rsid w:val="00EF1C44"/>
    <w:rsid w:val="00EF28F5"/>
    <w:rsid w:val="00EF3095"/>
    <w:rsid w:val="00EF4CF7"/>
    <w:rsid w:val="00EF61A6"/>
    <w:rsid w:val="00EF7F44"/>
    <w:rsid w:val="00F021FA"/>
    <w:rsid w:val="00F038E2"/>
    <w:rsid w:val="00F125D4"/>
    <w:rsid w:val="00F13512"/>
    <w:rsid w:val="00F162E3"/>
    <w:rsid w:val="00F240C3"/>
    <w:rsid w:val="00F24FF8"/>
    <w:rsid w:val="00F32A0A"/>
    <w:rsid w:val="00F360F9"/>
    <w:rsid w:val="00F361E6"/>
    <w:rsid w:val="00F3638F"/>
    <w:rsid w:val="00F3676D"/>
    <w:rsid w:val="00F442BB"/>
    <w:rsid w:val="00F44F3A"/>
    <w:rsid w:val="00F5103B"/>
    <w:rsid w:val="00F62E97"/>
    <w:rsid w:val="00F64209"/>
    <w:rsid w:val="00F6525C"/>
    <w:rsid w:val="00F65CE9"/>
    <w:rsid w:val="00F70E6D"/>
    <w:rsid w:val="00F71F68"/>
    <w:rsid w:val="00F723E4"/>
    <w:rsid w:val="00F74D07"/>
    <w:rsid w:val="00F80663"/>
    <w:rsid w:val="00F810BC"/>
    <w:rsid w:val="00F82C43"/>
    <w:rsid w:val="00F84126"/>
    <w:rsid w:val="00F84BCA"/>
    <w:rsid w:val="00F85EA2"/>
    <w:rsid w:val="00F87A23"/>
    <w:rsid w:val="00F90847"/>
    <w:rsid w:val="00F92977"/>
    <w:rsid w:val="00F9306A"/>
    <w:rsid w:val="00F931E1"/>
    <w:rsid w:val="00F93BF5"/>
    <w:rsid w:val="00F95B76"/>
    <w:rsid w:val="00F96304"/>
    <w:rsid w:val="00F9709E"/>
    <w:rsid w:val="00FA17D3"/>
    <w:rsid w:val="00FA2727"/>
    <w:rsid w:val="00FA3550"/>
    <w:rsid w:val="00FB0DE7"/>
    <w:rsid w:val="00FB0E8A"/>
    <w:rsid w:val="00FB2F25"/>
    <w:rsid w:val="00FB2F4D"/>
    <w:rsid w:val="00FB57F6"/>
    <w:rsid w:val="00FB627B"/>
    <w:rsid w:val="00FB7136"/>
    <w:rsid w:val="00FB79FD"/>
    <w:rsid w:val="00FC1B2D"/>
    <w:rsid w:val="00FC2E88"/>
    <w:rsid w:val="00FC521A"/>
    <w:rsid w:val="00FC6D19"/>
    <w:rsid w:val="00FD2F8B"/>
    <w:rsid w:val="00FD32B6"/>
    <w:rsid w:val="00FD5FA7"/>
    <w:rsid w:val="00FE0139"/>
    <w:rsid w:val="00FE1E94"/>
    <w:rsid w:val="00FE44B4"/>
    <w:rsid w:val="00FE6A5A"/>
    <w:rsid w:val="00FE7172"/>
    <w:rsid w:val="00FF001A"/>
    <w:rsid w:val="00FF0162"/>
    <w:rsid w:val="00FF2840"/>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A44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3"/>
      </w:numPr>
      <w:spacing w:after="120"/>
      <w:outlineLvl w:val="1"/>
    </w:pPr>
    <w:rPr>
      <w:b/>
    </w:rPr>
  </w:style>
  <w:style w:type="paragraph" w:styleId="Heading3">
    <w:name w:val="heading 3"/>
    <w:basedOn w:val="Normal"/>
    <w:next w:val="ParaNum0"/>
    <w:qFormat/>
    <w:rsid w:val="009E58C9"/>
    <w:pPr>
      <w:keepNext/>
      <w:numPr>
        <w:ilvl w:val="2"/>
        <w:numId w:val="3"/>
      </w:numPr>
      <w:tabs>
        <w:tab w:val="left" w:pos="2160"/>
      </w:tabs>
      <w:spacing w:after="120"/>
      <w:outlineLvl w:val="2"/>
    </w:pPr>
    <w:rPr>
      <w:b/>
    </w:rPr>
  </w:style>
  <w:style w:type="paragraph" w:styleId="Heading4">
    <w:name w:val="heading 4"/>
    <w:basedOn w:val="Normal"/>
    <w:next w:val="ParaNum0"/>
    <w:qFormat/>
    <w:rsid w:val="009E58C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3"/>
      </w:numPr>
      <w:tabs>
        <w:tab w:val="left" w:pos="4320"/>
      </w:tabs>
      <w:spacing w:after="120"/>
      <w:outlineLvl w:val="5"/>
    </w:pPr>
    <w:rPr>
      <w:b/>
    </w:rPr>
  </w:style>
  <w:style w:type="paragraph" w:styleId="Heading7">
    <w:name w:val="heading 7"/>
    <w:basedOn w:val="Normal"/>
    <w:next w:val="ParaNum0"/>
    <w:qFormat/>
    <w:rsid w:val="009E58C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2"/>
      </w:numPr>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s14">
    <w:name w:val="s14"/>
    <w:basedOn w:val="DefaultParagraphFont"/>
    <w:rsid w:val="00333867"/>
  </w:style>
  <w:style w:type="character" w:customStyle="1" w:styleId="Heading1Char">
    <w:name w:val="Heading 1 Char"/>
    <w:link w:val="Heading1"/>
    <w:locked/>
    <w:rsid w:val="00872E2F"/>
    <w:rPr>
      <w:rFonts w:ascii="Times New Roman Bold" w:hAnsi="Times New Roman Bold"/>
      <w:b/>
      <w:caps/>
      <w:snapToGrid w:val="0"/>
      <w:kern w:val="28"/>
      <w:sz w:val="22"/>
    </w:rPr>
  </w:style>
  <w:style w:type="character" w:customStyle="1" w:styleId="FooterChar">
    <w:name w:val="Footer Char"/>
    <w:basedOn w:val="DefaultParagraphFont"/>
    <w:link w:val="Footer"/>
    <w:rsid w:val="00872E2F"/>
    <w:rPr>
      <w:snapToGrid w:val="0"/>
      <w:kern w:val="28"/>
      <w:sz w:val="22"/>
    </w:rPr>
  </w:style>
  <w:style w:type="paragraph" w:customStyle="1" w:styleId="DocID">
    <w:name w:val="Doc ID"/>
    <w:basedOn w:val="Normal"/>
    <w:link w:val="DocIDChar"/>
    <w:rsid w:val="00872E2F"/>
    <w:pPr>
      <w:widowControl/>
      <w:tabs>
        <w:tab w:val="right" w:pos="9360"/>
      </w:tabs>
      <w:spacing w:line="200" w:lineRule="exact"/>
    </w:pPr>
    <w:rPr>
      <w:kern w:val="0"/>
      <w:sz w:val="16"/>
      <w:szCs w:val="22"/>
    </w:rPr>
  </w:style>
  <w:style w:type="character" w:customStyle="1" w:styleId="DocIDChar">
    <w:name w:val="Doc ID Char"/>
    <w:basedOn w:val="DefaultParagraphFont"/>
    <w:link w:val="DocID"/>
    <w:rsid w:val="00872E2F"/>
    <w:rPr>
      <w:snapToGrid w:val="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3"/>
      </w:numPr>
      <w:spacing w:after="120"/>
      <w:outlineLvl w:val="1"/>
    </w:pPr>
    <w:rPr>
      <w:b/>
    </w:rPr>
  </w:style>
  <w:style w:type="paragraph" w:styleId="Heading3">
    <w:name w:val="heading 3"/>
    <w:basedOn w:val="Normal"/>
    <w:next w:val="ParaNum0"/>
    <w:qFormat/>
    <w:rsid w:val="009E58C9"/>
    <w:pPr>
      <w:keepNext/>
      <w:numPr>
        <w:ilvl w:val="2"/>
        <w:numId w:val="3"/>
      </w:numPr>
      <w:tabs>
        <w:tab w:val="left" w:pos="2160"/>
      </w:tabs>
      <w:spacing w:after="120"/>
      <w:outlineLvl w:val="2"/>
    </w:pPr>
    <w:rPr>
      <w:b/>
    </w:rPr>
  </w:style>
  <w:style w:type="paragraph" w:styleId="Heading4">
    <w:name w:val="heading 4"/>
    <w:basedOn w:val="Normal"/>
    <w:next w:val="ParaNum0"/>
    <w:qFormat/>
    <w:rsid w:val="009E58C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3"/>
      </w:numPr>
      <w:tabs>
        <w:tab w:val="left" w:pos="4320"/>
      </w:tabs>
      <w:spacing w:after="120"/>
      <w:outlineLvl w:val="5"/>
    </w:pPr>
    <w:rPr>
      <w:b/>
    </w:rPr>
  </w:style>
  <w:style w:type="paragraph" w:styleId="Heading7">
    <w:name w:val="heading 7"/>
    <w:basedOn w:val="Normal"/>
    <w:next w:val="ParaNum0"/>
    <w:qFormat/>
    <w:rsid w:val="009E58C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2"/>
      </w:numPr>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s14">
    <w:name w:val="s14"/>
    <w:basedOn w:val="DefaultParagraphFont"/>
    <w:rsid w:val="00333867"/>
  </w:style>
  <w:style w:type="character" w:customStyle="1" w:styleId="Heading1Char">
    <w:name w:val="Heading 1 Char"/>
    <w:link w:val="Heading1"/>
    <w:locked/>
    <w:rsid w:val="00872E2F"/>
    <w:rPr>
      <w:rFonts w:ascii="Times New Roman Bold" w:hAnsi="Times New Roman Bold"/>
      <w:b/>
      <w:caps/>
      <w:snapToGrid w:val="0"/>
      <w:kern w:val="28"/>
      <w:sz w:val="22"/>
    </w:rPr>
  </w:style>
  <w:style w:type="character" w:customStyle="1" w:styleId="FooterChar">
    <w:name w:val="Footer Char"/>
    <w:basedOn w:val="DefaultParagraphFont"/>
    <w:link w:val="Footer"/>
    <w:rsid w:val="00872E2F"/>
    <w:rPr>
      <w:snapToGrid w:val="0"/>
      <w:kern w:val="28"/>
      <w:sz w:val="22"/>
    </w:rPr>
  </w:style>
  <w:style w:type="paragraph" w:customStyle="1" w:styleId="DocID">
    <w:name w:val="Doc ID"/>
    <w:basedOn w:val="Normal"/>
    <w:link w:val="DocIDChar"/>
    <w:rsid w:val="00872E2F"/>
    <w:pPr>
      <w:widowControl/>
      <w:tabs>
        <w:tab w:val="right" w:pos="9360"/>
      </w:tabs>
      <w:spacing w:line="200" w:lineRule="exact"/>
    </w:pPr>
    <w:rPr>
      <w:kern w:val="0"/>
      <w:sz w:val="16"/>
      <w:szCs w:val="22"/>
    </w:rPr>
  </w:style>
  <w:style w:type="character" w:customStyle="1" w:styleId="DocIDChar">
    <w:name w:val="Doc ID Char"/>
    <w:basedOn w:val="DefaultParagraphFont"/>
    <w:link w:val="DocID"/>
    <w:rsid w:val="00872E2F"/>
    <w:rPr>
      <w:snapToGrid w:val="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170678610">
      <w:bodyDiv w:val="1"/>
      <w:marLeft w:val="0"/>
      <w:marRight w:val="0"/>
      <w:marTop w:val="0"/>
      <w:marBottom w:val="0"/>
      <w:divBdr>
        <w:top w:val="none" w:sz="0" w:space="0" w:color="auto"/>
        <w:left w:val="none" w:sz="0" w:space="0" w:color="auto"/>
        <w:bottom w:val="none" w:sz="0" w:space="0" w:color="auto"/>
        <w:right w:val="none" w:sz="0" w:space="0" w:color="auto"/>
      </w:divBdr>
    </w:div>
    <w:div w:id="800423260">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 w:id="14178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3</Pages>
  <Words>3081</Words>
  <Characters>16512</Characters>
  <Application>Microsoft Office Word</Application>
  <DocSecurity>0</DocSecurity>
  <PresentationFormat>[Compatibility Mode]</PresentationFormat>
  <Lines>287</Lines>
  <Paragraphs>96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19642</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2016-03-11T19:52:00Z</dcterms:created>
  <dcterms:modified xsi:type="dcterms:W3CDTF">2016-03-11T19:52:00Z</dcterms:modified>
  <cp:category> </cp:category>
  <cp:contentStatus> </cp:contentStatus>
</cp:coreProperties>
</file>