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E9B2" w14:textId="77777777" w:rsidR="00F90BE8" w:rsidRDefault="00595360">
      <w:pPr>
        <w:pStyle w:val="Title"/>
        <w:rPr>
          <w:szCs w:val="22"/>
        </w:rPr>
      </w:pPr>
      <w:bookmarkStart w:id="0" w:name="_GoBack"/>
      <w:bookmarkEnd w:id="0"/>
      <w:r>
        <w:rPr>
          <w:szCs w:val="22"/>
        </w:rPr>
        <w:t>Before the</w:t>
      </w:r>
    </w:p>
    <w:p w14:paraId="75E823DC" w14:textId="77777777" w:rsidR="00F90BE8" w:rsidRDefault="00595360">
      <w:pPr>
        <w:pStyle w:val="Title"/>
        <w:rPr>
          <w:szCs w:val="22"/>
        </w:rPr>
      </w:pPr>
      <w:r>
        <w:rPr>
          <w:szCs w:val="22"/>
        </w:rPr>
        <w:t>Federal Communications Commission</w:t>
      </w:r>
    </w:p>
    <w:p w14:paraId="65B492B9" w14:textId="77777777" w:rsidR="00F90BE8" w:rsidRDefault="00595360">
      <w:pPr>
        <w:pStyle w:val="Title"/>
        <w:rPr>
          <w:szCs w:val="22"/>
        </w:rPr>
      </w:pPr>
      <w:r>
        <w:rPr>
          <w:szCs w:val="22"/>
        </w:rPr>
        <w:t>Washington, D.C. 20554</w:t>
      </w:r>
    </w:p>
    <w:p w14:paraId="5B6DC14F" w14:textId="77777777" w:rsidR="00F90BE8" w:rsidRDefault="00F90BE8">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14:paraId="056DC76A" w14:textId="77777777">
        <w:tc>
          <w:tcPr>
            <w:tcW w:w="4698" w:type="dxa"/>
          </w:tcPr>
          <w:p w14:paraId="1C9DE871" w14:textId="77777777" w:rsidR="00F90BE8" w:rsidRDefault="00595360">
            <w:pPr>
              <w:tabs>
                <w:tab w:val="center" w:pos="4680"/>
              </w:tabs>
              <w:suppressAutoHyphens/>
              <w:rPr>
                <w:spacing w:val="-2"/>
                <w:szCs w:val="22"/>
              </w:rPr>
            </w:pPr>
            <w:r>
              <w:rPr>
                <w:spacing w:val="-2"/>
                <w:szCs w:val="22"/>
              </w:rPr>
              <w:t>In the Matter of</w:t>
            </w:r>
          </w:p>
          <w:p w14:paraId="70EAEA60" w14:textId="77777777" w:rsidR="00F90BE8" w:rsidRDefault="00F90BE8">
            <w:pPr>
              <w:tabs>
                <w:tab w:val="center" w:pos="4680"/>
              </w:tabs>
              <w:suppressAutoHyphens/>
              <w:rPr>
                <w:spacing w:val="-2"/>
                <w:szCs w:val="22"/>
              </w:rPr>
            </w:pPr>
          </w:p>
          <w:p w14:paraId="7F2E4EF8" w14:textId="77777777" w:rsidR="00F90BE8" w:rsidRDefault="00FA728D">
            <w:pPr>
              <w:pStyle w:val="BodyText"/>
              <w:numPr>
                <w:ilvl w:val="0"/>
                <w:numId w:val="0"/>
              </w:numPr>
              <w:rPr>
                <w:szCs w:val="22"/>
              </w:rPr>
            </w:pPr>
            <w:r w:rsidRPr="00893066">
              <w:rPr>
                <w:color w:val="000000"/>
                <w:szCs w:val="22"/>
              </w:rPr>
              <w:t>Comcast Cable Communications, LLC</w:t>
            </w:r>
            <w:r w:rsidR="00595360">
              <w:rPr>
                <w:szCs w:val="22"/>
              </w:rPr>
              <w:t xml:space="preserve"> on behalf of its subsidiaries and affiliates</w:t>
            </w:r>
          </w:p>
          <w:p w14:paraId="2E988817" w14:textId="77777777" w:rsidR="00F90BE8" w:rsidRDefault="00F90BE8">
            <w:pPr>
              <w:pStyle w:val="BodyText"/>
              <w:numPr>
                <w:ilvl w:val="0"/>
                <w:numId w:val="0"/>
              </w:numPr>
              <w:rPr>
                <w:szCs w:val="22"/>
              </w:rPr>
            </w:pPr>
          </w:p>
          <w:p w14:paraId="2CA9A7E8" w14:textId="77777777" w:rsidR="00F90BE8" w:rsidRDefault="00595360" w:rsidP="00FA728D">
            <w:pPr>
              <w:pStyle w:val="BodyText"/>
              <w:numPr>
                <w:ilvl w:val="0"/>
                <w:numId w:val="0"/>
              </w:numPr>
              <w:rPr>
                <w:b/>
                <w:szCs w:val="22"/>
              </w:rPr>
            </w:pPr>
            <w:r>
              <w:rPr>
                <w:szCs w:val="22"/>
              </w:rPr>
              <w:t xml:space="preserve">Petitions for Determination of Effective Competition in Communities in </w:t>
            </w:r>
            <w:r w:rsidR="00FA728D">
              <w:rPr>
                <w:szCs w:val="22"/>
              </w:rPr>
              <w:t>Minnesota</w:t>
            </w:r>
          </w:p>
        </w:tc>
        <w:tc>
          <w:tcPr>
            <w:tcW w:w="630" w:type="dxa"/>
          </w:tcPr>
          <w:p w14:paraId="039B490D" w14:textId="77777777" w:rsidR="00F90BE8" w:rsidRDefault="00595360">
            <w:pPr>
              <w:tabs>
                <w:tab w:val="center" w:pos="4680"/>
              </w:tabs>
              <w:suppressAutoHyphens/>
              <w:rPr>
                <w:b/>
                <w:spacing w:val="-2"/>
                <w:szCs w:val="22"/>
              </w:rPr>
            </w:pPr>
            <w:r>
              <w:rPr>
                <w:b/>
                <w:spacing w:val="-2"/>
                <w:szCs w:val="22"/>
              </w:rPr>
              <w:t>)</w:t>
            </w:r>
          </w:p>
          <w:p w14:paraId="774E1C0F" w14:textId="77777777" w:rsidR="00F90BE8" w:rsidRDefault="00595360">
            <w:pPr>
              <w:tabs>
                <w:tab w:val="center" w:pos="4680"/>
              </w:tabs>
              <w:suppressAutoHyphens/>
              <w:rPr>
                <w:b/>
                <w:spacing w:val="-2"/>
                <w:szCs w:val="22"/>
              </w:rPr>
            </w:pPr>
            <w:r>
              <w:rPr>
                <w:b/>
                <w:spacing w:val="-2"/>
                <w:szCs w:val="22"/>
              </w:rPr>
              <w:t>)</w:t>
            </w:r>
          </w:p>
          <w:p w14:paraId="0A976F54" w14:textId="77777777" w:rsidR="00F90BE8" w:rsidRDefault="00595360">
            <w:pPr>
              <w:tabs>
                <w:tab w:val="center" w:pos="4680"/>
              </w:tabs>
              <w:suppressAutoHyphens/>
              <w:rPr>
                <w:b/>
                <w:spacing w:val="-2"/>
                <w:szCs w:val="22"/>
              </w:rPr>
            </w:pPr>
            <w:r>
              <w:rPr>
                <w:b/>
                <w:spacing w:val="-2"/>
                <w:szCs w:val="22"/>
              </w:rPr>
              <w:t>)</w:t>
            </w:r>
          </w:p>
          <w:p w14:paraId="6E969100" w14:textId="77777777" w:rsidR="00F90BE8" w:rsidRDefault="00595360">
            <w:pPr>
              <w:tabs>
                <w:tab w:val="center" w:pos="4680"/>
              </w:tabs>
              <w:suppressAutoHyphens/>
              <w:rPr>
                <w:b/>
                <w:spacing w:val="-2"/>
                <w:szCs w:val="22"/>
              </w:rPr>
            </w:pPr>
            <w:r>
              <w:rPr>
                <w:b/>
                <w:spacing w:val="-2"/>
                <w:szCs w:val="22"/>
              </w:rPr>
              <w:t>)</w:t>
            </w:r>
          </w:p>
          <w:p w14:paraId="2145A2A4" w14:textId="77777777" w:rsidR="00F90BE8" w:rsidRDefault="00595360">
            <w:pPr>
              <w:tabs>
                <w:tab w:val="center" w:pos="4680"/>
              </w:tabs>
              <w:suppressAutoHyphens/>
              <w:rPr>
                <w:b/>
                <w:spacing w:val="-2"/>
                <w:szCs w:val="22"/>
              </w:rPr>
            </w:pPr>
            <w:r>
              <w:rPr>
                <w:b/>
                <w:spacing w:val="-2"/>
                <w:szCs w:val="22"/>
              </w:rPr>
              <w:t>)</w:t>
            </w:r>
          </w:p>
          <w:p w14:paraId="077D27F3" w14:textId="77777777" w:rsidR="00F90BE8" w:rsidRDefault="00595360">
            <w:pPr>
              <w:tabs>
                <w:tab w:val="center" w:pos="4680"/>
              </w:tabs>
              <w:suppressAutoHyphens/>
              <w:rPr>
                <w:b/>
                <w:spacing w:val="-2"/>
                <w:szCs w:val="22"/>
              </w:rPr>
            </w:pPr>
            <w:r>
              <w:rPr>
                <w:b/>
                <w:spacing w:val="-2"/>
                <w:szCs w:val="22"/>
              </w:rPr>
              <w:t>)</w:t>
            </w:r>
          </w:p>
          <w:p w14:paraId="67725BDC" w14:textId="77777777" w:rsidR="00F90BE8" w:rsidRDefault="00595360">
            <w:pPr>
              <w:tabs>
                <w:tab w:val="center" w:pos="4680"/>
              </w:tabs>
              <w:suppressAutoHyphens/>
              <w:rPr>
                <w:b/>
                <w:spacing w:val="-2"/>
                <w:szCs w:val="22"/>
              </w:rPr>
            </w:pPr>
            <w:r>
              <w:rPr>
                <w:b/>
                <w:spacing w:val="-2"/>
                <w:szCs w:val="22"/>
              </w:rPr>
              <w:t>)</w:t>
            </w:r>
          </w:p>
        </w:tc>
        <w:tc>
          <w:tcPr>
            <w:tcW w:w="4248" w:type="dxa"/>
          </w:tcPr>
          <w:p w14:paraId="293AE4CF" w14:textId="77777777" w:rsidR="00F90BE8" w:rsidRDefault="00595360">
            <w:pPr>
              <w:tabs>
                <w:tab w:val="center" w:pos="4680"/>
              </w:tabs>
              <w:suppressAutoHyphens/>
              <w:rPr>
                <w:spacing w:val="-2"/>
                <w:szCs w:val="22"/>
              </w:rPr>
            </w:pPr>
            <w:r>
              <w:rPr>
                <w:spacing w:val="-2"/>
                <w:szCs w:val="22"/>
              </w:rPr>
              <w:t xml:space="preserve">          </w:t>
            </w:r>
          </w:p>
          <w:p w14:paraId="5368A387" w14:textId="77777777" w:rsidR="00FA728D" w:rsidRPr="0073791B" w:rsidRDefault="00FA728D" w:rsidP="00FA728D">
            <w:pPr>
              <w:tabs>
                <w:tab w:val="center" w:pos="4680"/>
              </w:tabs>
              <w:suppressAutoHyphens/>
              <w:rPr>
                <w:color w:val="000000"/>
                <w:spacing w:val="-2"/>
                <w:szCs w:val="22"/>
              </w:rPr>
            </w:pPr>
            <w:r w:rsidRPr="0073791B">
              <w:rPr>
                <w:color w:val="000000"/>
                <w:spacing w:val="-2"/>
                <w:szCs w:val="22"/>
              </w:rPr>
              <w:t>MB Docket No. 1</w:t>
            </w:r>
            <w:r>
              <w:rPr>
                <w:color w:val="000000"/>
                <w:spacing w:val="-2"/>
                <w:szCs w:val="22"/>
              </w:rPr>
              <w:t>3-131</w:t>
            </w:r>
            <w:r w:rsidRPr="0073791B">
              <w:rPr>
                <w:color w:val="000000"/>
                <w:spacing w:val="-2"/>
                <w:szCs w:val="22"/>
              </w:rPr>
              <w:t>, CSR 87</w:t>
            </w:r>
            <w:r>
              <w:rPr>
                <w:color w:val="000000"/>
                <w:spacing w:val="-2"/>
                <w:szCs w:val="22"/>
              </w:rPr>
              <w:t>94</w:t>
            </w:r>
            <w:r w:rsidRPr="0073791B">
              <w:rPr>
                <w:color w:val="000000"/>
                <w:spacing w:val="-2"/>
                <w:szCs w:val="22"/>
              </w:rPr>
              <w:t>-E</w:t>
            </w:r>
          </w:p>
          <w:p w14:paraId="70565313" w14:textId="77777777" w:rsidR="00FA728D" w:rsidRPr="0073791B" w:rsidRDefault="00FA728D" w:rsidP="00FA728D">
            <w:pPr>
              <w:tabs>
                <w:tab w:val="center" w:pos="4680"/>
              </w:tabs>
              <w:suppressAutoHyphens/>
              <w:rPr>
                <w:color w:val="000000"/>
                <w:spacing w:val="-2"/>
                <w:szCs w:val="22"/>
              </w:rPr>
            </w:pPr>
            <w:r w:rsidRPr="0073791B">
              <w:rPr>
                <w:color w:val="000000"/>
                <w:spacing w:val="-2"/>
                <w:szCs w:val="22"/>
              </w:rPr>
              <w:t>MB Docket No. 1</w:t>
            </w:r>
            <w:r>
              <w:rPr>
                <w:color w:val="000000"/>
                <w:spacing w:val="-2"/>
                <w:szCs w:val="22"/>
              </w:rPr>
              <w:t>3-132</w:t>
            </w:r>
            <w:r w:rsidRPr="0073791B">
              <w:rPr>
                <w:color w:val="000000"/>
                <w:spacing w:val="-2"/>
                <w:szCs w:val="22"/>
              </w:rPr>
              <w:t>, CSR 87</w:t>
            </w:r>
            <w:r>
              <w:rPr>
                <w:color w:val="000000"/>
                <w:spacing w:val="-2"/>
                <w:szCs w:val="22"/>
              </w:rPr>
              <w:t>95</w:t>
            </w:r>
            <w:r w:rsidRPr="0073791B">
              <w:rPr>
                <w:color w:val="000000"/>
                <w:spacing w:val="-2"/>
                <w:szCs w:val="22"/>
              </w:rPr>
              <w:t>-E</w:t>
            </w:r>
          </w:p>
          <w:p w14:paraId="3ABDE25C" w14:textId="77777777" w:rsidR="00FA728D" w:rsidRPr="0073791B" w:rsidRDefault="00FA728D" w:rsidP="00FA728D">
            <w:pPr>
              <w:tabs>
                <w:tab w:val="center" w:pos="4680"/>
              </w:tabs>
              <w:suppressAutoHyphens/>
              <w:rPr>
                <w:color w:val="000000"/>
                <w:spacing w:val="-2"/>
                <w:szCs w:val="22"/>
              </w:rPr>
            </w:pPr>
            <w:r w:rsidRPr="0073791B">
              <w:rPr>
                <w:color w:val="000000"/>
                <w:spacing w:val="-2"/>
                <w:szCs w:val="22"/>
              </w:rPr>
              <w:t>MB Docket No. 1</w:t>
            </w:r>
            <w:r>
              <w:rPr>
                <w:color w:val="000000"/>
                <w:spacing w:val="-2"/>
                <w:szCs w:val="22"/>
              </w:rPr>
              <w:t>3-133</w:t>
            </w:r>
            <w:r w:rsidRPr="0073791B">
              <w:rPr>
                <w:color w:val="000000"/>
                <w:spacing w:val="-2"/>
                <w:szCs w:val="22"/>
              </w:rPr>
              <w:t>, CSR 87</w:t>
            </w:r>
            <w:r>
              <w:rPr>
                <w:color w:val="000000"/>
                <w:spacing w:val="-2"/>
                <w:szCs w:val="22"/>
              </w:rPr>
              <w:t>96</w:t>
            </w:r>
            <w:r w:rsidRPr="0073791B">
              <w:rPr>
                <w:color w:val="000000"/>
                <w:spacing w:val="-2"/>
                <w:szCs w:val="22"/>
              </w:rPr>
              <w:t>-E</w:t>
            </w:r>
          </w:p>
          <w:p w14:paraId="21A1B0FA" w14:textId="77777777" w:rsidR="00F90BE8" w:rsidRDefault="00F90BE8">
            <w:pPr>
              <w:pStyle w:val="EndnoteText"/>
              <w:tabs>
                <w:tab w:val="center" w:pos="4680"/>
              </w:tabs>
              <w:suppressAutoHyphens/>
              <w:spacing w:after="0"/>
              <w:rPr>
                <w:spacing w:val="-2"/>
                <w:szCs w:val="22"/>
              </w:rPr>
            </w:pPr>
          </w:p>
          <w:p w14:paraId="530F1A38" w14:textId="77777777" w:rsidR="00F90BE8" w:rsidRDefault="00595360">
            <w:pPr>
              <w:pStyle w:val="EndnoteText"/>
              <w:tabs>
                <w:tab w:val="center" w:pos="4680"/>
              </w:tabs>
              <w:suppressAutoHyphens/>
              <w:spacing w:after="0"/>
              <w:rPr>
                <w:spacing w:val="-2"/>
                <w:szCs w:val="22"/>
              </w:rPr>
            </w:pPr>
            <w:r>
              <w:rPr>
                <w:spacing w:val="-2"/>
                <w:szCs w:val="22"/>
              </w:rPr>
              <w:t xml:space="preserve">           </w:t>
            </w:r>
          </w:p>
        </w:tc>
      </w:tr>
    </w:tbl>
    <w:p w14:paraId="5F87E4A7" w14:textId="77777777" w:rsidR="00F90BE8" w:rsidRDefault="00F90BE8">
      <w:pPr>
        <w:pStyle w:val="Title"/>
        <w:rPr>
          <w:szCs w:val="22"/>
        </w:rPr>
      </w:pPr>
    </w:p>
    <w:p w14:paraId="7B5BCEE1" w14:textId="77777777" w:rsidR="00F90BE8" w:rsidRDefault="00595360">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14:paraId="0C1C8361" w14:textId="77777777" w:rsidR="00F90BE8" w:rsidRDefault="00F90BE8">
      <w:pPr>
        <w:tabs>
          <w:tab w:val="left" w:pos="720"/>
          <w:tab w:val="left" w:pos="5760"/>
        </w:tabs>
        <w:suppressAutoHyphens/>
        <w:spacing w:line="227" w:lineRule="auto"/>
        <w:rPr>
          <w:b/>
          <w:spacing w:val="-2"/>
          <w:szCs w:val="22"/>
        </w:rPr>
      </w:pPr>
    </w:p>
    <w:p w14:paraId="3CE8DA9C" w14:textId="6D74B289" w:rsidR="00F90BE8" w:rsidRDefault="00595360">
      <w:pPr>
        <w:tabs>
          <w:tab w:val="left" w:pos="720"/>
          <w:tab w:val="left" w:pos="5760"/>
        </w:tabs>
        <w:suppressAutoHyphens/>
        <w:spacing w:line="227" w:lineRule="auto"/>
        <w:rPr>
          <w:b/>
          <w:spacing w:val="-2"/>
          <w:szCs w:val="22"/>
        </w:rPr>
      </w:pPr>
      <w:r>
        <w:rPr>
          <w:b/>
          <w:spacing w:val="-2"/>
          <w:szCs w:val="22"/>
        </w:rPr>
        <w:t xml:space="preserve">Adopted:  </w:t>
      </w:r>
      <w:r w:rsidR="00FA728D">
        <w:rPr>
          <w:b/>
          <w:spacing w:val="-2"/>
          <w:szCs w:val="22"/>
        </w:rPr>
        <w:t xml:space="preserve">February </w:t>
      </w:r>
      <w:r w:rsidR="00741F22">
        <w:rPr>
          <w:b/>
          <w:spacing w:val="-2"/>
          <w:szCs w:val="22"/>
        </w:rPr>
        <w:t>23</w:t>
      </w:r>
      <w:r>
        <w:rPr>
          <w:b/>
          <w:spacing w:val="-2"/>
          <w:szCs w:val="22"/>
        </w:rPr>
        <w:t xml:space="preserve">, 2016         </w:t>
      </w:r>
      <w:r w:rsidR="00FD54DD">
        <w:rPr>
          <w:b/>
          <w:spacing w:val="-2"/>
          <w:szCs w:val="22"/>
        </w:rPr>
        <w:tab/>
      </w:r>
      <w:r>
        <w:rPr>
          <w:b/>
          <w:spacing w:val="-2"/>
          <w:szCs w:val="22"/>
        </w:rPr>
        <w:t xml:space="preserve">Released:  </w:t>
      </w:r>
      <w:r w:rsidR="00FA728D">
        <w:rPr>
          <w:b/>
          <w:spacing w:val="-2"/>
          <w:szCs w:val="22"/>
        </w:rPr>
        <w:t xml:space="preserve">February </w:t>
      </w:r>
      <w:r w:rsidR="00A162C0">
        <w:rPr>
          <w:b/>
          <w:spacing w:val="-2"/>
          <w:szCs w:val="22"/>
        </w:rPr>
        <w:t>24</w:t>
      </w:r>
      <w:r>
        <w:rPr>
          <w:b/>
          <w:spacing w:val="-2"/>
          <w:szCs w:val="22"/>
        </w:rPr>
        <w:t>, 2016</w:t>
      </w:r>
    </w:p>
    <w:p w14:paraId="4C175941" w14:textId="77777777" w:rsidR="00F90BE8" w:rsidRDefault="00F90BE8">
      <w:pPr>
        <w:rPr>
          <w:szCs w:val="22"/>
        </w:rPr>
      </w:pPr>
    </w:p>
    <w:p w14:paraId="36C7F080" w14:textId="77777777" w:rsidR="00F90BE8" w:rsidRDefault="00595360">
      <w:pPr>
        <w:rPr>
          <w:spacing w:val="-2"/>
          <w:szCs w:val="22"/>
        </w:rPr>
      </w:pPr>
      <w:r>
        <w:rPr>
          <w:szCs w:val="22"/>
        </w:rPr>
        <w:t xml:space="preserve">By the Senior </w:t>
      </w:r>
      <w:r>
        <w:rPr>
          <w:spacing w:val="-2"/>
          <w:szCs w:val="22"/>
        </w:rPr>
        <w:t>Deputy Chief, Policy Division, Media Bureau:</w:t>
      </w:r>
    </w:p>
    <w:p w14:paraId="2F6228D5" w14:textId="77777777" w:rsidR="00F90BE8" w:rsidRDefault="00F90BE8">
      <w:pPr>
        <w:rPr>
          <w:spacing w:val="-2"/>
          <w:szCs w:val="22"/>
        </w:rPr>
      </w:pPr>
    </w:p>
    <w:p w14:paraId="63C52E0C" w14:textId="77777777" w:rsidR="00F90BE8" w:rsidRDefault="00595360">
      <w:pPr>
        <w:pStyle w:val="Heading1"/>
        <w:jc w:val="left"/>
        <w:rPr>
          <w:szCs w:val="22"/>
        </w:rPr>
      </w:pPr>
      <w:r>
        <w:rPr>
          <w:szCs w:val="22"/>
        </w:rPr>
        <w:t>introduction and Background</w:t>
      </w:r>
    </w:p>
    <w:p w14:paraId="1E8464D1" w14:textId="1D25BE71" w:rsidR="00F90BE8" w:rsidRDefault="00FA728D">
      <w:pPr>
        <w:pStyle w:val="ParaNum"/>
        <w:jc w:val="left"/>
      </w:pPr>
      <w:r w:rsidRPr="00893066">
        <w:rPr>
          <w:color w:val="000000"/>
          <w:szCs w:val="22"/>
        </w:rPr>
        <w:t>Comcast Cable Communications, LLC</w:t>
      </w:r>
      <w:r>
        <w:rPr>
          <w:color w:val="000000"/>
          <w:szCs w:val="22"/>
        </w:rPr>
        <w:t xml:space="preserve">, hereinafter referred to as Petitioner, </w:t>
      </w:r>
      <w:r w:rsidR="00595360">
        <w:t>has filed with the Commission petitions</w:t>
      </w:r>
      <w:r w:rsidR="00102077">
        <w:rPr>
          <w:rStyle w:val="FootnoteReference"/>
        </w:rPr>
        <w:footnoteReference w:id="2"/>
      </w:r>
      <w:r w:rsidR="00595360">
        <w:t xml:space="preserve"> pursuant to Sections 76.7, 76.905(b)(2) and 76.907 of the Commission’s rules for a determination that </w:t>
      </w:r>
      <w:r w:rsidR="00102077">
        <w:t xml:space="preserve">Petitioner </w:t>
      </w:r>
      <w:r w:rsidR="00595360">
        <w:t xml:space="preserve">is subject to effective competition in the communities listed on Attachment A (the “Communities”).  </w:t>
      </w:r>
      <w:r w:rsidR="00102077">
        <w:t>Petitioner</w:t>
      </w:r>
      <w:r>
        <w:t xml:space="preserve"> </w:t>
      </w:r>
      <w:r w:rsidR="00595360">
        <w:t>alleges that its cable systems serving the Communities are subject to effective competition pursuant to Section 623(</w:t>
      </w:r>
      <w:r w:rsidR="00FA63AA">
        <w:t>l</w:t>
      </w:r>
      <w:r w:rsidR="00595360">
        <w:t>)(1)(B) of the Communications Act of 1934, as amended (“Communications Act”),</w:t>
      </w:r>
      <w:r w:rsidR="00595360">
        <w:rPr>
          <w:rStyle w:val="FootnoteReference"/>
          <w:szCs w:val="22"/>
        </w:rPr>
        <w:footnoteReference w:id="3"/>
      </w:r>
      <w:r w:rsidR="00595360">
        <w:t xml:space="preserve"> and the Commission’s implementing rules,</w:t>
      </w:r>
      <w:r w:rsidR="00595360">
        <w:rPr>
          <w:rStyle w:val="FootnoteReference"/>
          <w:szCs w:val="22"/>
        </w:rPr>
        <w:footnoteReference w:id="4"/>
      </w:r>
      <w:r w:rsidR="00595360">
        <w:t xml:space="preserve"> and that it is therefore exempt from cable rate regulation in the Communities because of the competing service provided by two direct broadcast satellite (“DBS”) providers, DIRECTV, Inc. (“DIRECTV”) and DISH Network (“DISH”).  </w:t>
      </w:r>
      <w:r>
        <w:rPr>
          <w:color w:val="000000"/>
          <w:szCs w:val="22"/>
        </w:rPr>
        <w:t>Oppositions to the petitions were filed by the North Metro Telecommunications Commission (“North Metro”)</w:t>
      </w:r>
      <w:r>
        <w:rPr>
          <w:rStyle w:val="FootnoteReference"/>
          <w:color w:val="000000"/>
          <w:szCs w:val="22"/>
        </w:rPr>
        <w:footnoteReference w:id="5"/>
      </w:r>
      <w:r>
        <w:rPr>
          <w:color w:val="000000"/>
          <w:szCs w:val="22"/>
        </w:rPr>
        <w:t xml:space="preserve"> (for the MB Docket 13-131 petition),</w:t>
      </w:r>
      <w:r w:rsidR="00D2409E">
        <w:rPr>
          <w:color w:val="000000"/>
          <w:szCs w:val="22"/>
        </w:rPr>
        <w:t xml:space="preserve"> </w:t>
      </w:r>
      <w:r>
        <w:rPr>
          <w:color w:val="000000"/>
          <w:szCs w:val="22"/>
        </w:rPr>
        <w:t>the North Suburban Communications Commission (“North Suburban”)</w:t>
      </w:r>
      <w:r>
        <w:rPr>
          <w:rStyle w:val="FootnoteReference"/>
          <w:color w:val="000000"/>
          <w:szCs w:val="22"/>
        </w:rPr>
        <w:footnoteReference w:id="6"/>
      </w:r>
      <w:r>
        <w:rPr>
          <w:color w:val="000000"/>
          <w:szCs w:val="22"/>
        </w:rPr>
        <w:t xml:space="preserve"> (for the MB Docket 13-132 petition), and the South Washington County Telecommunications Commission (“South Washington”)</w:t>
      </w:r>
      <w:r>
        <w:rPr>
          <w:rStyle w:val="FootnoteReference"/>
          <w:color w:val="000000"/>
          <w:szCs w:val="22"/>
        </w:rPr>
        <w:footnoteReference w:id="7"/>
      </w:r>
      <w:r>
        <w:rPr>
          <w:color w:val="000000"/>
          <w:szCs w:val="22"/>
        </w:rPr>
        <w:t xml:space="preserve"> (for the MB Docket 13-133 petition).</w:t>
      </w:r>
      <w:r>
        <w:rPr>
          <w:rStyle w:val="FootnoteReference"/>
          <w:color w:val="000000"/>
          <w:szCs w:val="22"/>
        </w:rPr>
        <w:footnoteReference w:id="8"/>
      </w:r>
      <w:r>
        <w:rPr>
          <w:color w:val="000000"/>
          <w:szCs w:val="22"/>
        </w:rPr>
        <w:t xml:space="preserve">  </w:t>
      </w:r>
      <w:r>
        <w:rPr>
          <w:color w:val="000000"/>
          <w:szCs w:val="22"/>
        </w:rPr>
        <w:lastRenderedPageBreak/>
        <w:t>Petitioner filed Replies to all three Oppositions.</w:t>
      </w:r>
      <w:r>
        <w:rPr>
          <w:rStyle w:val="FootnoteReference"/>
          <w:color w:val="000000"/>
          <w:szCs w:val="22"/>
        </w:rPr>
        <w:footnoteReference w:id="9"/>
      </w:r>
    </w:p>
    <w:p w14:paraId="581C7353" w14:textId="77777777" w:rsidR="00F90BE8" w:rsidRDefault="00595360">
      <w:pPr>
        <w:pStyle w:val="ParaNum"/>
        <w:jc w:val="left"/>
      </w:pPr>
      <w:r>
        <w:t>In June 2015, a Commission order adopted a rebuttable presumption that cable operators are subject to one type of effective competition, commonly referred to as competing provider effective competition.</w:t>
      </w:r>
      <w:r>
        <w:rPr>
          <w:rStyle w:val="FootnoteReference"/>
        </w:rPr>
        <w:footnoteReference w:id="10"/>
      </w:r>
      <w: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Pr>
          <w:vertAlign w:val="superscript"/>
        </w:rPr>
        <w:footnoteReference w:id="11"/>
      </w:r>
      <w:r>
        <w:t xml:space="preserve">  For the reasons set forth below, we grant </w:t>
      </w:r>
      <w:r w:rsidR="00102077">
        <w:t>Petitioner’s</w:t>
      </w:r>
      <w:r>
        <w:t xml:space="preserve"> petitions. </w:t>
      </w:r>
    </w:p>
    <w:p w14:paraId="56812958" w14:textId="77777777" w:rsidR="00F90BE8" w:rsidRDefault="00595360">
      <w:pPr>
        <w:pStyle w:val="Heading1"/>
        <w:jc w:val="left"/>
        <w:rPr>
          <w:szCs w:val="22"/>
        </w:rPr>
      </w:pPr>
      <w:r>
        <w:rPr>
          <w:caps w:val="0"/>
          <w:szCs w:val="22"/>
        </w:rPr>
        <w:t>T</w:t>
      </w:r>
      <w:r>
        <w:rPr>
          <w:szCs w:val="22"/>
        </w:rPr>
        <w:t>he COMPETING PROVIDER TEST</w:t>
      </w:r>
    </w:p>
    <w:p w14:paraId="341BE7EA" w14:textId="77777777" w:rsidR="00F90BE8" w:rsidRDefault="00595360">
      <w:pPr>
        <w:pStyle w:val="ParaNum"/>
        <w:jc w:val="left"/>
      </w:pPr>
      <w:r>
        <w:t>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szCs w:val="22"/>
        </w:rPr>
        <w:footnoteReference w:id="12"/>
      </w:r>
      <w:r>
        <w:t xml:space="preserve">  This test is referred to as the “competing provider” test.  Pursuant to the </w:t>
      </w:r>
      <w:r>
        <w:rPr>
          <w:i/>
        </w:rPr>
        <w:t>Effective Competition Order</w:t>
      </w:r>
      <w:r>
        <w:t>, absent evidence to the contrary, the Commission presumes that the competing provider test is met.</w:t>
      </w:r>
    </w:p>
    <w:p w14:paraId="2D9CD8C5" w14:textId="77777777" w:rsidR="00F90BE8" w:rsidRDefault="00595360">
      <w:pPr>
        <w:pStyle w:val="Heading2"/>
        <w:jc w:val="left"/>
      </w:pPr>
      <w:r>
        <w:t>The First Part</w:t>
      </w:r>
    </w:p>
    <w:p w14:paraId="7534D275" w14:textId="4C07BC28" w:rsidR="00F90BE8" w:rsidRDefault="00595360">
      <w:pPr>
        <w:pStyle w:val="ParaNum"/>
        <w:jc w:val="left"/>
      </w:pPr>
      <w:r>
        <w:t>The first part of this test has three elements:  the franchise area must be “served by” at least two unaffiliated MVPDs who offer “comparable programming” to at least “50 percent” of the households in the franchise area.</w:t>
      </w:r>
      <w:r>
        <w:rPr>
          <w:rStyle w:val="FootnoteReference"/>
          <w:szCs w:val="22"/>
        </w:rPr>
        <w:footnoteReference w:id="13"/>
      </w:r>
      <w:r>
        <w:rPr>
          <w:b/>
        </w:rPr>
        <w:t xml:space="preserve">  </w:t>
      </w:r>
      <w:r>
        <w:t xml:space="preserve">As explained in the </w:t>
      </w:r>
      <w:r>
        <w:rPr>
          <w:i/>
        </w:rPr>
        <w:t>Effective Competition Order</w:t>
      </w:r>
      <w:r>
        <w:t>, “we find that the ubiquitous nationwide presence of DBS providers, DIRECTV and DISH, presumptively satisfies the” first part of the test for competing provider effective competition, absent evidence to the contrary.</w:t>
      </w:r>
      <w:r>
        <w:rPr>
          <w:rStyle w:val="FootnoteReference"/>
        </w:rPr>
        <w:footnoteReference w:id="14"/>
      </w:r>
      <w:r>
        <w:t xml:space="preserve">  </w:t>
      </w:r>
      <w:r w:rsidR="00E07545">
        <w:t xml:space="preserve">The </w:t>
      </w:r>
      <w:r w:rsidR="00A673B3">
        <w:t>O</w:t>
      </w:r>
      <w:r w:rsidR="00E07545">
        <w:t xml:space="preserve">ppositions do not contest the fact that Comcast has satisfied the first part of the test.  </w:t>
      </w:r>
      <w:r>
        <w:t xml:space="preserve">In accordance with the presumption of competing provider effective competition, and based on the information submitted by </w:t>
      </w:r>
      <w:r w:rsidR="00E07545">
        <w:t>Comcast</w:t>
      </w:r>
      <w:r>
        <w:t>, we thus find that the first part of the test is satisfied.</w:t>
      </w:r>
    </w:p>
    <w:p w14:paraId="067ACAFE" w14:textId="77777777" w:rsidR="00F90BE8" w:rsidRDefault="00595360">
      <w:pPr>
        <w:pStyle w:val="Heading2"/>
        <w:jc w:val="left"/>
      </w:pPr>
      <w:r>
        <w:t>The Second Part</w:t>
      </w:r>
    </w:p>
    <w:p w14:paraId="798A033F" w14:textId="01074C39" w:rsidR="002C1AF8" w:rsidRPr="002C1AF8" w:rsidRDefault="00595360" w:rsidP="002A111B">
      <w:pPr>
        <w:pStyle w:val="ParaNum"/>
        <w:jc w:val="left"/>
      </w:pPr>
      <w:r>
        <w:t>The second part of the competing provider test requires that the number of households subscribing to MVPDs, other than the largest MVPD, exceed</w:t>
      </w:r>
      <w:r w:rsidR="00A673B3">
        <w:t>s</w:t>
      </w:r>
      <w:r>
        <w:t xml:space="preserve"> 15 percent of the households in a franchise </w:t>
      </w:r>
      <w:r>
        <w:lastRenderedPageBreak/>
        <w:t>area.</w:t>
      </w:r>
      <w:r>
        <w:rPr>
          <w:rStyle w:val="FootnoteReference"/>
        </w:rPr>
        <w:footnoteReference w:id="15"/>
      </w:r>
      <w:r>
        <w:t xml:space="preserve">  As explained in the </w:t>
      </w:r>
      <w:r w:rsidRPr="004930DA">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16"/>
      </w:r>
      <w:r>
        <w:t xml:space="preserve">  </w:t>
      </w:r>
      <w:r w:rsidR="00E07545" w:rsidRPr="004930DA">
        <w:rPr>
          <w:szCs w:val="22"/>
        </w:rPr>
        <w:t xml:space="preserve">The Minnesota Local Commissions </w:t>
      </w:r>
      <w:r w:rsidR="00D2409E">
        <w:t>argue</w:t>
      </w:r>
      <w:r>
        <w:t xml:space="preserve"> that </w:t>
      </w:r>
      <w:r w:rsidR="00E07545">
        <w:t xml:space="preserve">Comcast has not </w:t>
      </w:r>
      <w:r>
        <w:t>satisfied the second part of the competing provider effective competition test</w:t>
      </w:r>
      <w:r w:rsidR="004930DA">
        <w:t xml:space="preserve">.  </w:t>
      </w:r>
      <w:r w:rsidR="004930DA" w:rsidRPr="0006413E">
        <w:t>The Commissions claim that</w:t>
      </w:r>
      <w:r w:rsidR="00E67C25" w:rsidRPr="0006413E">
        <w:t xml:space="preserve"> </w:t>
      </w:r>
      <w:r w:rsidR="00536A0F" w:rsidRPr="0006413E">
        <w:rPr>
          <w:szCs w:val="22"/>
        </w:rPr>
        <w:t>the</w:t>
      </w:r>
      <w:r w:rsidR="00BC5364" w:rsidRPr="0006413E">
        <w:rPr>
          <w:szCs w:val="22"/>
        </w:rPr>
        <w:t xml:space="preserve"> “allocation methodologies” used by SNL Kagan to identify the proper zip code plus four codes are “unverified and there is no universally accepted data base to corresponds [sic] to zip + 4 codes and political boundaries.”</w:t>
      </w:r>
      <w:r w:rsidR="00536A0F" w:rsidRPr="0006413E">
        <w:rPr>
          <w:rStyle w:val="FootnoteReference"/>
          <w:szCs w:val="22"/>
        </w:rPr>
        <w:footnoteReference w:id="17"/>
      </w:r>
      <w:r w:rsidR="00536A0F" w:rsidRPr="0006413E">
        <w:rPr>
          <w:szCs w:val="22"/>
        </w:rPr>
        <w:t xml:space="preserve">  They </w:t>
      </w:r>
      <w:r w:rsidR="009F61AA" w:rsidRPr="0006413E">
        <w:rPr>
          <w:szCs w:val="22"/>
        </w:rPr>
        <w:t>claim</w:t>
      </w:r>
      <w:r w:rsidR="00536A0F" w:rsidRPr="0006413E">
        <w:rPr>
          <w:szCs w:val="22"/>
        </w:rPr>
        <w:t xml:space="preserve"> that </w:t>
      </w:r>
      <w:r w:rsidR="009F61AA" w:rsidRPr="0006413E">
        <w:rPr>
          <w:szCs w:val="22"/>
        </w:rPr>
        <w:t>Comcast has</w:t>
      </w:r>
      <w:r w:rsidR="00536A0F" w:rsidRPr="0006413E">
        <w:rPr>
          <w:szCs w:val="22"/>
        </w:rPr>
        <w:t xml:space="preserve"> only provided </w:t>
      </w:r>
      <w:r w:rsidR="00BC5364" w:rsidRPr="0006413E">
        <w:rPr>
          <w:szCs w:val="22"/>
        </w:rPr>
        <w:t>“the end results without the underlying allocations and assignments made by SNL Kagan,” making it “impossible to determine the accuracy of the underlying data</w:t>
      </w:r>
      <w:r w:rsidR="00536A0F" w:rsidRPr="0006413E">
        <w:rPr>
          <w:szCs w:val="22"/>
        </w:rPr>
        <w:t>.</w:t>
      </w:r>
      <w:r w:rsidR="006E3B09" w:rsidRPr="0006413E">
        <w:rPr>
          <w:szCs w:val="22"/>
        </w:rPr>
        <w:t>”</w:t>
      </w:r>
      <w:r w:rsidR="004653A2" w:rsidRPr="0006413E">
        <w:rPr>
          <w:rStyle w:val="FootnoteReference"/>
          <w:szCs w:val="22"/>
        </w:rPr>
        <w:footnoteReference w:id="18"/>
      </w:r>
      <w:r w:rsidR="00E11723" w:rsidRPr="0006413E">
        <w:rPr>
          <w:szCs w:val="22"/>
        </w:rPr>
        <w:t xml:space="preserve">  </w:t>
      </w:r>
      <w:r w:rsidR="00E11723" w:rsidRPr="004930DA">
        <w:rPr>
          <w:szCs w:val="22"/>
        </w:rPr>
        <w:t xml:space="preserve">Comcast, in its </w:t>
      </w:r>
      <w:r w:rsidR="004930DA">
        <w:rPr>
          <w:szCs w:val="22"/>
        </w:rPr>
        <w:t>R</w:t>
      </w:r>
      <w:r w:rsidR="00E11723" w:rsidRPr="004930DA">
        <w:rPr>
          <w:szCs w:val="22"/>
        </w:rPr>
        <w:t>eplies, argues that the information provided include</w:t>
      </w:r>
      <w:r w:rsidR="009F61AA" w:rsidRPr="004930DA">
        <w:rPr>
          <w:szCs w:val="22"/>
        </w:rPr>
        <w:t>s</w:t>
      </w:r>
      <w:r w:rsidR="00E11723" w:rsidRPr="004930DA">
        <w:rPr>
          <w:szCs w:val="22"/>
        </w:rPr>
        <w:t xml:space="preserve"> the underlying data for the reports </w:t>
      </w:r>
      <w:r w:rsidR="00C44F59" w:rsidRPr="004930DA">
        <w:rPr>
          <w:szCs w:val="22"/>
        </w:rPr>
        <w:t xml:space="preserve">and the </w:t>
      </w:r>
      <w:r w:rsidR="002A111B">
        <w:rPr>
          <w:szCs w:val="22"/>
        </w:rPr>
        <w:t>O</w:t>
      </w:r>
      <w:r w:rsidR="00C44F59" w:rsidRPr="004930DA">
        <w:rPr>
          <w:szCs w:val="22"/>
        </w:rPr>
        <w:t>pposition</w:t>
      </w:r>
      <w:r w:rsidR="002A111B">
        <w:rPr>
          <w:szCs w:val="22"/>
        </w:rPr>
        <w:t>s</w:t>
      </w:r>
      <w:r w:rsidR="00C44F59" w:rsidRPr="004930DA">
        <w:rPr>
          <w:szCs w:val="22"/>
        </w:rPr>
        <w:t xml:space="preserve"> ha</w:t>
      </w:r>
      <w:r w:rsidR="002A111B">
        <w:rPr>
          <w:szCs w:val="22"/>
        </w:rPr>
        <w:t>ve</w:t>
      </w:r>
      <w:r w:rsidR="00C44F59" w:rsidRPr="004930DA">
        <w:rPr>
          <w:szCs w:val="22"/>
        </w:rPr>
        <w:t xml:space="preserve"> failed to identify a “single error” in any of the data </w:t>
      </w:r>
      <w:r w:rsidR="002A111B">
        <w:rPr>
          <w:szCs w:val="22"/>
        </w:rPr>
        <w:t xml:space="preserve">it </w:t>
      </w:r>
      <w:r w:rsidR="00C44F59" w:rsidRPr="004930DA">
        <w:rPr>
          <w:szCs w:val="22"/>
        </w:rPr>
        <w:t>submitted.</w:t>
      </w:r>
      <w:r w:rsidR="00C44F59">
        <w:rPr>
          <w:rStyle w:val="FootnoteReference"/>
          <w:szCs w:val="22"/>
        </w:rPr>
        <w:footnoteReference w:id="19"/>
      </w:r>
    </w:p>
    <w:p w14:paraId="3EAB7C40" w14:textId="6AEEE602" w:rsidR="00F90BE8" w:rsidRDefault="002C1AF8">
      <w:pPr>
        <w:pStyle w:val="ParaNum"/>
        <w:jc w:val="left"/>
      </w:pPr>
      <w:r>
        <w:rPr>
          <w:szCs w:val="22"/>
        </w:rPr>
        <w:t>The Minnesota Local Commissions</w:t>
      </w:r>
      <w:r w:rsidR="009F61AA">
        <w:rPr>
          <w:szCs w:val="22"/>
        </w:rPr>
        <w:t>’</w:t>
      </w:r>
      <w:r>
        <w:rPr>
          <w:szCs w:val="22"/>
        </w:rPr>
        <w:t xml:space="preserve"> </w:t>
      </w:r>
      <w:r w:rsidRPr="004653A2">
        <w:rPr>
          <w:szCs w:val="22"/>
        </w:rPr>
        <w:t>arguments</w:t>
      </w:r>
      <w:r>
        <w:rPr>
          <w:szCs w:val="22"/>
        </w:rPr>
        <w:t xml:space="preserve"> lack merit.  </w:t>
      </w:r>
      <w:r w:rsidR="009D5891">
        <w:rPr>
          <w:szCs w:val="22"/>
        </w:rPr>
        <w:t xml:space="preserve">They </w:t>
      </w:r>
      <w:r w:rsidR="00FC07C6">
        <w:rPr>
          <w:szCs w:val="22"/>
        </w:rPr>
        <w:t xml:space="preserve">have not identified </w:t>
      </w:r>
      <w:r>
        <w:rPr>
          <w:szCs w:val="22"/>
        </w:rPr>
        <w:t xml:space="preserve">any specific errors in the </w:t>
      </w:r>
      <w:r w:rsidR="00FC07C6">
        <w:rPr>
          <w:szCs w:val="22"/>
        </w:rPr>
        <w:t xml:space="preserve">nine-digit </w:t>
      </w:r>
      <w:r>
        <w:rPr>
          <w:szCs w:val="22"/>
        </w:rPr>
        <w:t xml:space="preserve">zip code </w:t>
      </w:r>
      <w:r w:rsidR="00FC07C6">
        <w:rPr>
          <w:szCs w:val="22"/>
        </w:rPr>
        <w:t>report su</w:t>
      </w:r>
      <w:r>
        <w:rPr>
          <w:szCs w:val="22"/>
        </w:rPr>
        <w:t>bmitted by Petitioner.</w:t>
      </w:r>
      <w:r w:rsidR="00FC07C6">
        <w:rPr>
          <w:szCs w:val="22"/>
        </w:rPr>
        <w:t xml:space="preserve">  </w:t>
      </w:r>
      <w:r w:rsidR="009F61AA">
        <w:rPr>
          <w:szCs w:val="22"/>
        </w:rPr>
        <w:t>Comcast</w:t>
      </w:r>
      <w:r w:rsidR="00FC07C6">
        <w:rPr>
          <w:szCs w:val="22"/>
        </w:rPr>
        <w:t xml:space="preserve"> </w:t>
      </w:r>
      <w:r w:rsidRPr="00835E0A">
        <w:rPr>
          <w:szCs w:val="22"/>
        </w:rPr>
        <w:t xml:space="preserve">provided all of the zip code and DBS subscriber data needed to verify </w:t>
      </w:r>
      <w:r>
        <w:rPr>
          <w:szCs w:val="22"/>
        </w:rPr>
        <w:t xml:space="preserve">whether </w:t>
      </w:r>
      <w:r w:rsidR="004930DA">
        <w:rPr>
          <w:szCs w:val="22"/>
        </w:rPr>
        <w:t xml:space="preserve">it properly included </w:t>
      </w:r>
      <w:r>
        <w:rPr>
          <w:szCs w:val="22"/>
        </w:rPr>
        <w:t>a particular zip code</w:t>
      </w:r>
      <w:r w:rsidR="004930DA">
        <w:rPr>
          <w:szCs w:val="22"/>
        </w:rPr>
        <w:t>.</w:t>
      </w:r>
      <w:r>
        <w:rPr>
          <w:rStyle w:val="FootnoteReference"/>
          <w:szCs w:val="22"/>
        </w:rPr>
        <w:footnoteReference w:id="20"/>
      </w:r>
      <w:r w:rsidRPr="00835E0A">
        <w:rPr>
          <w:szCs w:val="22"/>
        </w:rPr>
        <w:t xml:space="preserve">  Despite being in possession of this data, the Minnesota Local Commissions d</w:t>
      </w:r>
      <w:r w:rsidR="009F61AA">
        <w:rPr>
          <w:szCs w:val="22"/>
        </w:rPr>
        <w:t>o</w:t>
      </w:r>
      <w:r w:rsidRPr="00835E0A">
        <w:rPr>
          <w:szCs w:val="22"/>
        </w:rPr>
        <w:t xml:space="preserve"> not specifically challenge any of the zip codes </w:t>
      </w:r>
      <w:r w:rsidR="009F61AA">
        <w:rPr>
          <w:szCs w:val="22"/>
        </w:rPr>
        <w:t xml:space="preserve">contained in the SNL </w:t>
      </w:r>
      <w:r w:rsidR="00BC5364">
        <w:rPr>
          <w:szCs w:val="22"/>
        </w:rPr>
        <w:t xml:space="preserve">Kagan </w:t>
      </w:r>
      <w:r w:rsidR="009F61AA">
        <w:rPr>
          <w:szCs w:val="22"/>
        </w:rPr>
        <w:t xml:space="preserve">report, </w:t>
      </w:r>
      <w:r w:rsidR="004930DA">
        <w:rPr>
          <w:szCs w:val="22"/>
        </w:rPr>
        <w:t>nor did they challenge the</w:t>
      </w:r>
      <w:r w:rsidRPr="00835E0A">
        <w:rPr>
          <w:szCs w:val="22"/>
        </w:rPr>
        <w:t xml:space="preserve"> subscriber</w:t>
      </w:r>
      <w:r w:rsidR="004930DA">
        <w:rPr>
          <w:szCs w:val="22"/>
        </w:rPr>
        <w:t>ship data</w:t>
      </w:r>
      <w:r w:rsidRPr="00835E0A">
        <w:rPr>
          <w:szCs w:val="22"/>
        </w:rPr>
        <w:t xml:space="preserve"> submitted in the petitions.  </w:t>
      </w:r>
      <w:r w:rsidR="00FC07C6">
        <w:rPr>
          <w:szCs w:val="22"/>
        </w:rPr>
        <w:t xml:space="preserve">For the above reasons, the arguments put forth by the Minnesota Local Commissions fail to rebut the presumption of competing provider effective competition.  </w:t>
      </w:r>
      <w:r w:rsidR="00FC07C6">
        <w:t xml:space="preserve">In accordance with the presumption of competing provider effective competition, and based on the information submitted by Comcast and </w:t>
      </w:r>
      <w:r w:rsidR="009D5891">
        <w:rPr>
          <w:szCs w:val="22"/>
        </w:rPr>
        <w:t>the Minnesota Local Commissions</w:t>
      </w:r>
      <w:r w:rsidR="00FC07C6">
        <w:t>, we thus find that the second prong of the test is satisfied.</w:t>
      </w:r>
      <w:r w:rsidR="00FC07C6">
        <w:rPr>
          <w:szCs w:val="22"/>
        </w:rPr>
        <w:t xml:space="preserve">  </w:t>
      </w:r>
      <w:r>
        <w:rPr>
          <w:szCs w:val="22"/>
        </w:rPr>
        <w:t xml:space="preserve">  </w:t>
      </w:r>
      <w:r w:rsidR="00536A0F" w:rsidRPr="00F42A73">
        <w:rPr>
          <w:szCs w:val="22"/>
        </w:rPr>
        <w:t xml:space="preserve"> </w:t>
      </w:r>
    </w:p>
    <w:p w14:paraId="53CA8089" w14:textId="77777777" w:rsidR="00F90BE8" w:rsidRDefault="00595360">
      <w:pPr>
        <w:pStyle w:val="Heading1"/>
        <w:jc w:val="left"/>
        <w:rPr>
          <w:szCs w:val="22"/>
        </w:rPr>
      </w:pPr>
      <w:r>
        <w:rPr>
          <w:szCs w:val="22"/>
        </w:rPr>
        <w:t>ordering clauses</w:t>
      </w:r>
    </w:p>
    <w:p w14:paraId="1AB1E715" w14:textId="77777777" w:rsidR="00F90BE8" w:rsidRDefault="00595360">
      <w:pPr>
        <w:pStyle w:val="ParaNum"/>
        <w:jc w:val="left"/>
      </w:pPr>
      <w:r>
        <w:t xml:space="preserve">Accordingly, </w:t>
      </w:r>
      <w:r>
        <w:rPr>
          <w:b/>
        </w:rPr>
        <w:t>IT IS ORDERED</w:t>
      </w:r>
      <w:r>
        <w:t xml:space="preserve"> that the petitions for a determination of effective competition filed in the captioned proceeding by </w:t>
      </w:r>
      <w:r w:rsidR="002C1AF8" w:rsidRPr="00893066">
        <w:rPr>
          <w:color w:val="000000"/>
          <w:szCs w:val="22"/>
        </w:rPr>
        <w:t>Comcast Cable Communications, LLC</w:t>
      </w:r>
      <w:r w:rsidR="002C1AF8">
        <w:t xml:space="preserve"> </w:t>
      </w:r>
      <w:r>
        <w:rPr>
          <w:b/>
        </w:rPr>
        <w:t>ARE GRANTED</w:t>
      </w:r>
      <w:r>
        <w:t xml:space="preserve"> as to the Communities listed on Attachment A hereto. </w:t>
      </w:r>
    </w:p>
    <w:p w14:paraId="377E94CA" w14:textId="5710687F" w:rsidR="00176133" w:rsidRDefault="00595360" w:rsidP="00176133">
      <w:pPr>
        <w:pStyle w:val="ParaNum"/>
        <w:jc w:val="left"/>
      </w:pPr>
      <w:r>
        <w:rPr>
          <w:b/>
        </w:rPr>
        <w:t>IT IS FURTHER ORDERED</w:t>
      </w:r>
      <w:r>
        <w:t xml:space="preserve"> that the certification to regulate basic cable service rates granted to or on behalf of any of the Communities set forth on Attachment A </w:t>
      </w:r>
      <w:r>
        <w:rPr>
          <w:b/>
        </w:rPr>
        <w:t>IS REVOKED</w:t>
      </w:r>
      <w:r>
        <w:t xml:space="preserve">. </w:t>
      </w:r>
    </w:p>
    <w:p w14:paraId="787FBA06" w14:textId="43749ADF" w:rsidR="00176133" w:rsidRDefault="00176133" w:rsidP="00176133">
      <w:r>
        <w:br w:type="page"/>
      </w:r>
    </w:p>
    <w:p w14:paraId="70870E60" w14:textId="77777777" w:rsidR="00F90BE8" w:rsidRDefault="00595360">
      <w:pPr>
        <w:pStyle w:val="ParaNum"/>
        <w:jc w:val="left"/>
      </w:pPr>
      <w:r>
        <w:t>This action is taken pursuant to delegated authority pursuant to Section 0.283 of the Commission’s rules.</w:t>
      </w:r>
      <w:r>
        <w:rPr>
          <w:vertAlign w:val="superscript"/>
        </w:rPr>
        <w:footnoteReference w:id="21"/>
      </w:r>
    </w:p>
    <w:p w14:paraId="083F6274" w14:textId="77777777" w:rsidR="00F90BE8" w:rsidRDefault="00595360">
      <w:pPr>
        <w:pStyle w:val="ParaNum"/>
        <w:numPr>
          <w:ilvl w:val="0"/>
          <w:numId w:val="0"/>
        </w:numPr>
        <w:jc w:val="left"/>
        <w:rPr>
          <w:szCs w:val="22"/>
        </w:rPr>
      </w:pPr>
      <w:r>
        <w:rPr>
          <w:szCs w:val="22"/>
        </w:rPr>
        <w:tab/>
      </w:r>
      <w:r>
        <w:rPr>
          <w:szCs w:val="22"/>
        </w:rPr>
        <w:tab/>
      </w:r>
      <w:r>
        <w:rPr>
          <w:szCs w:val="22"/>
        </w:rPr>
        <w:tab/>
      </w:r>
    </w:p>
    <w:p w14:paraId="02B0AD13" w14:textId="77777777" w:rsidR="00F90BE8" w:rsidRDefault="00595360">
      <w:pPr>
        <w:pStyle w:val="ParaNum"/>
        <w:numPr>
          <w:ilvl w:val="0"/>
          <w:numId w:val="0"/>
        </w:numPr>
        <w:jc w:val="left"/>
        <w:rPr>
          <w:szCs w:val="22"/>
        </w:rPr>
      </w:pPr>
      <w:r>
        <w:rPr>
          <w:szCs w:val="22"/>
        </w:rPr>
        <w:tab/>
      </w:r>
      <w:r>
        <w:rPr>
          <w:szCs w:val="22"/>
        </w:rPr>
        <w:tab/>
      </w:r>
      <w:r>
        <w:rPr>
          <w:szCs w:val="22"/>
        </w:rPr>
        <w:tab/>
      </w:r>
      <w:r>
        <w:rPr>
          <w:szCs w:val="22"/>
        </w:rPr>
        <w:tab/>
        <w:t>FEDERAL COMMUNICATIONS COMMISSION</w:t>
      </w:r>
    </w:p>
    <w:p w14:paraId="4EEC5677" w14:textId="77777777" w:rsidR="00F90BE8" w:rsidRDefault="00F90BE8">
      <w:pPr>
        <w:pStyle w:val="DocText"/>
        <w:jc w:val="left"/>
        <w:rPr>
          <w:sz w:val="22"/>
          <w:szCs w:val="22"/>
        </w:rPr>
      </w:pPr>
    </w:p>
    <w:p w14:paraId="5BBE05A6" w14:textId="77777777" w:rsidR="00F90BE8" w:rsidRDefault="00F90BE8">
      <w:pPr>
        <w:pStyle w:val="DocText"/>
        <w:ind w:left="0"/>
        <w:jc w:val="left"/>
        <w:rPr>
          <w:sz w:val="22"/>
          <w:szCs w:val="22"/>
        </w:rPr>
      </w:pPr>
    </w:p>
    <w:p w14:paraId="23EB89CC" w14:textId="77777777"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14:paraId="1E121E72" w14:textId="77777777"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14:paraId="3826ABE5" w14:textId="77777777" w:rsidR="00F90BE8" w:rsidRDefault="00595360">
      <w:pPr>
        <w:pStyle w:val="ParaNum"/>
        <w:numPr>
          <w:ilvl w:val="0"/>
          <w:numId w:val="0"/>
        </w:numPr>
        <w:jc w:val="center"/>
        <w:rPr>
          <w:b/>
          <w:szCs w:val="22"/>
        </w:rPr>
      </w:pPr>
      <w:r>
        <w:rPr>
          <w:szCs w:val="22"/>
        </w:rPr>
        <w:br w:type="page"/>
      </w:r>
      <w:r>
        <w:rPr>
          <w:b/>
          <w:szCs w:val="22"/>
        </w:rPr>
        <w:t>ATTACHMENT A</w:t>
      </w:r>
    </w:p>
    <w:p w14:paraId="3E9D37AC" w14:textId="77777777" w:rsidR="00F90BE8" w:rsidRDefault="00F90BE8">
      <w:pPr>
        <w:pStyle w:val="EndnoteText"/>
        <w:spacing w:after="0"/>
        <w:rPr>
          <w:sz w:val="20"/>
        </w:rPr>
      </w:pPr>
    </w:p>
    <w:p w14:paraId="306DA644" w14:textId="77777777" w:rsidR="002C1AF8" w:rsidRPr="00893066" w:rsidRDefault="002C1AF8" w:rsidP="002C1AF8">
      <w:pPr>
        <w:tabs>
          <w:tab w:val="center" w:pos="4680"/>
        </w:tabs>
        <w:suppressAutoHyphens/>
        <w:jc w:val="center"/>
        <w:rPr>
          <w:b/>
          <w:color w:val="000000"/>
          <w:spacing w:val="-2"/>
          <w:szCs w:val="22"/>
        </w:rPr>
      </w:pPr>
      <w:r>
        <w:rPr>
          <w:b/>
          <w:color w:val="000000"/>
          <w:spacing w:val="-2"/>
          <w:szCs w:val="22"/>
        </w:rPr>
        <w:t>MB Docket No. 13</w:t>
      </w:r>
      <w:r w:rsidRPr="00893066">
        <w:rPr>
          <w:b/>
          <w:color w:val="000000"/>
          <w:spacing w:val="-2"/>
          <w:szCs w:val="22"/>
        </w:rPr>
        <w:t>-</w:t>
      </w:r>
      <w:r>
        <w:rPr>
          <w:b/>
          <w:color w:val="000000"/>
          <w:spacing w:val="-2"/>
          <w:szCs w:val="22"/>
        </w:rPr>
        <w:t>131</w:t>
      </w:r>
      <w:r w:rsidRPr="00893066">
        <w:rPr>
          <w:b/>
          <w:color w:val="000000"/>
          <w:spacing w:val="-2"/>
          <w:szCs w:val="22"/>
        </w:rPr>
        <w:t>, CSR</w:t>
      </w:r>
      <w:r w:rsidR="008A2262">
        <w:rPr>
          <w:b/>
          <w:color w:val="000000"/>
          <w:spacing w:val="-2"/>
          <w:szCs w:val="22"/>
        </w:rPr>
        <w:t xml:space="preserve"> </w:t>
      </w:r>
      <w:r>
        <w:rPr>
          <w:b/>
          <w:color w:val="000000"/>
          <w:spacing w:val="-2"/>
          <w:szCs w:val="22"/>
        </w:rPr>
        <w:t>8794</w:t>
      </w:r>
      <w:r w:rsidRPr="00893066">
        <w:rPr>
          <w:b/>
          <w:color w:val="000000"/>
          <w:spacing w:val="-2"/>
          <w:szCs w:val="22"/>
        </w:rPr>
        <w:t>-E</w:t>
      </w:r>
    </w:p>
    <w:p w14:paraId="79903DF0" w14:textId="77777777" w:rsidR="002C1AF8" w:rsidRPr="00893066" w:rsidRDefault="002C1AF8" w:rsidP="002C1AF8">
      <w:pPr>
        <w:tabs>
          <w:tab w:val="center" w:pos="4680"/>
        </w:tabs>
        <w:suppressAutoHyphens/>
        <w:jc w:val="center"/>
        <w:rPr>
          <w:b/>
          <w:color w:val="000000"/>
          <w:spacing w:val="-2"/>
          <w:szCs w:val="22"/>
        </w:rPr>
      </w:pPr>
      <w:r>
        <w:rPr>
          <w:b/>
          <w:color w:val="000000"/>
          <w:spacing w:val="-2"/>
          <w:szCs w:val="22"/>
        </w:rPr>
        <w:t>MB Docket No. 13</w:t>
      </w:r>
      <w:r w:rsidRPr="00893066">
        <w:rPr>
          <w:b/>
          <w:color w:val="000000"/>
          <w:spacing w:val="-2"/>
          <w:szCs w:val="22"/>
        </w:rPr>
        <w:t>-</w:t>
      </w:r>
      <w:r>
        <w:rPr>
          <w:b/>
          <w:color w:val="000000"/>
          <w:spacing w:val="-2"/>
          <w:szCs w:val="22"/>
        </w:rPr>
        <w:t>132</w:t>
      </w:r>
      <w:r w:rsidRPr="00893066">
        <w:rPr>
          <w:b/>
          <w:color w:val="000000"/>
          <w:spacing w:val="-2"/>
          <w:szCs w:val="22"/>
        </w:rPr>
        <w:t>, CSR</w:t>
      </w:r>
      <w:r w:rsidR="008A2262">
        <w:rPr>
          <w:b/>
          <w:color w:val="000000"/>
          <w:spacing w:val="-2"/>
          <w:szCs w:val="22"/>
        </w:rPr>
        <w:t xml:space="preserve"> </w:t>
      </w:r>
      <w:r>
        <w:rPr>
          <w:b/>
          <w:color w:val="000000"/>
          <w:spacing w:val="-2"/>
          <w:szCs w:val="22"/>
        </w:rPr>
        <w:t>8795</w:t>
      </w:r>
      <w:r w:rsidRPr="00893066">
        <w:rPr>
          <w:b/>
          <w:color w:val="000000"/>
          <w:spacing w:val="-2"/>
          <w:szCs w:val="22"/>
        </w:rPr>
        <w:t>-E</w:t>
      </w:r>
    </w:p>
    <w:p w14:paraId="2DA52C14" w14:textId="77777777" w:rsidR="002C1AF8" w:rsidRPr="00893066" w:rsidRDefault="002C1AF8" w:rsidP="002C1AF8">
      <w:pPr>
        <w:tabs>
          <w:tab w:val="center" w:pos="4680"/>
        </w:tabs>
        <w:suppressAutoHyphens/>
        <w:jc w:val="center"/>
        <w:rPr>
          <w:b/>
          <w:color w:val="000000"/>
          <w:spacing w:val="-2"/>
          <w:szCs w:val="22"/>
        </w:rPr>
      </w:pPr>
      <w:r>
        <w:rPr>
          <w:b/>
          <w:color w:val="000000"/>
          <w:spacing w:val="-2"/>
          <w:szCs w:val="22"/>
        </w:rPr>
        <w:t>MB Docket No. 13</w:t>
      </w:r>
      <w:r w:rsidRPr="00893066">
        <w:rPr>
          <w:b/>
          <w:color w:val="000000"/>
          <w:spacing w:val="-2"/>
          <w:szCs w:val="22"/>
        </w:rPr>
        <w:t>-</w:t>
      </w:r>
      <w:r>
        <w:rPr>
          <w:b/>
          <w:color w:val="000000"/>
          <w:spacing w:val="-2"/>
          <w:szCs w:val="22"/>
        </w:rPr>
        <w:t>133</w:t>
      </w:r>
      <w:r w:rsidRPr="00893066">
        <w:rPr>
          <w:b/>
          <w:color w:val="000000"/>
          <w:spacing w:val="-2"/>
          <w:szCs w:val="22"/>
        </w:rPr>
        <w:t>, CSR</w:t>
      </w:r>
      <w:r w:rsidR="008A2262">
        <w:rPr>
          <w:b/>
          <w:color w:val="000000"/>
          <w:spacing w:val="-2"/>
          <w:szCs w:val="22"/>
        </w:rPr>
        <w:t xml:space="preserve"> </w:t>
      </w:r>
      <w:r>
        <w:rPr>
          <w:b/>
          <w:color w:val="000000"/>
          <w:spacing w:val="-2"/>
          <w:szCs w:val="22"/>
        </w:rPr>
        <w:t>8796</w:t>
      </w:r>
      <w:r w:rsidRPr="00893066">
        <w:rPr>
          <w:b/>
          <w:color w:val="000000"/>
          <w:spacing w:val="-2"/>
          <w:szCs w:val="22"/>
        </w:rPr>
        <w:t>-E</w:t>
      </w:r>
    </w:p>
    <w:p w14:paraId="3498D9E7" w14:textId="77777777" w:rsidR="002C1AF8" w:rsidRPr="00893066" w:rsidRDefault="002C1AF8" w:rsidP="002C1AF8">
      <w:pPr>
        <w:pStyle w:val="ParaNum"/>
        <w:numPr>
          <w:ilvl w:val="0"/>
          <w:numId w:val="0"/>
        </w:numPr>
        <w:tabs>
          <w:tab w:val="clear" w:pos="1440"/>
          <w:tab w:val="left" w:pos="720"/>
        </w:tabs>
        <w:spacing w:after="0"/>
        <w:jc w:val="center"/>
        <w:rPr>
          <w:b/>
          <w:color w:val="000000"/>
          <w:szCs w:val="22"/>
        </w:rPr>
      </w:pPr>
    </w:p>
    <w:p w14:paraId="66EC3634" w14:textId="77777777" w:rsidR="002C1AF8" w:rsidRPr="00893066" w:rsidRDefault="002C1AF8" w:rsidP="002C1AF8">
      <w:pPr>
        <w:pStyle w:val="ParaNum"/>
        <w:numPr>
          <w:ilvl w:val="0"/>
          <w:numId w:val="0"/>
        </w:numPr>
        <w:tabs>
          <w:tab w:val="clear" w:pos="1440"/>
          <w:tab w:val="left" w:pos="720"/>
        </w:tabs>
        <w:spacing w:after="0"/>
        <w:jc w:val="center"/>
        <w:rPr>
          <w:color w:val="000000"/>
          <w:szCs w:val="22"/>
        </w:rPr>
      </w:pPr>
      <w:r w:rsidRPr="00893066">
        <w:rPr>
          <w:b/>
          <w:color w:val="000000"/>
          <w:szCs w:val="22"/>
        </w:rPr>
        <w:t xml:space="preserve">       COMMUNITIES SERVED BY </w:t>
      </w:r>
      <w:r w:rsidRPr="00893066">
        <w:rPr>
          <w:b/>
          <w:caps/>
          <w:color w:val="000000"/>
          <w:szCs w:val="22"/>
        </w:rPr>
        <w:t>Comcast Cable Communications, LLC</w:t>
      </w:r>
      <w:r w:rsidRPr="00893066">
        <w:rPr>
          <w:color w:val="000000"/>
          <w:szCs w:val="22"/>
        </w:rPr>
        <w:tab/>
      </w:r>
    </w:p>
    <w:p w14:paraId="0EE84714" w14:textId="77777777" w:rsidR="002C1AF8" w:rsidRPr="00893066" w:rsidRDefault="002C1AF8" w:rsidP="002C1AF8">
      <w:pPr>
        <w:pStyle w:val="EndnoteText"/>
        <w:spacing w:after="0"/>
        <w:rPr>
          <w:color w:val="000000"/>
          <w:szCs w:val="22"/>
        </w:rPr>
      </w:pPr>
      <w:r w:rsidRPr="00893066">
        <w:rPr>
          <w:b/>
          <w:color w:val="000000"/>
          <w:szCs w:val="22"/>
        </w:rPr>
        <w:t xml:space="preserve">  </w:t>
      </w:r>
    </w:p>
    <w:tbl>
      <w:tblPr>
        <w:tblW w:w="90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350"/>
        <w:gridCol w:w="1440"/>
        <w:gridCol w:w="1800"/>
        <w:gridCol w:w="1890"/>
      </w:tblGrid>
      <w:tr w:rsidR="002C1AF8" w:rsidRPr="00893066" w14:paraId="724E70B4" w14:textId="77777777" w:rsidTr="00FB32D2">
        <w:tc>
          <w:tcPr>
            <w:tcW w:w="2520" w:type="dxa"/>
            <w:tcMar>
              <w:top w:w="28" w:type="dxa"/>
              <w:left w:w="28" w:type="dxa"/>
              <w:bottom w:w="28" w:type="dxa"/>
              <w:right w:w="28" w:type="dxa"/>
            </w:tcMar>
          </w:tcPr>
          <w:p w14:paraId="7FFB8A1A" w14:textId="77777777" w:rsidR="002C1AF8" w:rsidRPr="00893066" w:rsidRDefault="002C1AF8" w:rsidP="00FB32D2">
            <w:pPr>
              <w:autoSpaceDE w:val="0"/>
              <w:autoSpaceDN w:val="0"/>
              <w:adjustRightInd w:val="0"/>
              <w:jc w:val="center"/>
              <w:rPr>
                <w:b/>
                <w:color w:val="000000"/>
                <w:szCs w:val="22"/>
              </w:rPr>
            </w:pPr>
          </w:p>
          <w:p w14:paraId="6FEDFE5B" w14:textId="77777777" w:rsidR="002C1AF8" w:rsidRPr="00893066" w:rsidRDefault="002C1AF8" w:rsidP="00FB32D2">
            <w:pPr>
              <w:autoSpaceDE w:val="0"/>
              <w:autoSpaceDN w:val="0"/>
              <w:adjustRightInd w:val="0"/>
              <w:jc w:val="center"/>
              <w:rPr>
                <w:b/>
                <w:color w:val="000000"/>
                <w:szCs w:val="22"/>
              </w:rPr>
            </w:pPr>
            <w:r w:rsidRPr="00893066">
              <w:rPr>
                <w:b/>
                <w:color w:val="000000"/>
                <w:szCs w:val="22"/>
              </w:rPr>
              <w:t>Communities</w:t>
            </w:r>
          </w:p>
        </w:tc>
        <w:tc>
          <w:tcPr>
            <w:tcW w:w="1350" w:type="dxa"/>
            <w:tcMar>
              <w:top w:w="28" w:type="dxa"/>
              <w:left w:w="28" w:type="dxa"/>
              <w:bottom w:w="28" w:type="dxa"/>
              <w:right w:w="28" w:type="dxa"/>
            </w:tcMar>
          </w:tcPr>
          <w:p w14:paraId="1843CD17" w14:textId="77777777" w:rsidR="002C1AF8" w:rsidRPr="00893066" w:rsidRDefault="002C1AF8" w:rsidP="00FB32D2">
            <w:pPr>
              <w:autoSpaceDE w:val="0"/>
              <w:autoSpaceDN w:val="0"/>
              <w:adjustRightInd w:val="0"/>
              <w:jc w:val="center"/>
              <w:rPr>
                <w:b/>
                <w:color w:val="000000"/>
                <w:szCs w:val="22"/>
              </w:rPr>
            </w:pPr>
          </w:p>
          <w:p w14:paraId="7C1FB1B6" w14:textId="77777777" w:rsidR="002C1AF8" w:rsidRPr="00893066" w:rsidRDefault="002C1AF8" w:rsidP="00FB32D2">
            <w:pPr>
              <w:autoSpaceDE w:val="0"/>
              <w:autoSpaceDN w:val="0"/>
              <w:adjustRightInd w:val="0"/>
              <w:jc w:val="center"/>
              <w:rPr>
                <w:b/>
                <w:color w:val="000000"/>
                <w:szCs w:val="22"/>
              </w:rPr>
            </w:pPr>
            <w:r w:rsidRPr="00893066">
              <w:rPr>
                <w:b/>
                <w:color w:val="000000"/>
                <w:szCs w:val="22"/>
              </w:rPr>
              <w:t xml:space="preserve">CUIDs  </w:t>
            </w:r>
          </w:p>
        </w:tc>
        <w:tc>
          <w:tcPr>
            <w:tcW w:w="1440" w:type="dxa"/>
            <w:tcMar>
              <w:top w:w="28" w:type="dxa"/>
              <w:left w:w="28" w:type="dxa"/>
              <w:bottom w:w="28" w:type="dxa"/>
              <w:right w:w="28" w:type="dxa"/>
            </w:tcMar>
          </w:tcPr>
          <w:p w14:paraId="66F18275" w14:textId="77777777" w:rsidR="002C1AF8" w:rsidRPr="00893066" w:rsidRDefault="002C1AF8" w:rsidP="00FB32D2">
            <w:pPr>
              <w:autoSpaceDE w:val="0"/>
              <w:autoSpaceDN w:val="0"/>
              <w:adjustRightInd w:val="0"/>
              <w:jc w:val="center"/>
              <w:rPr>
                <w:b/>
                <w:color w:val="000000"/>
                <w:szCs w:val="22"/>
              </w:rPr>
            </w:pPr>
          </w:p>
          <w:p w14:paraId="5A26BFB5" w14:textId="77777777" w:rsidR="002C1AF8" w:rsidRPr="00893066" w:rsidRDefault="002C1AF8" w:rsidP="00FB32D2">
            <w:pPr>
              <w:autoSpaceDE w:val="0"/>
              <w:autoSpaceDN w:val="0"/>
              <w:adjustRightInd w:val="0"/>
              <w:jc w:val="center"/>
              <w:rPr>
                <w:b/>
                <w:color w:val="000000"/>
                <w:szCs w:val="22"/>
              </w:rPr>
            </w:pPr>
            <w:r w:rsidRPr="00893066">
              <w:rPr>
                <w:b/>
                <w:color w:val="000000"/>
                <w:szCs w:val="22"/>
              </w:rPr>
              <w:t>CPR*</w:t>
            </w:r>
          </w:p>
        </w:tc>
        <w:tc>
          <w:tcPr>
            <w:tcW w:w="1800" w:type="dxa"/>
            <w:tcMar>
              <w:top w:w="28" w:type="dxa"/>
              <w:left w:w="28" w:type="dxa"/>
              <w:bottom w:w="28" w:type="dxa"/>
              <w:right w:w="28" w:type="dxa"/>
            </w:tcMar>
          </w:tcPr>
          <w:p w14:paraId="1B95709A" w14:textId="77777777" w:rsidR="002C1AF8" w:rsidRPr="00893066" w:rsidRDefault="002C1AF8" w:rsidP="00FB32D2">
            <w:pPr>
              <w:autoSpaceDE w:val="0"/>
              <w:autoSpaceDN w:val="0"/>
              <w:adjustRightInd w:val="0"/>
              <w:jc w:val="center"/>
              <w:rPr>
                <w:b/>
                <w:color w:val="000000"/>
                <w:szCs w:val="22"/>
              </w:rPr>
            </w:pPr>
            <w:r w:rsidRPr="00893066">
              <w:rPr>
                <w:b/>
                <w:color w:val="000000"/>
                <w:szCs w:val="22"/>
              </w:rPr>
              <w:t>2010 Census</w:t>
            </w:r>
          </w:p>
          <w:p w14:paraId="4F0D825C" w14:textId="77777777" w:rsidR="002C1AF8" w:rsidRPr="00893066" w:rsidRDefault="002C1AF8" w:rsidP="00FB32D2">
            <w:pPr>
              <w:autoSpaceDE w:val="0"/>
              <w:autoSpaceDN w:val="0"/>
              <w:adjustRightInd w:val="0"/>
              <w:jc w:val="center"/>
              <w:rPr>
                <w:b/>
                <w:color w:val="000000"/>
                <w:szCs w:val="22"/>
              </w:rPr>
            </w:pPr>
            <w:r w:rsidRPr="00893066">
              <w:rPr>
                <w:b/>
                <w:color w:val="000000"/>
                <w:szCs w:val="22"/>
              </w:rPr>
              <w:t>Households</w:t>
            </w:r>
          </w:p>
        </w:tc>
        <w:tc>
          <w:tcPr>
            <w:tcW w:w="1890" w:type="dxa"/>
            <w:tcMar>
              <w:top w:w="28" w:type="dxa"/>
              <w:left w:w="28" w:type="dxa"/>
              <w:bottom w:w="28" w:type="dxa"/>
              <w:right w:w="28" w:type="dxa"/>
            </w:tcMar>
          </w:tcPr>
          <w:p w14:paraId="544EE906" w14:textId="77777777" w:rsidR="002C1AF8" w:rsidRPr="00893066" w:rsidRDefault="002C1AF8" w:rsidP="00FB32D2">
            <w:pPr>
              <w:autoSpaceDE w:val="0"/>
              <w:autoSpaceDN w:val="0"/>
              <w:adjustRightInd w:val="0"/>
              <w:jc w:val="center"/>
              <w:rPr>
                <w:b/>
                <w:color w:val="000000"/>
                <w:szCs w:val="22"/>
              </w:rPr>
            </w:pPr>
            <w:r w:rsidRPr="00893066">
              <w:rPr>
                <w:b/>
                <w:color w:val="000000"/>
                <w:szCs w:val="22"/>
              </w:rPr>
              <w:t>Estimated DBS Subscribers</w:t>
            </w:r>
          </w:p>
        </w:tc>
      </w:tr>
      <w:tr w:rsidR="002C1AF8" w:rsidRPr="00893066" w14:paraId="209A15E5" w14:textId="77777777" w:rsidTr="00FB32D2">
        <w:tc>
          <w:tcPr>
            <w:tcW w:w="900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46AE50" w14:textId="77777777" w:rsidR="002C1AF8" w:rsidRDefault="002C1AF8" w:rsidP="00FB32D2">
            <w:pPr>
              <w:autoSpaceDE w:val="0"/>
              <w:autoSpaceDN w:val="0"/>
              <w:adjustRightInd w:val="0"/>
              <w:rPr>
                <w:color w:val="000000"/>
                <w:szCs w:val="22"/>
              </w:rPr>
            </w:pPr>
            <w:r>
              <w:rPr>
                <w:b/>
                <w:color w:val="000000"/>
                <w:szCs w:val="22"/>
              </w:rPr>
              <w:t>MB Docket No. 13-131</w:t>
            </w:r>
          </w:p>
        </w:tc>
      </w:tr>
      <w:tr w:rsidR="002C1AF8" w:rsidRPr="00893066" w14:paraId="7F170D56"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46BC12" w14:textId="77777777" w:rsidR="002C1AF8" w:rsidRPr="00893066" w:rsidRDefault="002C1AF8" w:rsidP="00FB32D2">
            <w:pPr>
              <w:autoSpaceDE w:val="0"/>
              <w:autoSpaceDN w:val="0"/>
              <w:adjustRightInd w:val="0"/>
              <w:jc w:val="center"/>
              <w:rPr>
                <w:color w:val="000000"/>
                <w:szCs w:val="22"/>
              </w:rPr>
            </w:pPr>
            <w:r>
              <w:rPr>
                <w:color w:val="000000"/>
                <w:szCs w:val="22"/>
              </w:rPr>
              <w:t>Lexington</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A9DC1F" w14:textId="77777777" w:rsidR="002C1AF8" w:rsidRPr="00893066" w:rsidRDefault="002C1AF8" w:rsidP="00FB32D2">
            <w:pPr>
              <w:autoSpaceDE w:val="0"/>
              <w:autoSpaceDN w:val="0"/>
              <w:adjustRightInd w:val="0"/>
              <w:jc w:val="center"/>
              <w:rPr>
                <w:color w:val="000000"/>
                <w:szCs w:val="22"/>
              </w:rPr>
            </w:pPr>
            <w:r>
              <w:rPr>
                <w:color w:val="000000"/>
                <w:szCs w:val="22"/>
              </w:rPr>
              <w:t>MN0375</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6E8C71" w14:textId="77777777" w:rsidR="002C1AF8" w:rsidRPr="00893066" w:rsidRDefault="002C1AF8" w:rsidP="00FB32D2">
            <w:pPr>
              <w:autoSpaceDE w:val="0"/>
              <w:autoSpaceDN w:val="0"/>
              <w:adjustRightInd w:val="0"/>
              <w:jc w:val="center"/>
              <w:rPr>
                <w:color w:val="000000"/>
                <w:szCs w:val="22"/>
              </w:rPr>
            </w:pPr>
            <w:r>
              <w:rPr>
                <w:color w:val="000000"/>
                <w:szCs w:val="22"/>
              </w:rPr>
              <w:t>21.60%</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0EBC92" w14:textId="77777777" w:rsidR="002C1AF8" w:rsidRPr="00893066" w:rsidRDefault="002C1AF8" w:rsidP="00FB32D2">
            <w:pPr>
              <w:autoSpaceDE w:val="0"/>
              <w:autoSpaceDN w:val="0"/>
              <w:adjustRightInd w:val="0"/>
              <w:jc w:val="center"/>
              <w:rPr>
                <w:color w:val="000000"/>
                <w:szCs w:val="22"/>
              </w:rPr>
            </w:pPr>
            <w:r>
              <w:rPr>
                <w:color w:val="000000"/>
                <w:szCs w:val="22"/>
              </w:rPr>
              <w:t>787</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64E7A3" w14:textId="77777777" w:rsidR="002C1AF8" w:rsidRPr="00893066" w:rsidRDefault="002C1AF8" w:rsidP="00FB32D2">
            <w:pPr>
              <w:autoSpaceDE w:val="0"/>
              <w:autoSpaceDN w:val="0"/>
              <w:adjustRightInd w:val="0"/>
              <w:jc w:val="center"/>
              <w:rPr>
                <w:color w:val="000000"/>
                <w:szCs w:val="22"/>
              </w:rPr>
            </w:pPr>
            <w:r>
              <w:rPr>
                <w:color w:val="000000"/>
                <w:szCs w:val="22"/>
              </w:rPr>
              <w:t>170</w:t>
            </w:r>
          </w:p>
        </w:tc>
      </w:tr>
      <w:tr w:rsidR="002C1AF8" w:rsidRPr="00893066" w14:paraId="4AAA8171" w14:textId="77777777" w:rsidTr="00FB32D2">
        <w:tc>
          <w:tcPr>
            <w:tcW w:w="900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679421" w14:textId="77777777" w:rsidR="002C1AF8" w:rsidRPr="00893066" w:rsidRDefault="002C1AF8" w:rsidP="00FB32D2">
            <w:pPr>
              <w:autoSpaceDE w:val="0"/>
              <w:autoSpaceDN w:val="0"/>
              <w:adjustRightInd w:val="0"/>
              <w:rPr>
                <w:color w:val="000000"/>
                <w:szCs w:val="22"/>
              </w:rPr>
            </w:pPr>
            <w:r>
              <w:rPr>
                <w:b/>
                <w:color w:val="000000"/>
                <w:szCs w:val="22"/>
              </w:rPr>
              <w:t>MB Docket No. 13-132</w:t>
            </w:r>
          </w:p>
        </w:tc>
      </w:tr>
      <w:tr w:rsidR="002C1AF8" w:rsidRPr="00893066" w14:paraId="64EB364B"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34A286" w14:textId="77777777" w:rsidR="002C1AF8" w:rsidRPr="00893066" w:rsidRDefault="002C1AF8" w:rsidP="00FB32D2">
            <w:pPr>
              <w:autoSpaceDE w:val="0"/>
              <w:autoSpaceDN w:val="0"/>
              <w:adjustRightInd w:val="0"/>
              <w:jc w:val="center"/>
              <w:rPr>
                <w:color w:val="000000"/>
                <w:szCs w:val="22"/>
              </w:rPr>
            </w:pPr>
            <w:r>
              <w:rPr>
                <w:color w:val="000000"/>
                <w:szCs w:val="22"/>
              </w:rPr>
              <w:t>Arden Hills</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4B9352" w14:textId="77777777" w:rsidR="002C1AF8" w:rsidRPr="00893066" w:rsidRDefault="002C1AF8" w:rsidP="00FB32D2">
            <w:pPr>
              <w:autoSpaceDE w:val="0"/>
              <w:autoSpaceDN w:val="0"/>
              <w:adjustRightInd w:val="0"/>
              <w:jc w:val="center"/>
              <w:rPr>
                <w:color w:val="000000"/>
                <w:szCs w:val="22"/>
              </w:rPr>
            </w:pPr>
            <w:r>
              <w:rPr>
                <w:color w:val="000000"/>
                <w:szCs w:val="22"/>
              </w:rPr>
              <w:t>MN0297</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5F83D0" w14:textId="77777777" w:rsidR="002C1AF8" w:rsidRPr="00893066" w:rsidRDefault="002C1AF8" w:rsidP="00FB32D2">
            <w:pPr>
              <w:autoSpaceDE w:val="0"/>
              <w:autoSpaceDN w:val="0"/>
              <w:adjustRightInd w:val="0"/>
              <w:jc w:val="center"/>
              <w:rPr>
                <w:color w:val="000000"/>
                <w:szCs w:val="22"/>
              </w:rPr>
            </w:pPr>
            <w:r>
              <w:rPr>
                <w:color w:val="000000"/>
                <w:szCs w:val="22"/>
              </w:rPr>
              <w:t>17.96%</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07FEF" w14:textId="77777777" w:rsidR="002C1AF8" w:rsidRPr="00893066" w:rsidRDefault="002C1AF8" w:rsidP="00FB32D2">
            <w:pPr>
              <w:autoSpaceDE w:val="0"/>
              <w:autoSpaceDN w:val="0"/>
              <w:adjustRightInd w:val="0"/>
              <w:jc w:val="center"/>
              <w:rPr>
                <w:color w:val="000000"/>
                <w:szCs w:val="22"/>
              </w:rPr>
            </w:pPr>
            <w:r>
              <w:rPr>
                <w:color w:val="000000"/>
                <w:szCs w:val="22"/>
              </w:rPr>
              <w:t>2,957</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489E3D" w14:textId="77777777" w:rsidR="002C1AF8" w:rsidRPr="00893066" w:rsidRDefault="002C1AF8" w:rsidP="00FB32D2">
            <w:pPr>
              <w:autoSpaceDE w:val="0"/>
              <w:autoSpaceDN w:val="0"/>
              <w:adjustRightInd w:val="0"/>
              <w:jc w:val="center"/>
              <w:rPr>
                <w:color w:val="000000"/>
                <w:szCs w:val="22"/>
              </w:rPr>
            </w:pPr>
            <w:r>
              <w:rPr>
                <w:color w:val="000000"/>
                <w:szCs w:val="22"/>
              </w:rPr>
              <w:t>531</w:t>
            </w:r>
          </w:p>
        </w:tc>
      </w:tr>
      <w:tr w:rsidR="002C1AF8" w:rsidRPr="00893066" w14:paraId="5A9EA08E"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8EC010" w14:textId="77777777" w:rsidR="002C1AF8" w:rsidRPr="00893066" w:rsidRDefault="002C1AF8" w:rsidP="00FB32D2">
            <w:pPr>
              <w:autoSpaceDE w:val="0"/>
              <w:autoSpaceDN w:val="0"/>
              <w:adjustRightInd w:val="0"/>
              <w:jc w:val="center"/>
              <w:rPr>
                <w:color w:val="000000"/>
                <w:szCs w:val="22"/>
              </w:rPr>
            </w:pPr>
            <w:r>
              <w:rPr>
                <w:color w:val="000000"/>
                <w:szCs w:val="22"/>
              </w:rPr>
              <w:t>Little Canada</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6AFBAE" w14:textId="77777777" w:rsidR="002C1AF8" w:rsidRPr="00893066" w:rsidRDefault="002C1AF8" w:rsidP="00FB32D2">
            <w:pPr>
              <w:autoSpaceDE w:val="0"/>
              <w:autoSpaceDN w:val="0"/>
              <w:adjustRightInd w:val="0"/>
              <w:jc w:val="center"/>
              <w:rPr>
                <w:color w:val="000000"/>
                <w:szCs w:val="22"/>
              </w:rPr>
            </w:pPr>
            <w:r>
              <w:rPr>
                <w:color w:val="000000"/>
                <w:szCs w:val="22"/>
              </w:rPr>
              <w:t>MN0300</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462231" w14:textId="77777777" w:rsidR="002C1AF8" w:rsidRPr="00893066" w:rsidRDefault="002C1AF8" w:rsidP="00FB32D2">
            <w:pPr>
              <w:autoSpaceDE w:val="0"/>
              <w:autoSpaceDN w:val="0"/>
              <w:adjustRightInd w:val="0"/>
              <w:jc w:val="center"/>
              <w:rPr>
                <w:color w:val="000000"/>
                <w:szCs w:val="22"/>
              </w:rPr>
            </w:pPr>
            <w:r>
              <w:rPr>
                <w:color w:val="000000"/>
                <w:szCs w:val="22"/>
              </w:rPr>
              <w:t>17.91%</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9AA5C9" w14:textId="77777777" w:rsidR="002C1AF8" w:rsidRPr="00893066" w:rsidRDefault="002C1AF8" w:rsidP="00FB32D2">
            <w:pPr>
              <w:autoSpaceDE w:val="0"/>
              <w:autoSpaceDN w:val="0"/>
              <w:adjustRightInd w:val="0"/>
              <w:jc w:val="center"/>
              <w:rPr>
                <w:color w:val="000000"/>
                <w:szCs w:val="22"/>
              </w:rPr>
            </w:pPr>
            <w:r>
              <w:rPr>
                <w:color w:val="000000"/>
                <w:szCs w:val="22"/>
              </w:rPr>
              <w:t>4,393</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D7171D" w14:textId="77777777" w:rsidR="002C1AF8" w:rsidRPr="00893066" w:rsidRDefault="002C1AF8" w:rsidP="00FB32D2">
            <w:pPr>
              <w:autoSpaceDE w:val="0"/>
              <w:autoSpaceDN w:val="0"/>
              <w:adjustRightInd w:val="0"/>
              <w:jc w:val="center"/>
              <w:rPr>
                <w:color w:val="000000"/>
                <w:szCs w:val="22"/>
              </w:rPr>
            </w:pPr>
            <w:r>
              <w:rPr>
                <w:color w:val="000000"/>
                <w:szCs w:val="22"/>
              </w:rPr>
              <w:t>787</w:t>
            </w:r>
          </w:p>
        </w:tc>
      </w:tr>
      <w:tr w:rsidR="002C1AF8" w:rsidRPr="00893066" w14:paraId="5FCCFE29"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824C71" w14:textId="77777777" w:rsidR="002C1AF8" w:rsidRPr="00893066" w:rsidRDefault="002C1AF8" w:rsidP="00FB32D2">
            <w:pPr>
              <w:autoSpaceDE w:val="0"/>
              <w:autoSpaceDN w:val="0"/>
              <w:adjustRightInd w:val="0"/>
              <w:jc w:val="center"/>
              <w:rPr>
                <w:color w:val="000000"/>
                <w:szCs w:val="22"/>
              </w:rPr>
            </w:pPr>
            <w:r>
              <w:rPr>
                <w:color w:val="000000"/>
                <w:szCs w:val="22"/>
              </w:rPr>
              <w:t>Mounds View</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BB5143" w14:textId="77777777" w:rsidR="002C1AF8" w:rsidRPr="00893066" w:rsidRDefault="002C1AF8" w:rsidP="00FB32D2">
            <w:pPr>
              <w:autoSpaceDE w:val="0"/>
              <w:autoSpaceDN w:val="0"/>
              <w:adjustRightInd w:val="0"/>
              <w:jc w:val="center"/>
              <w:rPr>
                <w:color w:val="000000"/>
                <w:szCs w:val="22"/>
              </w:rPr>
            </w:pPr>
            <w:r>
              <w:rPr>
                <w:color w:val="000000"/>
                <w:szCs w:val="22"/>
              </w:rPr>
              <w:t>MN0301</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293262" w14:textId="77777777" w:rsidR="002C1AF8" w:rsidRPr="00893066" w:rsidRDefault="002C1AF8" w:rsidP="00FB32D2">
            <w:pPr>
              <w:autoSpaceDE w:val="0"/>
              <w:autoSpaceDN w:val="0"/>
              <w:adjustRightInd w:val="0"/>
              <w:jc w:val="center"/>
              <w:rPr>
                <w:color w:val="000000"/>
                <w:szCs w:val="22"/>
              </w:rPr>
            </w:pPr>
            <w:r>
              <w:rPr>
                <w:color w:val="000000"/>
                <w:szCs w:val="22"/>
              </w:rPr>
              <w:t>21.80%</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EB889" w14:textId="77777777" w:rsidR="002C1AF8" w:rsidRPr="00893066" w:rsidRDefault="002C1AF8" w:rsidP="00FB32D2">
            <w:pPr>
              <w:autoSpaceDE w:val="0"/>
              <w:autoSpaceDN w:val="0"/>
              <w:adjustRightInd w:val="0"/>
              <w:jc w:val="center"/>
              <w:rPr>
                <w:color w:val="000000"/>
                <w:szCs w:val="22"/>
              </w:rPr>
            </w:pPr>
            <w:r>
              <w:rPr>
                <w:color w:val="000000"/>
                <w:szCs w:val="22"/>
              </w:rPr>
              <w:t>4,954</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A3EEF" w14:textId="77777777" w:rsidR="002C1AF8" w:rsidRPr="00893066" w:rsidRDefault="002C1AF8" w:rsidP="00FB32D2">
            <w:pPr>
              <w:autoSpaceDE w:val="0"/>
              <w:autoSpaceDN w:val="0"/>
              <w:adjustRightInd w:val="0"/>
              <w:jc w:val="center"/>
              <w:rPr>
                <w:color w:val="000000"/>
                <w:szCs w:val="22"/>
              </w:rPr>
            </w:pPr>
            <w:r>
              <w:rPr>
                <w:color w:val="000000"/>
                <w:szCs w:val="22"/>
              </w:rPr>
              <w:t>1,080</w:t>
            </w:r>
          </w:p>
        </w:tc>
      </w:tr>
      <w:tr w:rsidR="002C1AF8" w:rsidRPr="00893066" w14:paraId="721700BE"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F5298" w14:textId="77777777" w:rsidR="002C1AF8" w:rsidRPr="00893066" w:rsidRDefault="002C1AF8" w:rsidP="00FB32D2">
            <w:pPr>
              <w:autoSpaceDE w:val="0"/>
              <w:autoSpaceDN w:val="0"/>
              <w:adjustRightInd w:val="0"/>
              <w:jc w:val="center"/>
              <w:rPr>
                <w:color w:val="000000"/>
                <w:szCs w:val="22"/>
              </w:rPr>
            </w:pPr>
            <w:r>
              <w:rPr>
                <w:color w:val="000000"/>
                <w:szCs w:val="22"/>
              </w:rPr>
              <w:t>New Brighton</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507A0B" w14:textId="77777777" w:rsidR="002C1AF8" w:rsidRPr="00893066" w:rsidRDefault="002C1AF8" w:rsidP="00FB32D2">
            <w:pPr>
              <w:autoSpaceDE w:val="0"/>
              <w:autoSpaceDN w:val="0"/>
              <w:adjustRightInd w:val="0"/>
              <w:jc w:val="center"/>
              <w:rPr>
                <w:color w:val="000000"/>
                <w:szCs w:val="22"/>
              </w:rPr>
            </w:pPr>
            <w:r>
              <w:rPr>
                <w:color w:val="000000"/>
                <w:szCs w:val="22"/>
              </w:rPr>
              <w:t>MN0302</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66D641" w14:textId="77777777" w:rsidR="002C1AF8" w:rsidRPr="00893066" w:rsidRDefault="002C1AF8" w:rsidP="00FB32D2">
            <w:pPr>
              <w:autoSpaceDE w:val="0"/>
              <w:autoSpaceDN w:val="0"/>
              <w:adjustRightInd w:val="0"/>
              <w:jc w:val="center"/>
              <w:rPr>
                <w:color w:val="000000"/>
                <w:szCs w:val="22"/>
              </w:rPr>
            </w:pPr>
            <w:r>
              <w:rPr>
                <w:color w:val="000000"/>
                <w:szCs w:val="22"/>
              </w:rPr>
              <w:t>17.77%</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668C9" w14:textId="77777777" w:rsidR="002C1AF8" w:rsidRPr="00893066" w:rsidRDefault="002C1AF8" w:rsidP="00FB32D2">
            <w:pPr>
              <w:autoSpaceDE w:val="0"/>
              <w:autoSpaceDN w:val="0"/>
              <w:adjustRightInd w:val="0"/>
              <w:jc w:val="center"/>
              <w:rPr>
                <w:color w:val="000000"/>
                <w:szCs w:val="22"/>
              </w:rPr>
            </w:pPr>
            <w:r>
              <w:rPr>
                <w:color w:val="000000"/>
                <w:szCs w:val="22"/>
              </w:rPr>
              <w:t>8,915</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5EB372" w14:textId="77777777" w:rsidR="002C1AF8" w:rsidRPr="00893066" w:rsidRDefault="002C1AF8" w:rsidP="00FB32D2">
            <w:pPr>
              <w:autoSpaceDE w:val="0"/>
              <w:autoSpaceDN w:val="0"/>
              <w:adjustRightInd w:val="0"/>
              <w:jc w:val="center"/>
              <w:rPr>
                <w:color w:val="000000"/>
                <w:szCs w:val="22"/>
              </w:rPr>
            </w:pPr>
            <w:r>
              <w:rPr>
                <w:color w:val="000000"/>
                <w:szCs w:val="22"/>
              </w:rPr>
              <w:t>1,584</w:t>
            </w:r>
          </w:p>
        </w:tc>
      </w:tr>
      <w:tr w:rsidR="002C1AF8" w:rsidRPr="00893066" w14:paraId="13D1F93C"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845B2D" w14:textId="77777777" w:rsidR="002C1AF8" w:rsidRPr="00893066" w:rsidRDefault="002C1AF8" w:rsidP="00FB32D2">
            <w:pPr>
              <w:autoSpaceDE w:val="0"/>
              <w:autoSpaceDN w:val="0"/>
              <w:adjustRightInd w:val="0"/>
              <w:jc w:val="center"/>
              <w:rPr>
                <w:color w:val="000000"/>
                <w:szCs w:val="22"/>
              </w:rPr>
            </w:pPr>
            <w:r>
              <w:rPr>
                <w:color w:val="000000"/>
                <w:szCs w:val="22"/>
              </w:rPr>
              <w:t>North Oaks</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AACBC1" w14:textId="77777777" w:rsidR="002C1AF8" w:rsidRPr="00893066" w:rsidRDefault="002C1AF8" w:rsidP="00FB32D2">
            <w:pPr>
              <w:autoSpaceDE w:val="0"/>
              <w:autoSpaceDN w:val="0"/>
              <w:adjustRightInd w:val="0"/>
              <w:jc w:val="center"/>
              <w:rPr>
                <w:color w:val="000000"/>
                <w:szCs w:val="22"/>
              </w:rPr>
            </w:pPr>
            <w:r>
              <w:rPr>
                <w:color w:val="000000"/>
                <w:szCs w:val="22"/>
              </w:rPr>
              <w:t>MN0303</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76F13" w14:textId="77777777" w:rsidR="002C1AF8" w:rsidRPr="00893066" w:rsidRDefault="002C1AF8" w:rsidP="00FB32D2">
            <w:pPr>
              <w:autoSpaceDE w:val="0"/>
              <w:autoSpaceDN w:val="0"/>
              <w:adjustRightInd w:val="0"/>
              <w:jc w:val="center"/>
              <w:rPr>
                <w:color w:val="000000"/>
                <w:szCs w:val="22"/>
              </w:rPr>
            </w:pPr>
            <w:r>
              <w:rPr>
                <w:color w:val="000000"/>
                <w:szCs w:val="22"/>
              </w:rPr>
              <w:t>19.87%</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4CFC12" w14:textId="77777777" w:rsidR="002C1AF8" w:rsidRPr="00893066" w:rsidRDefault="002C1AF8" w:rsidP="00FB32D2">
            <w:pPr>
              <w:autoSpaceDE w:val="0"/>
              <w:autoSpaceDN w:val="0"/>
              <w:adjustRightInd w:val="0"/>
              <w:jc w:val="center"/>
              <w:rPr>
                <w:color w:val="000000"/>
                <w:szCs w:val="22"/>
              </w:rPr>
            </w:pPr>
            <w:r>
              <w:rPr>
                <w:color w:val="000000"/>
                <w:szCs w:val="22"/>
              </w:rPr>
              <w:t>1,746</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F4C61" w14:textId="77777777" w:rsidR="002C1AF8" w:rsidRPr="00893066" w:rsidRDefault="002C1AF8" w:rsidP="00FB32D2">
            <w:pPr>
              <w:autoSpaceDE w:val="0"/>
              <w:autoSpaceDN w:val="0"/>
              <w:adjustRightInd w:val="0"/>
              <w:jc w:val="center"/>
              <w:rPr>
                <w:color w:val="000000"/>
                <w:szCs w:val="22"/>
              </w:rPr>
            </w:pPr>
            <w:r>
              <w:rPr>
                <w:color w:val="000000"/>
                <w:szCs w:val="22"/>
              </w:rPr>
              <w:t>347</w:t>
            </w:r>
          </w:p>
        </w:tc>
      </w:tr>
      <w:tr w:rsidR="002C1AF8" w:rsidRPr="00893066" w14:paraId="32F8B519"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533E06" w14:textId="77777777" w:rsidR="002C1AF8" w:rsidRPr="00893066" w:rsidRDefault="002C1AF8" w:rsidP="00FB32D2">
            <w:pPr>
              <w:autoSpaceDE w:val="0"/>
              <w:autoSpaceDN w:val="0"/>
              <w:adjustRightInd w:val="0"/>
              <w:jc w:val="center"/>
              <w:rPr>
                <w:color w:val="000000"/>
                <w:szCs w:val="22"/>
              </w:rPr>
            </w:pPr>
            <w:r>
              <w:rPr>
                <w:color w:val="000000"/>
                <w:szCs w:val="22"/>
              </w:rPr>
              <w:t>St. Anthony</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7F541C" w14:textId="77777777" w:rsidR="002C1AF8" w:rsidRPr="00893066" w:rsidRDefault="002C1AF8" w:rsidP="00FB32D2">
            <w:pPr>
              <w:autoSpaceDE w:val="0"/>
              <w:autoSpaceDN w:val="0"/>
              <w:adjustRightInd w:val="0"/>
              <w:jc w:val="center"/>
              <w:rPr>
                <w:color w:val="000000"/>
                <w:szCs w:val="22"/>
              </w:rPr>
            </w:pPr>
            <w:r>
              <w:rPr>
                <w:color w:val="000000"/>
                <w:szCs w:val="22"/>
              </w:rPr>
              <w:t>MN0305</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A673F" w14:textId="77777777" w:rsidR="002C1AF8" w:rsidRPr="00893066" w:rsidRDefault="002C1AF8" w:rsidP="00FB32D2">
            <w:pPr>
              <w:autoSpaceDE w:val="0"/>
              <w:autoSpaceDN w:val="0"/>
              <w:adjustRightInd w:val="0"/>
              <w:jc w:val="center"/>
              <w:rPr>
                <w:color w:val="000000"/>
                <w:szCs w:val="22"/>
              </w:rPr>
            </w:pPr>
            <w:r>
              <w:rPr>
                <w:color w:val="000000"/>
                <w:szCs w:val="22"/>
              </w:rPr>
              <w:t>19.96%</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E7DB1E" w14:textId="77777777" w:rsidR="002C1AF8" w:rsidRPr="00893066" w:rsidRDefault="002C1AF8" w:rsidP="00FB32D2">
            <w:pPr>
              <w:autoSpaceDE w:val="0"/>
              <w:autoSpaceDN w:val="0"/>
              <w:adjustRightInd w:val="0"/>
              <w:jc w:val="center"/>
              <w:rPr>
                <w:color w:val="000000"/>
                <w:szCs w:val="22"/>
              </w:rPr>
            </w:pPr>
            <w:r>
              <w:rPr>
                <w:color w:val="000000"/>
                <w:szCs w:val="22"/>
              </w:rPr>
              <w:t>3,848</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CDD1DC" w14:textId="77777777" w:rsidR="002C1AF8" w:rsidRPr="00893066" w:rsidRDefault="002C1AF8" w:rsidP="00FB32D2">
            <w:pPr>
              <w:autoSpaceDE w:val="0"/>
              <w:autoSpaceDN w:val="0"/>
              <w:adjustRightInd w:val="0"/>
              <w:jc w:val="center"/>
              <w:rPr>
                <w:color w:val="000000"/>
                <w:szCs w:val="22"/>
              </w:rPr>
            </w:pPr>
            <w:r>
              <w:rPr>
                <w:color w:val="000000"/>
                <w:szCs w:val="22"/>
              </w:rPr>
              <w:t>768</w:t>
            </w:r>
          </w:p>
        </w:tc>
      </w:tr>
      <w:tr w:rsidR="002C1AF8" w:rsidRPr="00893066" w14:paraId="3AF64570"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84133" w14:textId="77777777" w:rsidR="002C1AF8" w:rsidRPr="00893066" w:rsidRDefault="002C1AF8" w:rsidP="00FB32D2">
            <w:pPr>
              <w:autoSpaceDE w:val="0"/>
              <w:autoSpaceDN w:val="0"/>
              <w:adjustRightInd w:val="0"/>
              <w:jc w:val="center"/>
              <w:rPr>
                <w:color w:val="000000"/>
                <w:szCs w:val="22"/>
              </w:rPr>
            </w:pPr>
            <w:r>
              <w:rPr>
                <w:color w:val="000000"/>
                <w:szCs w:val="22"/>
              </w:rPr>
              <w:t>Shoreview</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F9EF16" w14:textId="77777777" w:rsidR="002C1AF8" w:rsidRPr="00893066" w:rsidRDefault="002C1AF8" w:rsidP="00FB32D2">
            <w:pPr>
              <w:autoSpaceDE w:val="0"/>
              <w:autoSpaceDN w:val="0"/>
              <w:adjustRightInd w:val="0"/>
              <w:jc w:val="center"/>
              <w:rPr>
                <w:color w:val="000000"/>
                <w:szCs w:val="22"/>
              </w:rPr>
            </w:pPr>
            <w:r>
              <w:rPr>
                <w:color w:val="000000"/>
                <w:szCs w:val="22"/>
              </w:rPr>
              <w:t>MN0306</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55E340" w14:textId="77777777" w:rsidR="002C1AF8" w:rsidRPr="00893066" w:rsidRDefault="002C1AF8" w:rsidP="00FB32D2">
            <w:pPr>
              <w:autoSpaceDE w:val="0"/>
              <w:autoSpaceDN w:val="0"/>
              <w:adjustRightInd w:val="0"/>
              <w:jc w:val="center"/>
              <w:rPr>
                <w:color w:val="000000"/>
                <w:szCs w:val="22"/>
              </w:rPr>
            </w:pPr>
            <w:r>
              <w:rPr>
                <w:color w:val="000000"/>
                <w:szCs w:val="22"/>
              </w:rPr>
              <w:t>20.14%</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FBFA4B" w14:textId="77777777" w:rsidR="002C1AF8" w:rsidRPr="00893066" w:rsidRDefault="002C1AF8" w:rsidP="00FB32D2">
            <w:pPr>
              <w:autoSpaceDE w:val="0"/>
              <w:autoSpaceDN w:val="0"/>
              <w:adjustRightInd w:val="0"/>
              <w:jc w:val="center"/>
              <w:rPr>
                <w:color w:val="000000"/>
                <w:szCs w:val="22"/>
              </w:rPr>
            </w:pPr>
            <w:r>
              <w:rPr>
                <w:color w:val="000000"/>
                <w:szCs w:val="22"/>
              </w:rPr>
              <w:t>10,402</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E0C99" w14:textId="77777777" w:rsidR="002C1AF8" w:rsidRPr="00893066" w:rsidRDefault="002C1AF8" w:rsidP="00FB32D2">
            <w:pPr>
              <w:autoSpaceDE w:val="0"/>
              <w:autoSpaceDN w:val="0"/>
              <w:adjustRightInd w:val="0"/>
              <w:jc w:val="center"/>
              <w:rPr>
                <w:color w:val="000000"/>
                <w:szCs w:val="22"/>
              </w:rPr>
            </w:pPr>
            <w:r>
              <w:rPr>
                <w:color w:val="000000"/>
                <w:szCs w:val="22"/>
              </w:rPr>
              <w:t>2,095</w:t>
            </w:r>
          </w:p>
        </w:tc>
      </w:tr>
      <w:tr w:rsidR="002C1AF8" w:rsidRPr="00893066" w14:paraId="73B0E307" w14:textId="77777777" w:rsidTr="00FB32D2">
        <w:tc>
          <w:tcPr>
            <w:tcW w:w="900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D2BD32" w14:textId="77777777" w:rsidR="002C1AF8" w:rsidRPr="00893066" w:rsidRDefault="002C1AF8" w:rsidP="00FB32D2">
            <w:pPr>
              <w:autoSpaceDE w:val="0"/>
              <w:autoSpaceDN w:val="0"/>
              <w:adjustRightInd w:val="0"/>
              <w:rPr>
                <w:color w:val="000000"/>
                <w:szCs w:val="22"/>
              </w:rPr>
            </w:pPr>
            <w:r>
              <w:rPr>
                <w:b/>
                <w:color w:val="000000"/>
                <w:szCs w:val="22"/>
              </w:rPr>
              <w:t>MB Docket No. 13-133</w:t>
            </w:r>
          </w:p>
        </w:tc>
      </w:tr>
      <w:tr w:rsidR="002C1AF8" w:rsidRPr="00893066" w14:paraId="5747624C"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288C3" w14:textId="77777777" w:rsidR="002C1AF8" w:rsidRPr="00893066" w:rsidRDefault="002C1AF8" w:rsidP="00FB32D2">
            <w:pPr>
              <w:autoSpaceDE w:val="0"/>
              <w:autoSpaceDN w:val="0"/>
              <w:adjustRightInd w:val="0"/>
              <w:jc w:val="center"/>
              <w:rPr>
                <w:color w:val="000000"/>
                <w:szCs w:val="22"/>
              </w:rPr>
            </w:pPr>
            <w:r>
              <w:rPr>
                <w:color w:val="000000"/>
                <w:szCs w:val="22"/>
              </w:rPr>
              <w:t>Cottage Grove</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59F8B" w14:textId="77777777" w:rsidR="002C1AF8" w:rsidRPr="00893066" w:rsidRDefault="002C1AF8" w:rsidP="00FB32D2">
            <w:pPr>
              <w:autoSpaceDE w:val="0"/>
              <w:autoSpaceDN w:val="0"/>
              <w:adjustRightInd w:val="0"/>
              <w:jc w:val="center"/>
              <w:rPr>
                <w:color w:val="000000"/>
                <w:szCs w:val="22"/>
              </w:rPr>
            </w:pPr>
            <w:r>
              <w:rPr>
                <w:color w:val="000000"/>
                <w:szCs w:val="22"/>
              </w:rPr>
              <w:t>MN0396</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067742" w14:textId="77777777" w:rsidR="002C1AF8" w:rsidRPr="00893066" w:rsidRDefault="002C1AF8" w:rsidP="00FB32D2">
            <w:pPr>
              <w:autoSpaceDE w:val="0"/>
              <w:autoSpaceDN w:val="0"/>
              <w:adjustRightInd w:val="0"/>
              <w:jc w:val="center"/>
              <w:rPr>
                <w:color w:val="000000"/>
                <w:szCs w:val="22"/>
              </w:rPr>
            </w:pPr>
            <w:r>
              <w:rPr>
                <w:color w:val="000000"/>
                <w:szCs w:val="22"/>
              </w:rPr>
              <w:t>28.71%</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19D7B4" w14:textId="77777777" w:rsidR="002C1AF8" w:rsidRPr="00893066" w:rsidRDefault="002C1AF8" w:rsidP="00FB32D2">
            <w:pPr>
              <w:autoSpaceDE w:val="0"/>
              <w:autoSpaceDN w:val="0"/>
              <w:adjustRightInd w:val="0"/>
              <w:jc w:val="center"/>
              <w:rPr>
                <w:color w:val="000000"/>
                <w:szCs w:val="22"/>
              </w:rPr>
            </w:pPr>
            <w:r>
              <w:rPr>
                <w:color w:val="000000"/>
                <w:szCs w:val="22"/>
              </w:rPr>
              <w:t>11,719</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74B4C2" w14:textId="77777777" w:rsidR="002C1AF8" w:rsidRPr="00893066" w:rsidRDefault="002C1AF8" w:rsidP="00FB32D2">
            <w:pPr>
              <w:autoSpaceDE w:val="0"/>
              <w:autoSpaceDN w:val="0"/>
              <w:adjustRightInd w:val="0"/>
              <w:jc w:val="center"/>
              <w:rPr>
                <w:color w:val="000000"/>
                <w:szCs w:val="22"/>
              </w:rPr>
            </w:pPr>
            <w:r>
              <w:rPr>
                <w:color w:val="000000"/>
                <w:szCs w:val="22"/>
              </w:rPr>
              <w:t>3,365</w:t>
            </w:r>
          </w:p>
        </w:tc>
      </w:tr>
      <w:tr w:rsidR="002C1AF8" w:rsidRPr="00893066" w14:paraId="4C94D53A"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92E60F" w14:textId="77777777" w:rsidR="002C1AF8" w:rsidRPr="00893066" w:rsidRDefault="002C1AF8" w:rsidP="00FB32D2">
            <w:pPr>
              <w:autoSpaceDE w:val="0"/>
              <w:autoSpaceDN w:val="0"/>
              <w:adjustRightInd w:val="0"/>
              <w:jc w:val="center"/>
              <w:rPr>
                <w:color w:val="000000"/>
                <w:szCs w:val="22"/>
              </w:rPr>
            </w:pPr>
            <w:r>
              <w:rPr>
                <w:color w:val="000000"/>
                <w:szCs w:val="22"/>
              </w:rPr>
              <w:t>Grey Cloud Island</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90AF3B" w14:textId="77777777" w:rsidR="002C1AF8" w:rsidRPr="00893066" w:rsidRDefault="002C1AF8" w:rsidP="00FB32D2">
            <w:pPr>
              <w:autoSpaceDE w:val="0"/>
              <w:autoSpaceDN w:val="0"/>
              <w:adjustRightInd w:val="0"/>
              <w:jc w:val="center"/>
              <w:rPr>
                <w:color w:val="000000"/>
                <w:szCs w:val="22"/>
              </w:rPr>
            </w:pPr>
            <w:r>
              <w:rPr>
                <w:color w:val="000000"/>
                <w:szCs w:val="22"/>
              </w:rPr>
              <w:t>MN0400</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9F45D8" w14:textId="77777777" w:rsidR="002C1AF8" w:rsidRPr="00893066" w:rsidRDefault="002C1AF8" w:rsidP="00FB32D2">
            <w:pPr>
              <w:autoSpaceDE w:val="0"/>
              <w:autoSpaceDN w:val="0"/>
              <w:adjustRightInd w:val="0"/>
              <w:jc w:val="center"/>
              <w:rPr>
                <w:color w:val="000000"/>
                <w:szCs w:val="22"/>
              </w:rPr>
            </w:pPr>
            <w:r>
              <w:rPr>
                <w:color w:val="000000"/>
                <w:szCs w:val="22"/>
              </w:rPr>
              <w:t>26.32%</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476064" w14:textId="77777777" w:rsidR="002C1AF8" w:rsidRPr="00893066" w:rsidRDefault="002C1AF8" w:rsidP="00FB32D2">
            <w:pPr>
              <w:autoSpaceDE w:val="0"/>
              <w:autoSpaceDN w:val="0"/>
              <w:adjustRightInd w:val="0"/>
              <w:jc w:val="center"/>
              <w:rPr>
                <w:color w:val="000000"/>
                <w:szCs w:val="22"/>
              </w:rPr>
            </w:pPr>
            <w:r>
              <w:rPr>
                <w:color w:val="000000"/>
                <w:szCs w:val="22"/>
              </w:rPr>
              <w:t>114</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49858B" w14:textId="77777777" w:rsidR="002C1AF8" w:rsidRPr="00893066" w:rsidRDefault="002C1AF8" w:rsidP="00FB32D2">
            <w:pPr>
              <w:autoSpaceDE w:val="0"/>
              <w:autoSpaceDN w:val="0"/>
              <w:adjustRightInd w:val="0"/>
              <w:jc w:val="center"/>
              <w:rPr>
                <w:color w:val="000000"/>
                <w:szCs w:val="22"/>
              </w:rPr>
            </w:pPr>
            <w:r>
              <w:rPr>
                <w:color w:val="000000"/>
                <w:szCs w:val="22"/>
              </w:rPr>
              <w:t>30</w:t>
            </w:r>
          </w:p>
        </w:tc>
      </w:tr>
      <w:tr w:rsidR="002C1AF8" w:rsidRPr="00893066" w14:paraId="31F8E0B6"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C4E099" w14:textId="77777777" w:rsidR="002C1AF8" w:rsidRPr="00893066" w:rsidRDefault="002C1AF8" w:rsidP="00FB32D2">
            <w:pPr>
              <w:autoSpaceDE w:val="0"/>
              <w:autoSpaceDN w:val="0"/>
              <w:adjustRightInd w:val="0"/>
              <w:jc w:val="center"/>
              <w:rPr>
                <w:color w:val="000000"/>
                <w:szCs w:val="22"/>
              </w:rPr>
            </w:pPr>
            <w:r>
              <w:rPr>
                <w:color w:val="000000"/>
                <w:szCs w:val="22"/>
              </w:rPr>
              <w:t>Newport</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E90ED9" w14:textId="77777777" w:rsidR="002C1AF8" w:rsidRPr="00893066" w:rsidRDefault="002C1AF8" w:rsidP="00FB32D2">
            <w:pPr>
              <w:autoSpaceDE w:val="0"/>
              <w:autoSpaceDN w:val="0"/>
              <w:adjustRightInd w:val="0"/>
              <w:jc w:val="center"/>
              <w:rPr>
                <w:color w:val="000000"/>
                <w:szCs w:val="22"/>
              </w:rPr>
            </w:pPr>
            <w:r>
              <w:rPr>
                <w:color w:val="000000"/>
                <w:szCs w:val="22"/>
              </w:rPr>
              <w:t>MN0397</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EB5652" w14:textId="77777777" w:rsidR="002C1AF8" w:rsidRPr="00893066" w:rsidRDefault="002C1AF8" w:rsidP="00FB32D2">
            <w:pPr>
              <w:autoSpaceDE w:val="0"/>
              <w:autoSpaceDN w:val="0"/>
              <w:adjustRightInd w:val="0"/>
              <w:jc w:val="center"/>
              <w:rPr>
                <w:color w:val="000000"/>
                <w:szCs w:val="22"/>
              </w:rPr>
            </w:pPr>
            <w:r>
              <w:rPr>
                <w:color w:val="000000"/>
                <w:szCs w:val="22"/>
              </w:rPr>
              <w:t>21.64%</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5B9089" w14:textId="77777777" w:rsidR="002C1AF8" w:rsidRPr="00893066" w:rsidRDefault="002C1AF8" w:rsidP="00FB32D2">
            <w:pPr>
              <w:autoSpaceDE w:val="0"/>
              <w:autoSpaceDN w:val="0"/>
              <w:adjustRightInd w:val="0"/>
              <w:jc w:val="center"/>
              <w:rPr>
                <w:color w:val="000000"/>
                <w:szCs w:val="22"/>
              </w:rPr>
            </w:pPr>
            <w:r>
              <w:rPr>
                <w:color w:val="000000"/>
                <w:szCs w:val="22"/>
              </w:rPr>
              <w:t>1,354</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C49E47" w14:textId="77777777" w:rsidR="002C1AF8" w:rsidRPr="00893066" w:rsidRDefault="002C1AF8" w:rsidP="00FB32D2">
            <w:pPr>
              <w:autoSpaceDE w:val="0"/>
              <w:autoSpaceDN w:val="0"/>
              <w:adjustRightInd w:val="0"/>
              <w:jc w:val="center"/>
              <w:rPr>
                <w:color w:val="000000"/>
                <w:szCs w:val="22"/>
              </w:rPr>
            </w:pPr>
            <w:r>
              <w:rPr>
                <w:color w:val="000000"/>
                <w:szCs w:val="22"/>
              </w:rPr>
              <w:t>293</w:t>
            </w:r>
          </w:p>
        </w:tc>
      </w:tr>
      <w:tr w:rsidR="002C1AF8" w:rsidRPr="00893066" w14:paraId="61159D0B"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D17491" w14:textId="77777777" w:rsidR="002C1AF8" w:rsidRPr="00893066" w:rsidRDefault="002C1AF8" w:rsidP="00FB32D2">
            <w:pPr>
              <w:autoSpaceDE w:val="0"/>
              <w:autoSpaceDN w:val="0"/>
              <w:adjustRightInd w:val="0"/>
              <w:jc w:val="center"/>
              <w:rPr>
                <w:color w:val="000000"/>
                <w:szCs w:val="22"/>
              </w:rPr>
            </w:pPr>
            <w:r>
              <w:rPr>
                <w:color w:val="000000"/>
                <w:szCs w:val="22"/>
              </w:rPr>
              <w:t>St. Paul Park</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71BF56" w14:textId="77777777" w:rsidR="002C1AF8" w:rsidRPr="00893066" w:rsidRDefault="002C1AF8" w:rsidP="00FB32D2">
            <w:pPr>
              <w:autoSpaceDE w:val="0"/>
              <w:autoSpaceDN w:val="0"/>
              <w:adjustRightInd w:val="0"/>
              <w:jc w:val="center"/>
              <w:rPr>
                <w:color w:val="000000"/>
                <w:szCs w:val="22"/>
              </w:rPr>
            </w:pPr>
            <w:r>
              <w:rPr>
                <w:color w:val="000000"/>
                <w:szCs w:val="22"/>
              </w:rPr>
              <w:t>MN0401</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C605DA" w14:textId="77777777" w:rsidR="002C1AF8" w:rsidRPr="00893066" w:rsidRDefault="002C1AF8" w:rsidP="00FB32D2">
            <w:pPr>
              <w:autoSpaceDE w:val="0"/>
              <w:autoSpaceDN w:val="0"/>
              <w:adjustRightInd w:val="0"/>
              <w:jc w:val="center"/>
              <w:rPr>
                <w:color w:val="000000"/>
                <w:szCs w:val="22"/>
              </w:rPr>
            </w:pPr>
            <w:r>
              <w:rPr>
                <w:color w:val="000000"/>
                <w:szCs w:val="22"/>
              </w:rPr>
              <w:t>26.90%</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DB8492" w14:textId="77777777" w:rsidR="002C1AF8" w:rsidRPr="00893066" w:rsidRDefault="002C1AF8" w:rsidP="00FB32D2">
            <w:pPr>
              <w:autoSpaceDE w:val="0"/>
              <w:autoSpaceDN w:val="0"/>
              <w:adjustRightInd w:val="0"/>
              <w:jc w:val="center"/>
              <w:rPr>
                <w:color w:val="000000"/>
                <w:szCs w:val="22"/>
              </w:rPr>
            </w:pPr>
            <w:r>
              <w:rPr>
                <w:color w:val="000000"/>
                <w:szCs w:val="22"/>
              </w:rPr>
              <w:t>1,970</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7978A1" w14:textId="77777777" w:rsidR="002C1AF8" w:rsidRPr="00893066" w:rsidRDefault="002C1AF8" w:rsidP="00FB32D2">
            <w:pPr>
              <w:autoSpaceDE w:val="0"/>
              <w:autoSpaceDN w:val="0"/>
              <w:adjustRightInd w:val="0"/>
              <w:jc w:val="center"/>
              <w:rPr>
                <w:color w:val="000000"/>
                <w:szCs w:val="22"/>
              </w:rPr>
            </w:pPr>
            <w:r>
              <w:rPr>
                <w:color w:val="000000"/>
                <w:szCs w:val="22"/>
              </w:rPr>
              <w:t>530</w:t>
            </w:r>
          </w:p>
        </w:tc>
      </w:tr>
      <w:tr w:rsidR="002C1AF8" w:rsidRPr="00893066" w14:paraId="36B024D0" w14:textId="77777777" w:rsidTr="00FB32D2">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696B3" w14:textId="77777777" w:rsidR="002C1AF8" w:rsidRPr="00893066" w:rsidRDefault="002C1AF8" w:rsidP="00FB32D2">
            <w:pPr>
              <w:autoSpaceDE w:val="0"/>
              <w:autoSpaceDN w:val="0"/>
              <w:adjustRightInd w:val="0"/>
              <w:jc w:val="center"/>
              <w:rPr>
                <w:color w:val="000000"/>
                <w:szCs w:val="22"/>
              </w:rPr>
            </w:pPr>
            <w:r>
              <w:rPr>
                <w:color w:val="000000"/>
                <w:szCs w:val="22"/>
              </w:rPr>
              <w:t>Woodbury</w:t>
            </w:r>
          </w:p>
        </w:tc>
        <w:tc>
          <w:tcPr>
            <w:tcW w:w="13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40137D" w14:textId="77777777" w:rsidR="002C1AF8" w:rsidRPr="00893066" w:rsidRDefault="002C1AF8" w:rsidP="00FB32D2">
            <w:pPr>
              <w:autoSpaceDE w:val="0"/>
              <w:autoSpaceDN w:val="0"/>
              <w:adjustRightInd w:val="0"/>
              <w:jc w:val="center"/>
              <w:rPr>
                <w:color w:val="000000"/>
                <w:szCs w:val="22"/>
              </w:rPr>
            </w:pPr>
            <w:r>
              <w:rPr>
                <w:color w:val="000000"/>
                <w:szCs w:val="22"/>
              </w:rPr>
              <w:t>MN0395</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880AC" w14:textId="77777777" w:rsidR="002C1AF8" w:rsidRPr="00893066" w:rsidRDefault="002C1AF8" w:rsidP="00FB32D2">
            <w:pPr>
              <w:autoSpaceDE w:val="0"/>
              <w:autoSpaceDN w:val="0"/>
              <w:adjustRightInd w:val="0"/>
              <w:jc w:val="center"/>
              <w:rPr>
                <w:color w:val="000000"/>
                <w:szCs w:val="22"/>
              </w:rPr>
            </w:pPr>
            <w:r>
              <w:rPr>
                <w:color w:val="000000"/>
                <w:szCs w:val="22"/>
              </w:rPr>
              <w:t>26.87%</w:t>
            </w:r>
          </w:p>
        </w:tc>
        <w:tc>
          <w:tcPr>
            <w:tcW w:w="18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D0D4C" w14:textId="77777777" w:rsidR="002C1AF8" w:rsidRPr="00893066" w:rsidRDefault="002C1AF8" w:rsidP="00FB32D2">
            <w:pPr>
              <w:autoSpaceDE w:val="0"/>
              <w:autoSpaceDN w:val="0"/>
              <w:adjustRightInd w:val="0"/>
              <w:jc w:val="center"/>
              <w:rPr>
                <w:color w:val="000000"/>
                <w:szCs w:val="22"/>
              </w:rPr>
            </w:pPr>
            <w:r>
              <w:rPr>
                <w:color w:val="000000"/>
                <w:szCs w:val="22"/>
              </w:rPr>
              <w:t>22,594</w:t>
            </w:r>
          </w:p>
        </w:tc>
        <w:tc>
          <w:tcPr>
            <w:tcW w:w="18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E3C2AC" w14:textId="77777777" w:rsidR="002C1AF8" w:rsidRPr="00893066" w:rsidRDefault="002C1AF8" w:rsidP="00FB32D2">
            <w:pPr>
              <w:autoSpaceDE w:val="0"/>
              <w:autoSpaceDN w:val="0"/>
              <w:adjustRightInd w:val="0"/>
              <w:jc w:val="center"/>
              <w:rPr>
                <w:color w:val="000000"/>
                <w:szCs w:val="22"/>
              </w:rPr>
            </w:pPr>
            <w:r>
              <w:rPr>
                <w:color w:val="000000"/>
                <w:szCs w:val="22"/>
              </w:rPr>
              <w:t>6,070</w:t>
            </w:r>
          </w:p>
        </w:tc>
      </w:tr>
    </w:tbl>
    <w:p w14:paraId="1E8121B9" w14:textId="77777777" w:rsidR="002C1AF8" w:rsidRPr="00893066" w:rsidRDefault="002C1AF8" w:rsidP="002C1AF8">
      <w:pPr>
        <w:pStyle w:val="EndnoteText"/>
        <w:spacing w:after="0"/>
        <w:rPr>
          <w:color w:val="000000"/>
          <w:szCs w:val="22"/>
        </w:rPr>
      </w:pPr>
    </w:p>
    <w:p w14:paraId="5AF767BC" w14:textId="77777777" w:rsidR="002C1AF8" w:rsidRDefault="002C1AF8">
      <w:pPr>
        <w:pStyle w:val="EndnoteText"/>
        <w:spacing w:after="0"/>
        <w:rPr>
          <w:sz w:val="20"/>
        </w:rPr>
      </w:pPr>
    </w:p>
    <w:p w14:paraId="6053739B" w14:textId="77777777" w:rsidR="00595360" w:rsidRDefault="00595360">
      <w:pPr>
        <w:pStyle w:val="EndnoteText"/>
        <w:spacing w:after="0"/>
        <w:rPr>
          <w:sz w:val="20"/>
        </w:rPr>
      </w:pPr>
      <w:r>
        <w:rPr>
          <w:sz w:val="20"/>
        </w:rPr>
        <w:t xml:space="preserve">   *CPR = Percent of competitive DBS penetration rate.</w:t>
      </w:r>
    </w:p>
    <w:sectPr w:rsidR="005953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55DC2" w14:textId="77777777" w:rsidR="00C567F2" w:rsidRDefault="00C567F2">
      <w:r>
        <w:separator/>
      </w:r>
    </w:p>
  </w:endnote>
  <w:endnote w:type="continuationSeparator" w:id="0">
    <w:p w14:paraId="05ED59FC" w14:textId="77777777" w:rsidR="00C567F2" w:rsidRDefault="00C5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7FB6" w14:textId="77777777" w:rsidR="00CF0B91" w:rsidRDefault="00CF0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883ED" w14:textId="77777777" w:rsidR="00F90BE8" w:rsidRDefault="00595360">
    <w:pPr>
      <w:pStyle w:val="Footer"/>
      <w:jc w:val="center"/>
    </w:pPr>
    <w:r>
      <w:rPr>
        <w:rStyle w:val="PageNumber"/>
      </w:rPr>
      <w:fldChar w:fldCharType="begin"/>
    </w:r>
    <w:r>
      <w:rPr>
        <w:rStyle w:val="PageNumber"/>
      </w:rPr>
      <w:instrText xml:space="preserve"> PAGE </w:instrText>
    </w:r>
    <w:r>
      <w:rPr>
        <w:rStyle w:val="PageNumber"/>
      </w:rPr>
      <w:fldChar w:fldCharType="separate"/>
    </w:r>
    <w:r w:rsidR="005A024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785C7" w14:textId="77777777" w:rsidR="00CF0B91" w:rsidRDefault="00CF0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A9B59" w14:textId="77777777" w:rsidR="00C567F2" w:rsidRDefault="00C567F2">
      <w:pPr>
        <w:rPr>
          <w:sz w:val="20"/>
        </w:rPr>
      </w:pPr>
      <w:r>
        <w:rPr>
          <w:sz w:val="20"/>
        </w:rPr>
        <w:separator/>
      </w:r>
    </w:p>
  </w:footnote>
  <w:footnote w:type="continuationSeparator" w:id="0">
    <w:p w14:paraId="77F00917" w14:textId="77777777" w:rsidR="00C567F2" w:rsidRDefault="00C567F2">
      <w:pPr>
        <w:rPr>
          <w:sz w:val="20"/>
        </w:rPr>
      </w:pPr>
      <w:r>
        <w:rPr>
          <w:sz w:val="20"/>
        </w:rPr>
        <w:separator/>
      </w:r>
    </w:p>
    <w:p w14:paraId="4E99A25A" w14:textId="77777777" w:rsidR="00C567F2" w:rsidRDefault="00C567F2">
      <w:pPr>
        <w:rPr>
          <w:sz w:val="20"/>
        </w:rPr>
      </w:pPr>
      <w:r>
        <w:rPr>
          <w:sz w:val="20"/>
        </w:rPr>
        <w:t>(...continued from previous page)</w:t>
      </w:r>
    </w:p>
  </w:footnote>
  <w:footnote w:type="continuationNotice" w:id="1">
    <w:p w14:paraId="5FE43018" w14:textId="77777777" w:rsidR="00C567F2" w:rsidRDefault="00C567F2">
      <w:pPr>
        <w:jc w:val="right"/>
        <w:rPr>
          <w:sz w:val="20"/>
        </w:rPr>
      </w:pPr>
      <w:r>
        <w:rPr>
          <w:sz w:val="20"/>
        </w:rPr>
        <w:t>(continued....)</w:t>
      </w:r>
    </w:p>
  </w:footnote>
  <w:footnote w:id="2">
    <w:p w14:paraId="164BA90E" w14:textId="77777777" w:rsidR="00102077" w:rsidRDefault="00102077" w:rsidP="001C0D0B">
      <w:pPr>
        <w:pStyle w:val="FootnoteText"/>
        <w:jc w:val="left"/>
      </w:pPr>
      <w:r>
        <w:rPr>
          <w:rStyle w:val="FootnoteReference"/>
        </w:rPr>
        <w:footnoteRef/>
      </w:r>
      <w:r>
        <w:t xml:space="preserve"> </w:t>
      </w:r>
      <w:r w:rsidR="008A2262">
        <w:t>Comcast Cable Communications, LLC Petitions for Special Relief (May 13, 2013)</w:t>
      </w:r>
      <w:r w:rsidR="00C62827">
        <w:t xml:space="preserve"> (MB Docket Nos. 13-131, 13-132, and 13-133).</w:t>
      </w:r>
    </w:p>
  </w:footnote>
  <w:footnote w:id="3">
    <w:p w14:paraId="6FA13C59" w14:textId="77777777" w:rsidR="00F90BE8" w:rsidRDefault="00595360" w:rsidP="00FA63AA">
      <w:pPr>
        <w:pStyle w:val="FootnoteText"/>
        <w:jc w:val="left"/>
      </w:pPr>
      <w:r>
        <w:rPr>
          <w:rStyle w:val="FootnoteReference"/>
        </w:rPr>
        <w:footnoteRef/>
      </w:r>
      <w:r>
        <w:rPr>
          <w:i/>
        </w:rPr>
        <w:t xml:space="preserve"> See</w:t>
      </w:r>
      <w:r>
        <w:t xml:space="preserve"> 47 U.S.C. § 543(l)(1)(B).</w:t>
      </w:r>
    </w:p>
  </w:footnote>
  <w:footnote w:id="4">
    <w:p w14:paraId="1795205D" w14:textId="77777777" w:rsidR="00F90BE8" w:rsidRDefault="00595360">
      <w:pPr>
        <w:pStyle w:val="FootnoteText"/>
        <w:jc w:val="left"/>
      </w:pPr>
      <w:r>
        <w:rPr>
          <w:rStyle w:val="FootnoteReference"/>
        </w:rPr>
        <w:footnoteRef/>
      </w:r>
      <w:r>
        <w:t xml:space="preserve"> 47 C.F.R. § 76.905(b)(2).</w:t>
      </w:r>
    </w:p>
  </w:footnote>
  <w:footnote w:id="5">
    <w:p w14:paraId="4F075757" w14:textId="166AECFE" w:rsidR="00FA728D" w:rsidRPr="008913DB" w:rsidRDefault="00FA728D" w:rsidP="001C0D0B">
      <w:pPr>
        <w:pStyle w:val="FootnoteText"/>
        <w:jc w:val="left"/>
      </w:pPr>
      <w:r>
        <w:rPr>
          <w:rStyle w:val="FootnoteReference"/>
        </w:rPr>
        <w:footnoteRef/>
      </w:r>
      <w:r>
        <w:t xml:space="preserve"> Opposition of the North Metro Telecommunications Commission to Comcast’s Petition for Special Relief, MB Docket </w:t>
      </w:r>
      <w:r w:rsidR="00FA63AA">
        <w:t xml:space="preserve">No. </w:t>
      </w:r>
      <w:r>
        <w:t>13-131, dated June 7, 2013.  North Metro is a certified rate regulation authority that acts on behalf of its member municipalities</w:t>
      </w:r>
      <w:r w:rsidR="00FA63AA">
        <w:t>, one of which is an Attachment A Community</w:t>
      </w:r>
      <w:r w:rsidR="00A673B3">
        <w:t xml:space="preserve"> (Lexington, Minnesota)</w:t>
      </w:r>
      <w:r>
        <w:t xml:space="preserve">.  </w:t>
      </w:r>
      <w:r>
        <w:rPr>
          <w:i/>
        </w:rPr>
        <w:t xml:space="preserve">Id. </w:t>
      </w:r>
      <w:r>
        <w:t>at 1 n.1.</w:t>
      </w:r>
    </w:p>
  </w:footnote>
  <w:footnote w:id="6">
    <w:p w14:paraId="67AE905A" w14:textId="257422D0" w:rsidR="00FA728D" w:rsidRDefault="00FA728D" w:rsidP="001C0D0B">
      <w:pPr>
        <w:pStyle w:val="FootnoteText"/>
        <w:jc w:val="left"/>
      </w:pPr>
      <w:r>
        <w:rPr>
          <w:rStyle w:val="FootnoteReference"/>
        </w:rPr>
        <w:footnoteRef/>
      </w:r>
      <w:r>
        <w:t xml:space="preserve"> Opposition of the North Suburban Communications Commission to Comcast’s Petition for Special Relief, MB Docket </w:t>
      </w:r>
      <w:r w:rsidR="00FA63AA">
        <w:t xml:space="preserve">No. </w:t>
      </w:r>
      <w:r>
        <w:t>13-13</w:t>
      </w:r>
      <w:r w:rsidR="00A673B3">
        <w:t>2</w:t>
      </w:r>
      <w:r>
        <w:t>, dated June 7, 2013.  North Suburban is also a certified rate regulation authority that acts on behalf of its member municipalities</w:t>
      </w:r>
      <w:r w:rsidR="00A673B3">
        <w:t>, several of which are Attachment A Communities</w:t>
      </w:r>
      <w:r>
        <w:t xml:space="preserve"> </w:t>
      </w:r>
      <w:r w:rsidR="00A673B3">
        <w:t>(</w:t>
      </w:r>
      <w:r>
        <w:t>Arden Hills, Little Canada, Mounds View, New Brighton, North Oaks, St. Anthony</w:t>
      </w:r>
      <w:r w:rsidR="00A673B3">
        <w:t>,</w:t>
      </w:r>
      <w:r>
        <w:t xml:space="preserve"> and Shoreview</w:t>
      </w:r>
      <w:r w:rsidR="00A673B3">
        <w:t>, Minnesota)</w:t>
      </w:r>
      <w:r>
        <w:t>.</w:t>
      </w:r>
      <w:r w:rsidR="00A673B3">
        <w:t xml:space="preserve">  </w:t>
      </w:r>
      <w:r w:rsidR="00A673B3">
        <w:rPr>
          <w:i/>
        </w:rPr>
        <w:t xml:space="preserve">Id. </w:t>
      </w:r>
      <w:r w:rsidR="00A673B3">
        <w:t>at 1 n.1.</w:t>
      </w:r>
    </w:p>
  </w:footnote>
  <w:footnote w:id="7">
    <w:p w14:paraId="2EE4AE2E" w14:textId="73685309" w:rsidR="00FA728D" w:rsidRPr="00CC5F0C" w:rsidRDefault="00FA728D" w:rsidP="001C0D0B">
      <w:pPr>
        <w:pStyle w:val="FootnoteText"/>
        <w:jc w:val="left"/>
      </w:pPr>
      <w:r>
        <w:rPr>
          <w:rStyle w:val="FootnoteReference"/>
        </w:rPr>
        <w:footnoteRef/>
      </w:r>
      <w:r>
        <w:t xml:space="preserve"> Opposition of the South Washington County Telecommunications Commission to Comcast’s Petition for Special Relief, MB Docket </w:t>
      </w:r>
      <w:r w:rsidR="00A673B3">
        <w:t xml:space="preserve">No. </w:t>
      </w:r>
      <w:r>
        <w:t>13-133, dated June 7, 2013.  South Washington is also a certified rate regulation authority that acts on behalf of its member municipalities</w:t>
      </w:r>
      <w:r w:rsidR="00A673B3">
        <w:t>, all of which are Attachment A Communities</w:t>
      </w:r>
      <w:r>
        <w:t xml:space="preserve"> </w:t>
      </w:r>
      <w:r w:rsidR="00A673B3">
        <w:t>(</w:t>
      </w:r>
      <w:r>
        <w:t>Cottage Grove, Grey Cloud Island, Newport, St. Paul Park, and Woodbury, Minnesota</w:t>
      </w:r>
      <w:r w:rsidR="00A673B3">
        <w:t>)</w:t>
      </w:r>
      <w:r>
        <w:t xml:space="preserve">.  </w:t>
      </w:r>
      <w:r>
        <w:rPr>
          <w:i/>
        </w:rPr>
        <w:t xml:space="preserve">Id. </w:t>
      </w:r>
      <w:r>
        <w:t>at 1 n.1.</w:t>
      </w:r>
    </w:p>
  </w:footnote>
  <w:footnote w:id="8">
    <w:p w14:paraId="15FADA41" w14:textId="1EAD3FDD" w:rsidR="00FA728D" w:rsidRDefault="00FA728D" w:rsidP="001C0D0B">
      <w:pPr>
        <w:pStyle w:val="FootnoteText"/>
        <w:jc w:val="left"/>
      </w:pPr>
      <w:r>
        <w:rPr>
          <w:rStyle w:val="FootnoteReference"/>
        </w:rPr>
        <w:footnoteRef/>
      </w:r>
      <w:r>
        <w:t xml:space="preserve"> Hereinafter we will collectively refer to North Metro, North Suburban, and South Washington as the “Minnesota Local Commissions.”  </w:t>
      </w:r>
      <w:r w:rsidR="00A673B3">
        <w:t>E</w:t>
      </w:r>
      <w:r>
        <w:t xml:space="preserve">ach of the three individually submitted oppositions and attached expert declarations are substantially, and in the cases of the declarations, completely, identical.  Hereinafter we will collectively refer to the three oppositions as the “Oppositions.”  </w:t>
      </w:r>
    </w:p>
  </w:footnote>
  <w:footnote w:id="9">
    <w:p w14:paraId="5393A449" w14:textId="77777777" w:rsidR="00FA728D" w:rsidRDefault="00FA728D" w:rsidP="001C0D0B">
      <w:pPr>
        <w:pStyle w:val="FootnoteText"/>
        <w:jc w:val="left"/>
      </w:pPr>
      <w:r>
        <w:rPr>
          <w:rStyle w:val="FootnoteReference"/>
        </w:rPr>
        <w:footnoteRef/>
      </w:r>
      <w:r>
        <w:t xml:space="preserve"> Reply to Opposition to Petition for Special Relief, MB Docket </w:t>
      </w:r>
      <w:r w:rsidR="00A673B3">
        <w:t xml:space="preserve">No. </w:t>
      </w:r>
      <w:r>
        <w:t xml:space="preserve">13-131, dated June 20, 2013; Reply to Opposition to Petition for Special Relief, MB Docket </w:t>
      </w:r>
      <w:r w:rsidR="00A673B3">
        <w:t xml:space="preserve">No. </w:t>
      </w:r>
      <w:r>
        <w:t xml:space="preserve">13-132, dated June 20, 2013; Reply to Opposition to Petition for Special Relief, MB Docket </w:t>
      </w:r>
      <w:r w:rsidR="00A673B3">
        <w:t xml:space="preserve">No. </w:t>
      </w:r>
      <w:r>
        <w:t>13-133, dated June 20, 2013.  All three of Petitioner’s replies are substantially identical and hereinafter we will collectively refer to the three replies as the “Replies.”</w:t>
      </w:r>
    </w:p>
  </w:footnote>
  <w:footnote w:id="10">
    <w:p w14:paraId="621278F5" w14:textId="77777777" w:rsidR="00F90BE8" w:rsidRDefault="00595360" w:rsidP="00FA63AA">
      <w:pPr>
        <w:pStyle w:val="FootnoteText"/>
        <w:jc w:val="left"/>
      </w:pPr>
      <w:r>
        <w:rPr>
          <w:rStyle w:val="FootnoteReference"/>
        </w:rPr>
        <w:footnoteRef/>
      </w:r>
      <w:r>
        <w:t xml:space="preserve"> </w:t>
      </w:r>
      <w:r>
        <w:rPr>
          <w:i/>
          <w:spacing w:val="-2"/>
        </w:rPr>
        <w:t>See Amendment to the Commission’s Rules Concerning Effective Competition; Implementation of Section 111 of the STELA Reauthorization Act</w:t>
      </w:r>
      <w:r>
        <w:rPr>
          <w:spacing w:val="-2"/>
        </w:rPr>
        <w:t>, Report and Order, 30 FCC Rcd 6574 (2015) (“</w:t>
      </w:r>
      <w:r>
        <w:rPr>
          <w:i/>
          <w:spacing w:val="-2"/>
        </w:rPr>
        <w:t>Effective Competition Order</w:t>
      </w:r>
      <w:r>
        <w:rPr>
          <w:spacing w:val="-2"/>
        </w:rPr>
        <w:t>”).</w:t>
      </w:r>
    </w:p>
  </w:footnote>
  <w:footnote w:id="11">
    <w:p w14:paraId="79B7332E" w14:textId="77777777" w:rsidR="00F90BE8" w:rsidRDefault="00595360">
      <w:pPr>
        <w:pStyle w:val="FootnoteText"/>
        <w:tabs>
          <w:tab w:val="left" w:pos="-720"/>
        </w:tabs>
        <w:jc w:val="left"/>
        <w:rPr>
          <w:spacing w:val="-2"/>
        </w:rPr>
      </w:pPr>
      <w:r>
        <w:rPr>
          <w:rStyle w:val="FootnoteReference"/>
          <w:spacing w:val="-2"/>
        </w:rPr>
        <w:footnoteRef/>
      </w:r>
      <w:r>
        <w:rPr>
          <w:i/>
          <w:spacing w:val="-2"/>
        </w:rPr>
        <w:t xml:space="preserve"> See</w:t>
      </w:r>
      <w:r>
        <w:rPr>
          <w:spacing w:val="-2"/>
        </w:rPr>
        <w:t xml:space="preserve"> 47 U.S.C. § 543(l)(1); 47 C.F.R. §§ 76.905(b), 76.906.</w:t>
      </w:r>
    </w:p>
  </w:footnote>
  <w:footnote w:id="12">
    <w:p w14:paraId="0433664C" w14:textId="7777BF06" w:rsidR="00F90BE8" w:rsidRDefault="00595360">
      <w:pPr>
        <w:pStyle w:val="FootnoteText"/>
        <w:jc w:val="left"/>
        <w:rPr>
          <w:i/>
        </w:rPr>
      </w:pPr>
      <w:r>
        <w:rPr>
          <w:rStyle w:val="FootnoteReference"/>
        </w:rPr>
        <w:footnoteRef/>
      </w:r>
      <w:r>
        <w:t xml:space="preserve"> 47 U.S.C. § 543(</w:t>
      </w:r>
      <w:r w:rsidR="00FA63AA">
        <w:t>l</w:t>
      </w:r>
      <w:r>
        <w:t xml:space="preserve">)(1)(B); </w:t>
      </w:r>
      <w:r>
        <w:rPr>
          <w:i/>
        </w:rPr>
        <w:t>see</w:t>
      </w:r>
      <w:r>
        <w:t xml:space="preserve"> </w:t>
      </w:r>
      <w:r>
        <w:rPr>
          <w:i/>
        </w:rPr>
        <w:t>also</w:t>
      </w:r>
      <w:r>
        <w:t xml:space="preserve"> 47 C.F.R. § 76.905(b)(2).</w:t>
      </w:r>
    </w:p>
  </w:footnote>
  <w:footnote w:id="13">
    <w:p w14:paraId="42E82B61" w14:textId="77777777" w:rsidR="00F90BE8" w:rsidRDefault="00595360">
      <w:pPr>
        <w:pStyle w:val="FootnoteText"/>
        <w:jc w:val="left"/>
      </w:pPr>
      <w:r>
        <w:rPr>
          <w:rStyle w:val="FootnoteReference"/>
        </w:rPr>
        <w:footnoteRef/>
      </w:r>
      <w:r>
        <w:t xml:space="preserve"> 47 C.F.R. § 76.905(b)(2)(i).</w:t>
      </w:r>
    </w:p>
  </w:footnote>
  <w:footnote w:id="14">
    <w:p w14:paraId="5FD503CD" w14:textId="77777777" w:rsidR="00F90BE8" w:rsidRDefault="00595360">
      <w:pPr>
        <w:pStyle w:val="FootnoteText"/>
        <w:jc w:val="left"/>
      </w:pPr>
      <w:r>
        <w:rPr>
          <w:rStyle w:val="FootnoteReference"/>
        </w:rPr>
        <w:footnoteRef/>
      </w:r>
      <w:r>
        <w:t xml:space="preserve"> </w:t>
      </w:r>
      <w:r>
        <w:rPr>
          <w:i/>
        </w:rPr>
        <w:t>Effective Competition Order</w:t>
      </w:r>
      <w:r>
        <w:t>, 30 FCC Rcd at 6580-81, ¶ 8.</w:t>
      </w:r>
    </w:p>
  </w:footnote>
  <w:footnote w:id="15">
    <w:p w14:paraId="09FFA7F7" w14:textId="77777777" w:rsidR="00F90BE8" w:rsidRDefault="00595360">
      <w:pPr>
        <w:pStyle w:val="FootnoteText"/>
        <w:jc w:val="left"/>
      </w:pPr>
      <w:r>
        <w:rPr>
          <w:rStyle w:val="FootnoteReference"/>
        </w:rPr>
        <w:footnoteRef/>
      </w:r>
      <w:r>
        <w:t xml:space="preserve"> 47 C.F.R. § 76.905(b)(2)(ii).</w:t>
      </w:r>
    </w:p>
  </w:footnote>
  <w:footnote w:id="16">
    <w:p w14:paraId="2FDB7610" w14:textId="77777777" w:rsidR="00F90BE8" w:rsidRDefault="00595360">
      <w:pPr>
        <w:pStyle w:val="FootnoteText"/>
        <w:jc w:val="left"/>
      </w:pPr>
      <w:r>
        <w:rPr>
          <w:rStyle w:val="FootnoteReference"/>
        </w:rPr>
        <w:footnoteRef/>
      </w:r>
      <w:r>
        <w:t xml:space="preserve"> </w:t>
      </w:r>
      <w:r>
        <w:rPr>
          <w:i/>
        </w:rPr>
        <w:t>Effective Competition Order</w:t>
      </w:r>
      <w:r>
        <w:t>, 30 FCC Rcd at 6581-82, ¶ 9.</w:t>
      </w:r>
    </w:p>
  </w:footnote>
  <w:footnote w:id="17">
    <w:p w14:paraId="01DD945F" w14:textId="3475BC3E" w:rsidR="00536A0F" w:rsidRDefault="00536A0F" w:rsidP="001C0D0B">
      <w:pPr>
        <w:pStyle w:val="FootnoteText"/>
        <w:jc w:val="left"/>
      </w:pPr>
      <w:r>
        <w:rPr>
          <w:rStyle w:val="FootnoteReference"/>
        </w:rPr>
        <w:footnoteRef/>
      </w:r>
      <w:r>
        <w:t xml:space="preserve"> Oppositions at 3.</w:t>
      </w:r>
      <w:r w:rsidR="004930DA">
        <w:t xml:space="preserve">  Nine-digit zip codes are relevant because Petitioner used th</w:t>
      </w:r>
      <w:r w:rsidR="0006413E">
        <w:t>e</w:t>
      </w:r>
      <w:r w:rsidR="004930DA">
        <w:t xml:space="preserve"> data SNL </w:t>
      </w:r>
      <w:r w:rsidR="005275E5">
        <w:t xml:space="preserve">Kagan </w:t>
      </w:r>
      <w:r w:rsidR="001C0D0B">
        <w:t xml:space="preserve">provided </w:t>
      </w:r>
      <w:r w:rsidR="004930DA">
        <w:t xml:space="preserve">to purchase a subscriber tracking report from the </w:t>
      </w:r>
      <w:r w:rsidR="004930DA" w:rsidRPr="004930DA">
        <w:rPr>
          <w:szCs w:val="22"/>
        </w:rPr>
        <w:t>Satellite Broadcasting and Communications Association</w:t>
      </w:r>
      <w:r w:rsidR="004930DA" w:rsidRPr="00354DDA">
        <w:rPr>
          <w:szCs w:val="22"/>
        </w:rPr>
        <w:t>, identifying the number of subscribers attributable to the DBS providers within the Attachment A Communities.</w:t>
      </w:r>
      <w:r w:rsidR="004930DA">
        <w:rPr>
          <w:szCs w:val="22"/>
        </w:rPr>
        <w:t xml:space="preserve">  Petitions at 6, 7.</w:t>
      </w:r>
    </w:p>
  </w:footnote>
  <w:footnote w:id="18">
    <w:p w14:paraId="2C91BFC1" w14:textId="0A6EC0FC" w:rsidR="004653A2" w:rsidRDefault="004653A2" w:rsidP="001C0D0B">
      <w:pPr>
        <w:pStyle w:val="FootnoteText"/>
        <w:jc w:val="left"/>
      </w:pPr>
      <w:r>
        <w:rPr>
          <w:rStyle w:val="FootnoteReference"/>
        </w:rPr>
        <w:footnoteRef/>
      </w:r>
      <w:r>
        <w:t xml:space="preserve"> </w:t>
      </w:r>
      <w:r w:rsidR="004930DA">
        <w:t>Oppositions</w:t>
      </w:r>
      <w:r>
        <w:t xml:space="preserve"> at</w:t>
      </w:r>
      <w:r w:rsidR="001C0D0B">
        <w:t xml:space="preserve"> </w:t>
      </w:r>
      <w:r w:rsidR="001C0D0B" w:rsidRPr="001C0D0B">
        <w:t>5</w:t>
      </w:r>
      <w:r w:rsidR="004930DA">
        <w:t>.</w:t>
      </w:r>
      <w:r>
        <w:t xml:space="preserve"> </w:t>
      </w:r>
    </w:p>
  </w:footnote>
  <w:footnote w:id="19">
    <w:p w14:paraId="6E760E47" w14:textId="77777777" w:rsidR="00C44F59" w:rsidRDefault="00C44F59" w:rsidP="001C0D0B">
      <w:pPr>
        <w:pStyle w:val="FootnoteText"/>
        <w:jc w:val="left"/>
      </w:pPr>
      <w:r>
        <w:rPr>
          <w:rStyle w:val="FootnoteReference"/>
        </w:rPr>
        <w:footnoteRef/>
      </w:r>
      <w:r>
        <w:t xml:space="preserve"> Replies at 2-3.</w:t>
      </w:r>
    </w:p>
  </w:footnote>
  <w:footnote w:id="20">
    <w:p w14:paraId="420EAF5B" w14:textId="27D3FBC7" w:rsidR="002C1AF8" w:rsidRDefault="002C1AF8" w:rsidP="001C0D0B">
      <w:pPr>
        <w:pStyle w:val="FootnoteText"/>
        <w:jc w:val="left"/>
      </w:pPr>
      <w:r>
        <w:rPr>
          <w:rStyle w:val="FootnoteReference"/>
        </w:rPr>
        <w:footnoteRef/>
      </w:r>
      <w:r>
        <w:t xml:space="preserve"> </w:t>
      </w:r>
      <w:r>
        <w:rPr>
          <w:i/>
        </w:rPr>
        <w:t xml:space="preserve">See </w:t>
      </w:r>
      <w:r>
        <w:t xml:space="preserve">CSR </w:t>
      </w:r>
      <w:r w:rsidRPr="00A03B6C">
        <w:t>8794-E Petition at Exhibit 4; CSR 8795-E Petition at Exhibit 5 and accompanying CD; CSR 8796-E Petition at Exhibit 6 and accompanying CD.  Indeed</w:t>
      </w:r>
      <w:r>
        <w:t xml:space="preserve">, as the Petitioner observes, the consultant retained by the Minnesota Local Commissions </w:t>
      </w:r>
      <w:r w:rsidR="004930DA">
        <w:t>relied upon</w:t>
      </w:r>
      <w:r>
        <w:t xml:space="preserve"> the very same type of data in a previous case.  </w:t>
      </w:r>
      <w:r>
        <w:rPr>
          <w:i/>
        </w:rPr>
        <w:t xml:space="preserve">See </w:t>
      </w:r>
      <w:r>
        <w:t>Replies at 3</w:t>
      </w:r>
      <w:r>
        <w:rPr>
          <w:i/>
        </w:rPr>
        <w:t xml:space="preserve"> </w:t>
      </w:r>
      <w:r>
        <w:t xml:space="preserve">(citing </w:t>
      </w:r>
      <w:r>
        <w:rPr>
          <w:i/>
        </w:rPr>
        <w:t>Comcast Cable Comm’ns, LLC</w:t>
      </w:r>
      <w:r>
        <w:t xml:space="preserve">, 28 FCC Rcd 5508 (MB 2013)). </w:t>
      </w:r>
    </w:p>
  </w:footnote>
  <w:footnote w:id="21">
    <w:p w14:paraId="27EAFC7D" w14:textId="77777777" w:rsidR="00F90BE8" w:rsidRDefault="00595360" w:rsidP="00FA63AA">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72A8" w14:textId="77777777" w:rsidR="00CF0B91" w:rsidRDefault="00CF0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9028" w14:textId="2D46300A" w:rsidR="00F90BE8" w:rsidRDefault="00595360">
    <w:pPr>
      <w:pStyle w:val="Header"/>
      <w:tabs>
        <w:tab w:val="clear" w:pos="4320"/>
        <w:tab w:val="clear" w:pos="8640"/>
        <w:tab w:val="center" w:pos="4680"/>
        <w:tab w:val="right" w:pos="9360"/>
      </w:tabs>
      <w:rPr>
        <w:b/>
      </w:rPr>
    </w:pPr>
    <w:r>
      <w:rPr>
        <w:b/>
      </w:rPr>
      <w:tab/>
      <w:t>Federal Communications Commission</w:t>
    </w:r>
    <w:r>
      <w:rPr>
        <w:b/>
      </w:rPr>
      <w:tab/>
      <w:t>DA 16-</w:t>
    </w:r>
    <w:r w:rsidR="00A162C0">
      <w:rPr>
        <w:b/>
      </w:rPr>
      <w:t>193</w:t>
    </w:r>
    <w:r>
      <w:rPr>
        <w:b/>
      </w:rPr>
      <w:t xml:space="preserve"> </w:t>
    </w:r>
  </w:p>
  <w:p w14:paraId="27BE24DA" w14:textId="77777777" w:rsidR="00F90BE8" w:rsidRDefault="005F21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22366E6" wp14:editId="132F56B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B7B4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44987C43" w14:textId="77777777" w:rsidR="00F90BE8" w:rsidRDefault="00F9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8D05B" w14:textId="68F29F34" w:rsidR="004E5D79" w:rsidRDefault="004E5D79" w:rsidP="004E5D79">
    <w:pPr>
      <w:pStyle w:val="Header"/>
      <w:tabs>
        <w:tab w:val="clear" w:pos="4320"/>
        <w:tab w:val="clear" w:pos="8640"/>
        <w:tab w:val="center" w:pos="4680"/>
        <w:tab w:val="right" w:pos="9360"/>
      </w:tabs>
      <w:rPr>
        <w:b/>
      </w:rPr>
    </w:pPr>
    <w:r>
      <w:rPr>
        <w:b/>
      </w:rPr>
      <w:tab/>
      <w:t>Federal Communications Commission</w:t>
    </w:r>
    <w:r>
      <w:rPr>
        <w:b/>
      </w:rPr>
      <w:tab/>
      <w:t>DA 16-</w:t>
    </w:r>
    <w:r w:rsidR="00A162C0">
      <w:rPr>
        <w:b/>
      </w:rPr>
      <w:t>193</w:t>
    </w:r>
    <w:r>
      <w:rPr>
        <w:b/>
      </w:rPr>
      <w:t xml:space="preserve"> </w:t>
    </w:r>
  </w:p>
  <w:p w14:paraId="22BDE244" w14:textId="77777777" w:rsidR="00F90BE8" w:rsidRPr="004E5D79" w:rsidRDefault="004E5D79"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A1E065E" wp14:editId="0CE708DC">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CB53B"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6413E"/>
    <w:rsid w:val="00102077"/>
    <w:rsid w:val="00176133"/>
    <w:rsid w:val="001C0D0B"/>
    <w:rsid w:val="002A111B"/>
    <w:rsid w:val="002C1AF8"/>
    <w:rsid w:val="00381BAC"/>
    <w:rsid w:val="003E0CA5"/>
    <w:rsid w:val="004342D6"/>
    <w:rsid w:val="004653A2"/>
    <w:rsid w:val="004930DA"/>
    <w:rsid w:val="004E5D79"/>
    <w:rsid w:val="004E7CAE"/>
    <w:rsid w:val="005275E5"/>
    <w:rsid w:val="00536A0F"/>
    <w:rsid w:val="005869CB"/>
    <w:rsid w:val="00595360"/>
    <w:rsid w:val="005A024F"/>
    <w:rsid w:val="005F21A2"/>
    <w:rsid w:val="005F6083"/>
    <w:rsid w:val="006E3B09"/>
    <w:rsid w:val="00741F22"/>
    <w:rsid w:val="00770E57"/>
    <w:rsid w:val="0077139A"/>
    <w:rsid w:val="007A542E"/>
    <w:rsid w:val="008A2262"/>
    <w:rsid w:val="009036E7"/>
    <w:rsid w:val="00910AE7"/>
    <w:rsid w:val="0093268D"/>
    <w:rsid w:val="009A73ED"/>
    <w:rsid w:val="009D5891"/>
    <w:rsid w:val="009F61AA"/>
    <w:rsid w:val="00A162C0"/>
    <w:rsid w:val="00A24984"/>
    <w:rsid w:val="00A673B3"/>
    <w:rsid w:val="00A8554C"/>
    <w:rsid w:val="00BC5364"/>
    <w:rsid w:val="00C44F59"/>
    <w:rsid w:val="00C567F2"/>
    <w:rsid w:val="00C62827"/>
    <w:rsid w:val="00CF0B91"/>
    <w:rsid w:val="00D2409E"/>
    <w:rsid w:val="00E07545"/>
    <w:rsid w:val="00E11723"/>
    <w:rsid w:val="00E67C25"/>
    <w:rsid w:val="00F90BE8"/>
    <w:rsid w:val="00FA2AAA"/>
    <w:rsid w:val="00FA63AA"/>
    <w:rsid w:val="00FA728D"/>
    <w:rsid w:val="00FC07C6"/>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11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FA728D"/>
  </w:style>
  <w:style w:type="character" w:customStyle="1" w:styleId="EndnoteTextChar">
    <w:name w:val="Endnote Text Char"/>
    <w:basedOn w:val="DefaultParagraphFont"/>
    <w:link w:val="EndnoteText"/>
    <w:semiHidden/>
    <w:rsid w:val="002C1AF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FA728D"/>
  </w:style>
  <w:style w:type="character" w:customStyle="1" w:styleId="EndnoteTextChar">
    <w:name w:val="Endnote Text Char"/>
    <w:basedOn w:val="DefaultParagraphFont"/>
    <w:link w:val="EndnoteText"/>
    <w:semiHidden/>
    <w:rsid w:val="002C1A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1172</Words>
  <Characters>6463</Characters>
  <Application>Microsoft Office Word</Application>
  <DocSecurity>0</DocSecurity>
  <Lines>199</Lines>
  <Paragraphs>116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2016-02-23T16:30:00Z</cp:lastPrinted>
  <dcterms:created xsi:type="dcterms:W3CDTF">2016-02-24T13:02:00Z</dcterms:created>
  <dcterms:modified xsi:type="dcterms:W3CDTF">2016-02-24T13:02:00Z</dcterms:modified>
  <cp:category> </cp:category>
  <cp:contentStatus> </cp:contentStatus>
</cp:coreProperties>
</file>