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C3C3" w14:textId="77777777" w:rsidR="007C5978" w:rsidRDefault="007C5978" w:rsidP="00D47505">
      <w:pPr>
        <w:jc w:val="right"/>
        <w:rPr>
          <w:b/>
          <w:sz w:val="24"/>
        </w:rPr>
      </w:pPr>
      <w:bookmarkStart w:id="0" w:name="_GoBack"/>
      <w:bookmarkEnd w:id="0"/>
    </w:p>
    <w:p w14:paraId="77F80E8A" w14:textId="5A4EA47E" w:rsidR="00D47505" w:rsidRPr="00D73D24" w:rsidRDefault="007C5978" w:rsidP="00D47505">
      <w:pPr>
        <w:jc w:val="right"/>
        <w:rPr>
          <w:b/>
          <w:szCs w:val="22"/>
        </w:rPr>
      </w:pPr>
      <w:r w:rsidRPr="00D73D24">
        <w:rPr>
          <w:b/>
          <w:szCs w:val="22"/>
        </w:rPr>
        <w:t>D</w:t>
      </w:r>
      <w:r w:rsidR="00027B25" w:rsidRPr="00D73D24">
        <w:rPr>
          <w:b/>
          <w:szCs w:val="22"/>
        </w:rPr>
        <w:t>A</w:t>
      </w:r>
      <w:r w:rsidR="004D3CE8" w:rsidRPr="00D73D24">
        <w:rPr>
          <w:b/>
          <w:szCs w:val="22"/>
        </w:rPr>
        <w:t xml:space="preserve"> 1</w:t>
      </w:r>
      <w:r w:rsidR="0004569A" w:rsidRPr="00D73D24">
        <w:rPr>
          <w:b/>
          <w:szCs w:val="22"/>
        </w:rPr>
        <w:t>6</w:t>
      </w:r>
      <w:r w:rsidR="004D3CE8" w:rsidRPr="00D73D24">
        <w:rPr>
          <w:b/>
          <w:szCs w:val="22"/>
        </w:rPr>
        <w:t>-</w:t>
      </w:r>
      <w:r w:rsidR="008737C4">
        <w:rPr>
          <w:b/>
          <w:szCs w:val="22"/>
        </w:rPr>
        <w:t>195</w:t>
      </w:r>
    </w:p>
    <w:p w14:paraId="0252CA55" w14:textId="1BD07094" w:rsidR="00D47505" w:rsidRPr="00D73D24" w:rsidRDefault="00B338A9" w:rsidP="00D47505">
      <w:pPr>
        <w:spacing w:before="60"/>
        <w:jc w:val="right"/>
        <w:rPr>
          <w:b/>
          <w:szCs w:val="22"/>
        </w:rPr>
      </w:pPr>
      <w:r w:rsidRPr="00D73D24">
        <w:rPr>
          <w:b/>
          <w:szCs w:val="22"/>
        </w:rPr>
        <w:t xml:space="preserve">Released:  </w:t>
      </w:r>
      <w:r w:rsidR="003236FC" w:rsidRPr="00D73D24">
        <w:rPr>
          <w:b/>
          <w:szCs w:val="22"/>
        </w:rPr>
        <w:t xml:space="preserve">February </w:t>
      </w:r>
      <w:r w:rsidR="00A01175" w:rsidRPr="00A01175">
        <w:rPr>
          <w:b/>
          <w:szCs w:val="22"/>
        </w:rPr>
        <w:t>24</w:t>
      </w:r>
      <w:r w:rsidR="007C5978" w:rsidRPr="00D73D24">
        <w:rPr>
          <w:b/>
          <w:szCs w:val="22"/>
        </w:rPr>
        <w:t>, 201</w:t>
      </w:r>
      <w:r w:rsidR="00E71D0C" w:rsidRPr="00D73D24">
        <w:rPr>
          <w:b/>
          <w:szCs w:val="22"/>
        </w:rPr>
        <w:t>6</w:t>
      </w:r>
    </w:p>
    <w:p w14:paraId="3D28DEA5" w14:textId="77777777" w:rsidR="00D47505" w:rsidRPr="00D73D24" w:rsidRDefault="00D47505" w:rsidP="00D47505">
      <w:pPr>
        <w:jc w:val="right"/>
        <w:rPr>
          <w:szCs w:val="22"/>
        </w:rPr>
      </w:pPr>
    </w:p>
    <w:p w14:paraId="4EAA75DD" w14:textId="15921C35" w:rsidR="000C2592" w:rsidRPr="00D73D24" w:rsidRDefault="00953F7F" w:rsidP="00953F7F">
      <w:pPr>
        <w:jc w:val="center"/>
        <w:rPr>
          <w:b/>
          <w:szCs w:val="22"/>
        </w:rPr>
      </w:pPr>
      <w:r w:rsidRPr="00D73D24">
        <w:rPr>
          <w:b/>
          <w:szCs w:val="22"/>
        </w:rPr>
        <w:t xml:space="preserve">WIRELINE COMPETITION BUREAU ANNOUNCES </w:t>
      </w:r>
      <w:r w:rsidR="000C2592" w:rsidRPr="00D73D24">
        <w:rPr>
          <w:b/>
          <w:szCs w:val="22"/>
        </w:rPr>
        <w:t>RURAL BROADBAND EXPERIMENTS SUPPORT FOR PROVISIONALLY SELECTED BID READY TO BE AUTHORIZED</w:t>
      </w:r>
    </w:p>
    <w:p w14:paraId="361063AF" w14:textId="77777777" w:rsidR="000C2592" w:rsidRPr="00D73D24" w:rsidRDefault="000C2592" w:rsidP="000C2592">
      <w:pPr>
        <w:jc w:val="center"/>
        <w:rPr>
          <w:b/>
          <w:szCs w:val="22"/>
        </w:rPr>
      </w:pPr>
    </w:p>
    <w:p w14:paraId="7C788196" w14:textId="6CD350F4" w:rsidR="000C2592" w:rsidRPr="00D73D24" w:rsidRDefault="00953F7F" w:rsidP="00C50E06">
      <w:pPr>
        <w:jc w:val="center"/>
        <w:rPr>
          <w:b/>
          <w:szCs w:val="22"/>
        </w:rPr>
      </w:pPr>
      <w:r w:rsidRPr="00D73D24">
        <w:rPr>
          <w:b/>
          <w:szCs w:val="22"/>
        </w:rPr>
        <w:t xml:space="preserve">New Lisbon </w:t>
      </w:r>
      <w:r w:rsidR="00123623" w:rsidRPr="00D73D24">
        <w:rPr>
          <w:b/>
          <w:szCs w:val="22"/>
        </w:rPr>
        <w:t>Broadband and Communications, LLC</w:t>
      </w:r>
      <w:r w:rsidR="003236FC" w:rsidRPr="00D73D24">
        <w:rPr>
          <w:b/>
          <w:szCs w:val="22"/>
        </w:rPr>
        <w:t xml:space="preserve"> </w:t>
      </w:r>
      <w:r w:rsidRPr="00D73D24">
        <w:rPr>
          <w:b/>
          <w:szCs w:val="22"/>
        </w:rPr>
        <w:t xml:space="preserve">Must Submit Letter of Credit and Legal Counsel’s Opinion Letter by </w:t>
      </w:r>
      <w:r w:rsidR="00A01175">
        <w:rPr>
          <w:b/>
          <w:szCs w:val="22"/>
        </w:rPr>
        <w:t>March 7</w:t>
      </w:r>
      <w:r w:rsidR="000C2592" w:rsidRPr="00D73D24">
        <w:rPr>
          <w:b/>
          <w:szCs w:val="22"/>
        </w:rPr>
        <w:t>, 201</w:t>
      </w:r>
      <w:r w:rsidR="00802837" w:rsidRPr="00D73D24">
        <w:rPr>
          <w:b/>
          <w:szCs w:val="22"/>
        </w:rPr>
        <w:t>6</w:t>
      </w:r>
    </w:p>
    <w:p w14:paraId="2286FBD8" w14:textId="77777777" w:rsidR="0045546E" w:rsidRPr="00D73D24" w:rsidRDefault="0045546E" w:rsidP="0045546E">
      <w:pPr>
        <w:jc w:val="center"/>
        <w:rPr>
          <w:rFonts w:ascii="Times New Roman Bold" w:hAnsi="Times New Roman Bold"/>
          <w:b/>
          <w:caps/>
          <w:szCs w:val="22"/>
        </w:rPr>
      </w:pPr>
    </w:p>
    <w:p w14:paraId="31A748EE" w14:textId="77777777" w:rsidR="00D47505" w:rsidRPr="00D73D24" w:rsidRDefault="007C5978" w:rsidP="00D47505">
      <w:pPr>
        <w:jc w:val="center"/>
        <w:rPr>
          <w:b/>
          <w:szCs w:val="22"/>
        </w:rPr>
      </w:pPr>
      <w:r w:rsidRPr="00D73D24">
        <w:rPr>
          <w:b/>
          <w:szCs w:val="22"/>
        </w:rPr>
        <w:t>WC Docket No. 10-90</w:t>
      </w:r>
    </w:p>
    <w:p w14:paraId="79A59CF0" w14:textId="77777777" w:rsidR="007C5978" w:rsidRPr="00D73D24" w:rsidRDefault="007C5978" w:rsidP="00EE4761">
      <w:pPr>
        <w:jc w:val="center"/>
        <w:rPr>
          <w:b/>
          <w:szCs w:val="22"/>
        </w:rPr>
      </w:pPr>
      <w:r w:rsidRPr="00D73D24">
        <w:rPr>
          <w:b/>
          <w:szCs w:val="22"/>
        </w:rPr>
        <w:t>WC Docket No. 14-259</w:t>
      </w:r>
    </w:p>
    <w:p w14:paraId="31642B56" w14:textId="77777777" w:rsidR="008F4FF3" w:rsidRDefault="008F4FF3" w:rsidP="00EE4761">
      <w:pPr>
        <w:jc w:val="center"/>
        <w:rPr>
          <w:b/>
          <w:sz w:val="24"/>
        </w:rPr>
      </w:pPr>
    </w:p>
    <w:p w14:paraId="3E52ACFB" w14:textId="403A573D" w:rsidR="00F36818" w:rsidRDefault="000C2592" w:rsidP="000C05B4">
      <w:pPr>
        <w:widowControl/>
        <w:spacing w:after="120"/>
        <w:ind w:firstLine="720"/>
        <w:rPr>
          <w:szCs w:val="22"/>
        </w:rPr>
      </w:pPr>
      <w:r>
        <w:rPr>
          <w:szCs w:val="22"/>
        </w:rPr>
        <w:t xml:space="preserve">By this Public Notice, the </w:t>
      </w:r>
      <w:r w:rsidR="00285970">
        <w:rPr>
          <w:szCs w:val="22"/>
        </w:rPr>
        <w:t xml:space="preserve">Wireline Competition </w:t>
      </w:r>
      <w:r>
        <w:rPr>
          <w:szCs w:val="22"/>
        </w:rPr>
        <w:t xml:space="preserve">Bureau </w:t>
      </w:r>
      <w:r w:rsidR="00285970">
        <w:rPr>
          <w:szCs w:val="22"/>
        </w:rPr>
        <w:t xml:space="preserve">(Bureau) </w:t>
      </w:r>
      <w:r>
        <w:rPr>
          <w:szCs w:val="22"/>
        </w:rPr>
        <w:t xml:space="preserve">announces that it is ready to authorize </w:t>
      </w:r>
      <w:r w:rsidR="00E81105">
        <w:rPr>
          <w:szCs w:val="22"/>
        </w:rPr>
        <w:t>r</w:t>
      </w:r>
      <w:r w:rsidR="00225D55">
        <w:rPr>
          <w:szCs w:val="22"/>
        </w:rPr>
        <w:t xml:space="preserve">ural </w:t>
      </w:r>
      <w:r w:rsidR="00E81105">
        <w:rPr>
          <w:szCs w:val="22"/>
        </w:rPr>
        <w:t>b</w:t>
      </w:r>
      <w:r w:rsidR="00225D55">
        <w:rPr>
          <w:szCs w:val="22"/>
        </w:rPr>
        <w:t xml:space="preserve">roadband </w:t>
      </w:r>
      <w:r w:rsidR="00E81105">
        <w:rPr>
          <w:szCs w:val="22"/>
        </w:rPr>
        <w:t>e</w:t>
      </w:r>
      <w:r w:rsidR="00225D55">
        <w:rPr>
          <w:szCs w:val="22"/>
        </w:rPr>
        <w:t xml:space="preserve">xperiment </w:t>
      </w:r>
      <w:r>
        <w:rPr>
          <w:szCs w:val="22"/>
        </w:rPr>
        <w:t xml:space="preserve">support for </w:t>
      </w:r>
      <w:r w:rsidRPr="004B6FF8">
        <w:rPr>
          <w:szCs w:val="22"/>
        </w:rPr>
        <w:t xml:space="preserve">New Lisbon </w:t>
      </w:r>
      <w:r w:rsidR="00123623">
        <w:rPr>
          <w:szCs w:val="22"/>
        </w:rPr>
        <w:t>Broadband and Communications, LLC</w:t>
      </w:r>
      <w:r>
        <w:rPr>
          <w:szCs w:val="22"/>
        </w:rPr>
        <w:t xml:space="preserve"> (New Lisbon) for</w:t>
      </w:r>
      <w:r w:rsidR="00285970">
        <w:rPr>
          <w:szCs w:val="22"/>
        </w:rPr>
        <w:t xml:space="preserve"> its provisionally selected bid</w:t>
      </w:r>
      <w:r>
        <w:rPr>
          <w:szCs w:val="22"/>
        </w:rPr>
        <w:t xml:space="preserve"> as summarized in the Attachment to this Pub</w:t>
      </w:r>
      <w:r w:rsidR="00285970">
        <w:rPr>
          <w:szCs w:val="22"/>
        </w:rPr>
        <w:t xml:space="preserve">lic Notice.  This </w:t>
      </w:r>
      <w:r w:rsidR="00E81105" w:rsidRPr="004515C4">
        <w:t>$37,695.60</w:t>
      </w:r>
      <w:r w:rsidR="00E81105">
        <w:t xml:space="preserve"> </w:t>
      </w:r>
      <w:r w:rsidR="00285970">
        <w:rPr>
          <w:szCs w:val="22"/>
        </w:rPr>
        <w:t>bid</w:t>
      </w:r>
      <w:r>
        <w:rPr>
          <w:szCs w:val="22"/>
        </w:rPr>
        <w:t xml:space="preserve"> cover</w:t>
      </w:r>
      <w:r w:rsidR="00285970">
        <w:rPr>
          <w:szCs w:val="22"/>
        </w:rPr>
        <w:t>s</w:t>
      </w:r>
      <w:r>
        <w:rPr>
          <w:szCs w:val="22"/>
        </w:rPr>
        <w:t xml:space="preserve"> seven census blocks in rural Indiana.</w:t>
      </w:r>
      <w:r w:rsidR="00D12B06">
        <w:rPr>
          <w:rStyle w:val="FootnoteReference"/>
          <w:szCs w:val="22"/>
        </w:rPr>
        <w:footnoteReference w:id="2"/>
      </w:r>
      <w:r>
        <w:rPr>
          <w:szCs w:val="22"/>
        </w:rPr>
        <w:t xml:space="preserve">  </w:t>
      </w:r>
      <w:r w:rsidR="00D12B06">
        <w:rPr>
          <w:szCs w:val="22"/>
        </w:rPr>
        <w:t>W</w:t>
      </w:r>
      <w:r w:rsidR="000C05B4">
        <w:rPr>
          <w:szCs w:val="22"/>
        </w:rPr>
        <w:t xml:space="preserve">e </w:t>
      </w:r>
      <w:r w:rsidR="00D12B06">
        <w:rPr>
          <w:szCs w:val="22"/>
        </w:rPr>
        <w:t xml:space="preserve">also </w:t>
      </w:r>
      <w:r w:rsidR="000C05B4">
        <w:rPr>
          <w:szCs w:val="22"/>
        </w:rPr>
        <w:t xml:space="preserve">grant New Lisbon’s petition for waiver and extension of its obligation to submit by March 5, 2015, proof of </w:t>
      </w:r>
      <w:r w:rsidR="002B30BF">
        <w:rPr>
          <w:szCs w:val="22"/>
        </w:rPr>
        <w:t>eligible telecommunications carrier (</w:t>
      </w:r>
      <w:r w:rsidR="000C05B4">
        <w:rPr>
          <w:szCs w:val="22"/>
        </w:rPr>
        <w:t>ETC</w:t>
      </w:r>
      <w:r w:rsidR="002B30BF">
        <w:rPr>
          <w:szCs w:val="22"/>
        </w:rPr>
        <w:t>)</w:t>
      </w:r>
      <w:r w:rsidR="000C05B4">
        <w:rPr>
          <w:szCs w:val="22"/>
        </w:rPr>
        <w:t xml:space="preserve"> designation in all areas covered by its provisionally selected bid.</w:t>
      </w:r>
      <w:r w:rsidR="000C05B4">
        <w:rPr>
          <w:rStyle w:val="FootnoteReference"/>
          <w:szCs w:val="22"/>
        </w:rPr>
        <w:footnoteReference w:id="3"/>
      </w:r>
      <w:r w:rsidR="00F23D22">
        <w:rPr>
          <w:szCs w:val="22"/>
        </w:rPr>
        <w:t xml:space="preserve">  </w:t>
      </w:r>
    </w:p>
    <w:p w14:paraId="7F2E1FC6" w14:textId="28DDC5FD" w:rsidR="000C2592" w:rsidRPr="000C05B4" w:rsidRDefault="000C2592" w:rsidP="000C05B4">
      <w:pPr>
        <w:widowControl/>
        <w:spacing w:after="120"/>
        <w:ind w:firstLine="720"/>
        <w:rPr>
          <w:szCs w:val="22"/>
        </w:rPr>
      </w:pPr>
      <w:r>
        <w:rPr>
          <w:szCs w:val="22"/>
        </w:rPr>
        <w:t>To be authorized to receive this support, New Lisbon must</w:t>
      </w:r>
      <w:r w:rsidR="00E81105">
        <w:rPr>
          <w:szCs w:val="22"/>
        </w:rPr>
        <w:t xml:space="preserve"> submit at least one acceptable </w:t>
      </w:r>
      <w:r>
        <w:rPr>
          <w:szCs w:val="22"/>
        </w:rPr>
        <w:t xml:space="preserve">irrevocable stand-by letter of credit (LOC) and Bankruptcy Code opinion letter from </w:t>
      </w:r>
      <w:r w:rsidR="00D12B06">
        <w:rPr>
          <w:szCs w:val="22"/>
        </w:rPr>
        <w:t>it</w:t>
      </w:r>
      <w:r w:rsidR="006F7053">
        <w:rPr>
          <w:szCs w:val="22"/>
        </w:rPr>
        <w:t>s</w:t>
      </w:r>
      <w:r>
        <w:rPr>
          <w:szCs w:val="22"/>
        </w:rPr>
        <w:t xml:space="preserve"> legal counsel in accordance with the instructions provided below by the applicable deadline – </w:t>
      </w:r>
      <w:r w:rsidR="00A01175" w:rsidRPr="00A01175">
        <w:rPr>
          <w:b/>
          <w:szCs w:val="22"/>
        </w:rPr>
        <w:t>March 7</w:t>
      </w:r>
      <w:r>
        <w:rPr>
          <w:b/>
          <w:szCs w:val="22"/>
        </w:rPr>
        <w:t>, 201</w:t>
      </w:r>
      <w:r w:rsidR="0004569A">
        <w:rPr>
          <w:b/>
          <w:szCs w:val="22"/>
        </w:rPr>
        <w:t>6</w:t>
      </w:r>
      <w:r>
        <w:rPr>
          <w:b/>
          <w:szCs w:val="22"/>
        </w:rPr>
        <w:t xml:space="preserve"> at 11:59 p.m. ET</w:t>
      </w:r>
      <w:r w:rsidRPr="00A719E5">
        <w:rPr>
          <w:szCs w:val="22"/>
        </w:rPr>
        <w:t>.</w:t>
      </w:r>
      <w:r w:rsidRPr="00A719E5">
        <w:rPr>
          <w:rStyle w:val="FootnoteReference"/>
          <w:szCs w:val="22"/>
        </w:rPr>
        <w:footnoteReference w:id="4"/>
      </w:r>
      <w:r w:rsidRPr="00A719E5">
        <w:rPr>
          <w:szCs w:val="22"/>
        </w:rPr>
        <w:t xml:space="preserve">  </w:t>
      </w:r>
    </w:p>
    <w:p w14:paraId="126C1B8A" w14:textId="388247D5" w:rsidR="00CB21FD" w:rsidRPr="00F36818" w:rsidRDefault="00F36818" w:rsidP="005C78AF">
      <w:pPr>
        <w:widowControl/>
        <w:spacing w:after="120"/>
        <w:ind w:firstLine="720"/>
        <w:rPr>
          <w:color w:val="000000"/>
          <w:szCs w:val="22"/>
        </w:rPr>
      </w:pPr>
      <w:r w:rsidRPr="00CF16F0">
        <w:rPr>
          <w:szCs w:val="22"/>
        </w:rPr>
        <w:t xml:space="preserve">On December 5, 2014, the </w:t>
      </w:r>
      <w:r>
        <w:rPr>
          <w:szCs w:val="22"/>
        </w:rPr>
        <w:t xml:space="preserve">Bureau announced its provisional selection of a </w:t>
      </w:r>
      <w:r w:rsidRPr="00CF16F0">
        <w:rPr>
          <w:szCs w:val="22"/>
        </w:rPr>
        <w:t>first round of bid</w:t>
      </w:r>
      <w:r>
        <w:rPr>
          <w:szCs w:val="22"/>
        </w:rPr>
        <w:t>s</w:t>
      </w:r>
      <w:r w:rsidRPr="00CF16F0">
        <w:rPr>
          <w:szCs w:val="22"/>
        </w:rPr>
        <w:t xml:space="preserve"> for rural broadband experiments</w:t>
      </w:r>
      <w:r>
        <w:rPr>
          <w:szCs w:val="22"/>
        </w:rPr>
        <w:t xml:space="preserve"> support</w:t>
      </w:r>
      <w:r w:rsidR="00D73D24">
        <w:rPr>
          <w:szCs w:val="22"/>
        </w:rPr>
        <w:t xml:space="preserve">, including New Lisbon’s bid </w:t>
      </w:r>
      <w:r>
        <w:rPr>
          <w:szCs w:val="22"/>
        </w:rPr>
        <w:t>described in the Attachment.</w:t>
      </w:r>
      <w:r w:rsidRPr="00CF16F0">
        <w:rPr>
          <w:rStyle w:val="FootnoteReference"/>
          <w:spacing w:val="-2"/>
          <w:szCs w:val="22"/>
        </w:rPr>
        <w:footnoteReference w:id="5"/>
      </w:r>
      <w:r w:rsidRPr="00CF16F0">
        <w:rPr>
          <w:szCs w:val="22"/>
        </w:rPr>
        <w:t xml:space="preserve">  </w:t>
      </w:r>
      <w:r w:rsidR="00E81105">
        <w:rPr>
          <w:color w:val="000000"/>
          <w:szCs w:val="22"/>
        </w:rPr>
        <w:t>Under</w:t>
      </w:r>
      <w:r>
        <w:rPr>
          <w:color w:val="000000"/>
          <w:szCs w:val="22"/>
        </w:rPr>
        <w:t xml:space="preserve"> the post-selection review process established by the Commission in its </w:t>
      </w:r>
      <w:r w:rsidRPr="00F36818">
        <w:rPr>
          <w:i/>
          <w:color w:val="000000"/>
          <w:szCs w:val="22"/>
        </w:rPr>
        <w:t xml:space="preserve">Rural Broadband Experiments </w:t>
      </w:r>
      <w:r w:rsidRPr="00F36818">
        <w:rPr>
          <w:i/>
          <w:color w:val="000000"/>
          <w:szCs w:val="22"/>
        </w:rPr>
        <w:lastRenderedPageBreak/>
        <w:t>Order</w:t>
      </w:r>
      <w:r w:rsidR="00D73D24">
        <w:rPr>
          <w:color w:val="000000"/>
          <w:szCs w:val="22"/>
        </w:rPr>
        <w:t xml:space="preserve">, release of this notice </w:t>
      </w:r>
      <w:r>
        <w:rPr>
          <w:color w:val="000000"/>
          <w:szCs w:val="22"/>
        </w:rPr>
        <w:t xml:space="preserve">triggered </w:t>
      </w:r>
      <w:r w:rsidR="00E81105">
        <w:rPr>
          <w:color w:val="000000"/>
          <w:szCs w:val="22"/>
        </w:rPr>
        <w:t>these</w:t>
      </w:r>
      <w:r>
        <w:rPr>
          <w:color w:val="000000"/>
          <w:szCs w:val="22"/>
        </w:rPr>
        <w:t xml:space="preserve"> bidders’ obligations to submit, by</w:t>
      </w:r>
      <w:r w:rsidR="00E81105">
        <w:rPr>
          <w:color w:val="000000"/>
          <w:szCs w:val="22"/>
        </w:rPr>
        <w:t xml:space="preserve"> specified</w:t>
      </w:r>
      <w:r>
        <w:rPr>
          <w:color w:val="000000"/>
          <w:szCs w:val="22"/>
        </w:rPr>
        <w:t xml:space="preserve"> deadlines, certain information and documents </w:t>
      </w:r>
      <w:r>
        <w:t>necessary to the Bureau’s assessment of their fitness for authorization</w:t>
      </w:r>
      <w:r w:rsidRPr="003037A5">
        <w:rPr>
          <w:color w:val="000000"/>
          <w:szCs w:val="22"/>
        </w:rPr>
        <w:t>.</w:t>
      </w:r>
      <w:bookmarkStart w:id="1" w:name="co_tablefootnote_3_1"/>
      <w:bookmarkEnd w:id="1"/>
      <w:r>
        <w:rPr>
          <w:rStyle w:val="FootnoteReference"/>
          <w:color w:val="000000"/>
          <w:szCs w:val="22"/>
        </w:rPr>
        <w:footnoteReference w:id="6"/>
      </w:r>
      <w:r w:rsidRPr="003037A5">
        <w:rPr>
          <w:color w:val="000000"/>
          <w:szCs w:val="22"/>
        </w:rPr>
        <w:t xml:space="preserve"> </w:t>
      </w:r>
      <w:r>
        <w:rPr>
          <w:color w:val="000000"/>
          <w:szCs w:val="22"/>
        </w:rPr>
        <w:t xml:space="preserve"> More specifically, </w:t>
      </w:r>
      <w:r w:rsidR="0084554E">
        <w:rPr>
          <w:color w:val="000000"/>
          <w:szCs w:val="22"/>
        </w:rPr>
        <w:t xml:space="preserve">these </w:t>
      </w:r>
      <w:r>
        <w:rPr>
          <w:color w:val="000000"/>
          <w:szCs w:val="22"/>
        </w:rPr>
        <w:t>bidders were required to</w:t>
      </w:r>
      <w:r w:rsidR="00CB21FD" w:rsidRPr="003037A5">
        <w:rPr>
          <w:color w:val="000000"/>
          <w:szCs w:val="22"/>
        </w:rPr>
        <w:t xml:space="preserve"> provide</w:t>
      </w:r>
      <w:r w:rsidR="00CB21FD">
        <w:rPr>
          <w:color w:val="000000"/>
          <w:szCs w:val="22"/>
        </w:rPr>
        <w:t>,</w:t>
      </w:r>
      <w:r w:rsidR="00CB21FD" w:rsidRPr="00CB21FD">
        <w:rPr>
          <w:szCs w:val="22"/>
        </w:rPr>
        <w:t xml:space="preserve"> </w:t>
      </w:r>
      <w:r w:rsidR="00CB21FD">
        <w:rPr>
          <w:szCs w:val="22"/>
        </w:rPr>
        <w:t>w</w:t>
      </w:r>
      <w:r w:rsidR="00CB21FD" w:rsidRPr="00CF16F0">
        <w:rPr>
          <w:szCs w:val="22"/>
        </w:rPr>
        <w:t xml:space="preserve">ithin 10 business days of </w:t>
      </w:r>
      <w:r w:rsidR="00CB21FD">
        <w:rPr>
          <w:szCs w:val="22"/>
        </w:rPr>
        <w:t>the release of the public notice</w:t>
      </w:r>
      <w:r w:rsidR="00CB21FD" w:rsidRPr="00CF16F0">
        <w:rPr>
          <w:szCs w:val="22"/>
        </w:rPr>
        <w:t xml:space="preserve">, </w:t>
      </w:r>
      <w:r w:rsidR="00CB21FD">
        <w:rPr>
          <w:szCs w:val="22"/>
        </w:rPr>
        <w:t xml:space="preserve">certain </w:t>
      </w:r>
      <w:r w:rsidR="00CB21FD" w:rsidRPr="00CF16F0">
        <w:rPr>
          <w:szCs w:val="22"/>
        </w:rPr>
        <w:t>technical and financial information, including the most recent three consecutive years of audited financial statements, a description of the technology and system design that will be used to deliver voice and broadband service</w:t>
      </w:r>
      <w:r w:rsidR="0084554E">
        <w:rPr>
          <w:szCs w:val="22"/>
        </w:rPr>
        <w:t xml:space="preserve"> (</w:t>
      </w:r>
      <w:r w:rsidR="00CB21FD" w:rsidRPr="00CF16F0">
        <w:rPr>
          <w:szCs w:val="22"/>
        </w:rPr>
        <w:t>including a network diagram certified by a professional engineer</w:t>
      </w:r>
      <w:r w:rsidR="0084554E">
        <w:rPr>
          <w:szCs w:val="22"/>
        </w:rPr>
        <w:t>)</w:t>
      </w:r>
      <w:r w:rsidR="00CB21FD" w:rsidRPr="00CF16F0">
        <w:rPr>
          <w:szCs w:val="22"/>
        </w:rPr>
        <w:t>, and for entities proposing to use wireless technologies, a description of spectrum access requirements</w:t>
      </w:r>
      <w:r w:rsidR="00DB6E98">
        <w:rPr>
          <w:szCs w:val="22"/>
        </w:rPr>
        <w:t>.</w:t>
      </w:r>
      <w:r w:rsidR="00CB21FD" w:rsidRPr="00CF16F0">
        <w:rPr>
          <w:rStyle w:val="FootnoteReference"/>
          <w:szCs w:val="22"/>
        </w:rPr>
        <w:footnoteReference w:id="7"/>
      </w:r>
      <w:r w:rsidR="00DB6E98">
        <w:rPr>
          <w:szCs w:val="22"/>
        </w:rPr>
        <w:t xml:space="preserve">  </w:t>
      </w:r>
      <w:r w:rsidR="0084554E">
        <w:rPr>
          <w:szCs w:val="22"/>
        </w:rPr>
        <w:t>W</w:t>
      </w:r>
      <w:r w:rsidR="00CB21FD" w:rsidRPr="00CF16F0">
        <w:rPr>
          <w:szCs w:val="22"/>
        </w:rPr>
        <w:t>ithin 60 days of the public notice,</w:t>
      </w:r>
      <w:r w:rsidR="0084554E">
        <w:rPr>
          <w:szCs w:val="22"/>
        </w:rPr>
        <w:t xml:space="preserve"> these bidders were required to submit</w:t>
      </w:r>
      <w:r w:rsidR="00CB21FD" w:rsidRPr="00CF16F0">
        <w:rPr>
          <w:szCs w:val="22"/>
        </w:rPr>
        <w:t xml:space="preserve"> a letter from an acceptable bank committing to i</w:t>
      </w:r>
      <w:r w:rsidR="00E81105">
        <w:rPr>
          <w:szCs w:val="22"/>
        </w:rPr>
        <w:t>ssue an irrevocable stand-by Letter of Credit (LOC</w:t>
      </w:r>
      <w:r w:rsidR="00DB6E98">
        <w:rPr>
          <w:szCs w:val="22"/>
        </w:rPr>
        <w:t>)</w:t>
      </w:r>
      <w:r w:rsidR="0084554E">
        <w:rPr>
          <w:szCs w:val="22"/>
        </w:rPr>
        <w:t>.</w:t>
      </w:r>
      <w:r w:rsidR="00CB21FD" w:rsidRPr="00CF16F0">
        <w:rPr>
          <w:rStyle w:val="FootnoteReference"/>
          <w:szCs w:val="22"/>
        </w:rPr>
        <w:footnoteReference w:id="8"/>
      </w:r>
      <w:r w:rsidR="00CB21FD" w:rsidRPr="00CF16F0">
        <w:rPr>
          <w:szCs w:val="22"/>
        </w:rPr>
        <w:t xml:space="preserve"> </w:t>
      </w:r>
      <w:r w:rsidR="00E81105">
        <w:rPr>
          <w:szCs w:val="22"/>
        </w:rPr>
        <w:t xml:space="preserve"> </w:t>
      </w:r>
      <w:r w:rsidR="0084554E">
        <w:rPr>
          <w:szCs w:val="22"/>
        </w:rPr>
        <w:t>A</w:t>
      </w:r>
      <w:r w:rsidR="00DB6E98">
        <w:rPr>
          <w:szCs w:val="22"/>
        </w:rPr>
        <w:t>n</w:t>
      </w:r>
      <w:r w:rsidR="00CB21FD" w:rsidRPr="00CF16F0">
        <w:rPr>
          <w:szCs w:val="22"/>
        </w:rPr>
        <w:t>d</w:t>
      </w:r>
      <w:r w:rsidR="00DB6E98">
        <w:rPr>
          <w:szCs w:val="22"/>
        </w:rPr>
        <w:t>,</w:t>
      </w:r>
      <w:r w:rsidR="00CB21FD" w:rsidRPr="00CF16F0">
        <w:rPr>
          <w:szCs w:val="22"/>
        </w:rPr>
        <w:t xml:space="preserve"> within 90 days of the public notice, </w:t>
      </w:r>
      <w:r w:rsidR="0084554E">
        <w:rPr>
          <w:szCs w:val="22"/>
        </w:rPr>
        <w:t xml:space="preserve">these bidders were required </w:t>
      </w:r>
      <w:r w:rsidR="00D12B06">
        <w:rPr>
          <w:szCs w:val="22"/>
        </w:rPr>
        <w:t>to</w:t>
      </w:r>
      <w:r w:rsidR="0084554E">
        <w:rPr>
          <w:szCs w:val="22"/>
        </w:rPr>
        <w:t xml:space="preserve"> submit </w:t>
      </w:r>
      <w:r w:rsidR="00CB21FD" w:rsidRPr="00CF16F0">
        <w:rPr>
          <w:szCs w:val="22"/>
        </w:rPr>
        <w:t xml:space="preserve">appropriate documentation of </w:t>
      </w:r>
      <w:r w:rsidR="0084554E">
        <w:rPr>
          <w:szCs w:val="22"/>
        </w:rPr>
        <w:t xml:space="preserve">their designation as an </w:t>
      </w:r>
      <w:r w:rsidR="00CB21FD" w:rsidRPr="00CF16F0">
        <w:rPr>
          <w:szCs w:val="22"/>
        </w:rPr>
        <w:t>ETC</w:t>
      </w:r>
      <w:r w:rsidR="00DB6E98">
        <w:rPr>
          <w:szCs w:val="22"/>
        </w:rPr>
        <w:t xml:space="preserve"> </w:t>
      </w:r>
      <w:r w:rsidR="00CB21FD" w:rsidRPr="00CF16F0">
        <w:rPr>
          <w:szCs w:val="22"/>
        </w:rPr>
        <w:t xml:space="preserve">in all of the areas for which support </w:t>
      </w:r>
      <w:r w:rsidR="00DB6E98">
        <w:rPr>
          <w:szCs w:val="22"/>
        </w:rPr>
        <w:t>will be received as well as a certification of accuracy.</w:t>
      </w:r>
      <w:r w:rsidR="00CB21FD" w:rsidRPr="00CF16F0">
        <w:rPr>
          <w:rStyle w:val="FootnoteReference"/>
          <w:szCs w:val="22"/>
        </w:rPr>
        <w:footnoteReference w:id="9"/>
      </w:r>
    </w:p>
    <w:p w14:paraId="20636769" w14:textId="5A54965B" w:rsidR="007C5978" w:rsidRPr="00CF16F0" w:rsidRDefault="007C5978" w:rsidP="007C5978">
      <w:pPr>
        <w:spacing w:before="120" w:after="120"/>
        <w:ind w:firstLine="720"/>
        <w:rPr>
          <w:szCs w:val="22"/>
        </w:rPr>
      </w:pPr>
      <w:r w:rsidRPr="00CF16F0">
        <w:rPr>
          <w:szCs w:val="22"/>
        </w:rPr>
        <w:t xml:space="preserve">For </w:t>
      </w:r>
      <w:r w:rsidR="000C2592">
        <w:rPr>
          <w:szCs w:val="22"/>
        </w:rPr>
        <w:t>New Lisbon’s</w:t>
      </w:r>
      <w:r>
        <w:rPr>
          <w:szCs w:val="22"/>
        </w:rPr>
        <w:t xml:space="preserve"> provisionally selected</w:t>
      </w:r>
      <w:r w:rsidR="000C2592">
        <w:rPr>
          <w:szCs w:val="22"/>
        </w:rPr>
        <w:t xml:space="preserve"> bid identified in the Attachment</w:t>
      </w:r>
      <w:r w:rsidR="00D73D24">
        <w:rPr>
          <w:szCs w:val="22"/>
        </w:rPr>
        <w:t>, the Bureau</w:t>
      </w:r>
      <w:r w:rsidRPr="00CF16F0">
        <w:rPr>
          <w:szCs w:val="22"/>
        </w:rPr>
        <w:t xml:space="preserve"> reviewed the submitted materials.  Based on our review, the Bureau is prepared to authorize support</w:t>
      </w:r>
      <w:r>
        <w:rPr>
          <w:szCs w:val="22"/>
        </w:rPr>
        <w:t xml:space="preserve"> for </w:t>
      </w:r>
      <w:r w:rsidR="000C2592">
        <w:rPr>
          <w:szCs w:val="22"/>
        </w:rPr>
        <w:t>this</w:t>
      </w:r>
      <w:r>
        <w:rPr>
          <w:szCs w:val="22"/>
        </w:rPr>
        <w:t xml:space="preserve"> </w:t>
      </w:r>
      <w:r w:rsidR="000C2592">
        <w:rPr>
          <w:szCs w:val="22"/>
        </w:rPr>
        <w:t>bid</w:t>
      </w:r>
      <w:r w:rsidRPr="00CF16F0">
        <w:rPr>
          <w:szCs w:val="22"/>
        </w:rPr>
        <w:t>, subject to submission of the required LOC and Bankruptcy Code opinion lette</w:t>
      </w:r>
      <w:r w:rsidR="00924CF3">
        <w:rPr>
          <w:szCs w:val="22"/>
        </w:rPr>
        <w:t>r</w:t>
      </w:r>
      <w:r w:rsidRPr="00CF16F0">
        <w:rPr>
          <w:szCs w:val="22"/>
        </w:rPr>
        <w:t xml:space="preserve"> </w:t>
      </w:r>
      <w:r>
        <w:rPr>
          <w:szCs w:val="22"/>
        </w:rPr>
        <w:t xml:space="preserve">for </w:t>
      </w:r>
      <w:r w:rsidRPr="00CF16F0">
        <w:rPr>
          <w:szCs w:val="22"/>
        </w:rPr>
        <w:t>the</w:t>
      </w:r>
      <w:r>
        <w:rPr>
          <w:szCs w:val="22"/>
        </w:rPr>
        <w:t xml:space="preserve"> identified bid.</w:t>
      </w:r>
    </w:p>
    <w:p w14:paraId="7A85F039" w14:textId="01AEABBD" w:rsidR="000C2592" w:rsidRPr="009F072A" w:rsidRDefault="000C2592" w:rsidP="000C2592">
      <w:pPr>
        <w:keepNext/>
        <w:widowControl/>
        <w:spacing w:after="120"/>
        <w:ind w:firstLine="720"/>
        <w:rPr>
          <w:szCs w:val="22"/>
        </w:rPr>
      </w:pPr>
      <w:r w:rsidRPr="009F072A">
        <w:rPr>
          <w:i/>
          <w:szCs w:val="22"/>
        </w:rPr>
        <w:lastRenderedPageBreak/>
        <w:t>Technical and Financial Information.</w:t>
      </w:r>
      <w:r w:rsidRPr="009F072A">
        <w:rPr>
          <w:szCs w:val="22"/>
        </w:rPr>
        <w:t xml:space="preserve"> We find that New Lisbon has timely submitted the required technical and financial information.</w:t>
      </w:r>
      <w:r>
        <w:rPr>
          <w:rStyle w:val="FootnoteReference"/>
          <w:szCs w:val="22"/>
        </w:rPr>
        <w:footnoteReference w:id="10"/>
      </w:r>
      <w:r w:rsidR="0084554E">
        <w:rPr>
          <w:szCs w:val="22"/>
        </w:rPr>
        <w:t xml:space="preserve">  Based on </w:t>
      </w:r>
      <w:r w:rsidRPr="009F072A">
        <w:rPr>
          <w:szCs w:val="22"/>
        </w:rPr>
        <w:t>our review of this information, we find that New Lisbon has demonstrated sufficient ability to meet its commitments.</w:t>
      </w:r>
    </w:p>
    <w:p w14:paraId="7F5DAB52" w14:textId="77777777" w:rsidR="000C2592" w:rsidRPr="009F072A" w:rsidRDefault="000C2592" w:rsidP="000C2592">
      <w:pPr>
        <w:keepNext/>
        <w:widowControl/>
        <w:spacing w:after="120"/>
        <w:ind w:firstLine="720"/>
        <w:rPr>
          <w:szCs w:val="22"/>
        </w:rPr>
      </w:pPr>
      <w:r w:rsidRPr="009F072A">
        <w:rPr>
          <w:i/>
          <w:szCs w:val="22"/>
        </w:rPr>
        <w:t xml:space="preserve">LOC Commitment Letter.  </w:t>
      </w:r>
      <w:r w:rsidRPr="009F072A">
        <w:rPr>
          <w:szCs w:val="22"/>
        </w:rPr>
        <w:t>We find that New Lisbon has timely submitted the required letter from a bank meeting the Commission’s requirements committing to issue an irrevocable stand-by original LOC to New Lisbon sufficient to cover the winning bid.</w:t>
      </w:r>
      <w:r>
        <w:rPr>
          <w:rStyle w:val="FootnoteReference"/>
          <w:szCs w:val="22"/>
        </w:rPr>
        <w:footnoteReference w:id="11"/>
      </w:r>
    </w:p>
    <w:p w14:paraId="70F91435" w14:textId="39A2A369" w:rsidR="00937C30" w:rsidRDefault="000C2592" w:rsidP="00937C30">
      <w:pPr>
        <w:keepNext/>
        <w:widowControl/>
        <w:spacing w:after="120"/>
        <w:ind w:firstLine="720"/>
      </w:pPr>
      <w:r w:rsidRPr="009F072A">
        <w:rPr>
          <w:i/>
          <w:szCs w:val="22"/>
        </w:rPr>
        <w:t xml:space="preserve">ETC Designation.  </w:t>
      </w:r>
      <w:r w:rsidRPr="009F072A">
        <w:rPr>
          <w:szCs w:val="22"/>
        </w:rPr>
        <w:t>We find that New Lisbon has submitted documentation sufficient to show that the relevant state authority has designated New Lisbon as an ETC in all areas covered by its winning</w:t>
      </w:r>
      <w:r w:rsidR="00D73D24">
        <w:rPr>
          <w:szCs w:val="22"/>
        </w:rPr>
        <w:t xml:space="preserve"> </w:t>
      </w:r>
      <w:r w:rsidRPr="009F072A">
        <w:rPr>
          <w:szCs w:val="22"/>
        </w:rPr>
        <w:t>bid.</w:t>
      </w:r>
      <w:r w:rsidR="002862BC">
        <w:rPr>
          <w:rStyle w:val="FootnoteReference"/>
          <w:szCs w:val="22"/>
        </w:rPr>
        <w:footnoteReference w:id="12"/>
      </w:r>
      <w:r w:rsidRPr="009F072A">
        <w:rPr>
          <w:szCs w:val="22"/>
        </w:rPr>
        <w:t xml:space="preserve">  We </w:t>
      </w:r>
      <w:r w:rsidR="0084554E">
        <w:rPr>
          <w:szCs w:val="22"/>
        </w:rPr>
        <w:t xml:space="preserve">also </w:t>
      </w:r>
      <w:r w:rsidRPr="009F072A">
        <w:rPr>
          <w:szCs w:val="22"/>
        </w:rPr>
        <w:t xml:space="preserve">find good cause to grant </w:t>
      </w:r>
      <w:r>
        <w:t>New Lisbon’s petition for waiver of its March 5, 2015 deadline f</w:t>
      </w:r>
      <w:r w:rsidR="00E81105">
        <w:t>or submitting this information.</w:t>
      </w:r>
      <w:r w:rsidR="00E81105">
        <w:rPr>
          <w:rStyle w:val="FootnoteReference"/>
        </w:rPr>
        <w:footnoteReference w:id="13"/>
      </w:r>
      <w:r>
        <w:t xml:space="preserve"> </w:t>
      </w:r>
    </w:p>
    <w:p w14:paraId="2F865A4F" w14:textId="5CDDF658" w:rsidR="00937C30" w:rsidRPr="00937C30" w:rsidRDefault="002862BC" w:rsidP="002C1FF6">
      <w:pPr>
        <w:keepNext/>
        <w:widowControl/>
        <w:spacing w:after="120"/>
        <w:ind w:firstLine="720"/>
        <w:rPr>
          <w:szCs w:val="22"/>
        </w:rPr>
      </w:pPr>
      <w:r>
        <w:t xml:space="preserve">New Lisbon explains that upon release of the Bureau’s public notice announcing the provisional selection of its bid, New Lisbon immediately </w:t>
      </w:r>
      <w:r w:rsidR="00DE592C">
        <w:t xml:space="preserve">began </w:t>
      </w:r>
      <w:r w:rsidR="00210484">
        <w:t>taking steps to prepare its</w:t>
      </w:r>
      <w:r w:rsidR="00DE592C">
        <w:t xml:space="preserve"> ETC application</w:t>
      </w:r>
      <w:r w:rsidR="0084554E">
        <w:t>.</w:t>
      </w:r>
      <w:r w:rsidR="00AE20D2">
        <w:rPr>
          <w:rStyle w:val="FootnoteReference"/>
        </w:rPr>
        <w:footnoteReference w:id="14"/>
      </w:r>
      <w:r w:rsidR="0084554E">
        <w:t xml:space="preserve">  </w:t>
      </w:r>
      <w:r>
        <w:t xml:space="preserve">Recent applicants for ETC designation </w:t>
      </w:r>
      <w:r w:rsidR="0084554E">
        <w:t>before the Indiana Utili</w:t>
      </w:r>
      <w:r w:rsidR="00ED6AC8">
        <w:t>ty Regulatory Commission (IURC)</w:t>
      </w:r>
      <w:r>
        <w:t xml:space="preserve">, however, had </w:t>
      </w:r>
      <w:r w:rsidR="000B5162">
        <w:t xml:space="preserve">sought designation as </w:t>
      </w:r>
      <w:r w:rsidR="0084554E">
        <w:t xml:space="preserve">limited </w:t>
      </w:r>
      <w:r w:rsidR="000B5162">
        <w:t xml:space="preserve">ETCs, eligible only to receive </w:t>
      </w:r>
      <w:r>
        <w:t xml:space="preserve">Lifeline </w:t>
      </w:r>
      <w:r w:rsidR="000B5162">
        <w:t>support</w:t>
      </w:r>
      <w:r>
        <w:t>.</w:t>
      </w:r>
      <w:r w:rsidR="000F20E9">
        <w:rPr>
          <w:rStyle w:val="FootnoteReference"/>
        </w:rPr>
        <w:footnoteReference w:id="15"/>
      </w:r>
      <w:r>
        <w:t xml:space="preserve">  For this reason, </w:t>
      </w:r>
      <w:r w:rsidR="00ED6AC8">
        <w:t xml:space="preserve">New Lisbon had few examples upon which to model its own application and little precedential guidance regarding the </w:t>
      </w:r>
      <w:r w:rsidR="00210484">
        <w:t xml:space="preserve">scope or nature of the information </w:t>
      </w:r>
      <w:r>
        <w:t xml:space="preserve">necessary for a full </w:t>
      </w:r>
      <w:r w:rsidR="000B5162">
        <w:t>ETC</w:t>
      </w:r>
      <w:r>
        <w:t xml:space="preserve"> designation</w:t>
      </w:r>
      <w:r w:rsidR="000C2592">
        <w:t>.</w:t>
      </w:r>
      <w:r w:rsidR="000C2592">
        <w:rPr>
          <w:rStyle w:val="FootnoteReference"/>
        </w:rPr>
        <w:footnoteReference w:id="16"/>
      </w:r>
      <w:r w:rsidR="000C2592">
        <w:t xml:space="preserve">  </w:t>
      </w:r>
      <w:r w:rsidR="00D12B06">
        <w:t>New Lisbon states that it contacted staff at b</w:t>
      </w:r>
      <w:r>
        <w:t xml:space="preserve">oth the IURC and the Indiana Office of </w:t>
      </w:r>
      <w:r w:rsidR="00615D81">
        <w:t>Utility Consumers Counsel (O</w:t>
      </w:r>
      <w:r w:rsidR="00CE29A1">
        <w:t>U</w:t>
      </w:r>
      <w:r w:rsidR="00615D81">
        <w:t>CC),</w:t>
      </w:r>
      <w:r w:rsidR="00847956">
        <w:t xml:space="preserve"> </w:t>
      </w:r>
      <w:r w:rsidR="00D12B06">
        <w:t xml:space="preserve">who </w:t>
      </w:r>
      <w:r>
        <w:t xml:space="preserve">acknowledged the novelty of </w:t>
      </w:r>
      <w:r w:rsidR="00615D81">
        <w:t>its</w:t>
      </w:r>
      <w:r w:rsidR="00ED6AC8">
        <w:t xml:space="preserve"> application </w:t>
      </w:r>
      <w:r>
        <w:t>and the related ambiguities concerning the review process</w:t>
      </w:r>
      <w:r w:rsidR="00615D81">
        <w:t xml:space="preserve"> and stressed the need </w:t>
      </w:r>
      <w:r w:rsidR="00ED6AC8">
        <w:t xml:space="preserve">for </w:t>
      </w:r>
      <w:r w:rsidR="00210484">
        <w:t>close collaboration</w:t>
      </w:r>
      <w:r w:rsidR="00ED6AC8">
        <w:t>.</w:t>
      </w:r>
      <w:r w:rsidR="00210484">
        <w:rPr>
          <w:rStyle w:val="FootnoteReference"/>
        </w:rPr>
        <w:footnoteReference w:id="17"/>
      </w:r>
      <w:r w:rsidR="00ED6AC8">
        <w:t xml:space="preserve"> </w:t>
      </w:r>
      <w:r w:rsidR="00A3511A">
        <w:t xml:space="preserve"> </w:t>
      </w:r>
      <w:r w:rsidR="000C2592">
        <w:t xml:space="preserve">New Lisbon </w:t>
      </w:r>
      <w:r w:rsidR="00770023">
        <w:t xml:space="preserve">subsequently submitted its application in draft form to OUCC staff, which </w:t>
      </w:r>
      <w:r w:rsidR="00615D81">
        <w:t>gave rise to several requests for clarificatio</w:t>
      </w:r>
      <w:r w:rsidR="00F358C8">
        <w:t xml:space="preserve">n and additional information that delayed finalization and submission </w:t>
      </w:r>
      <w:r w:rsidR="00A3511A">
        <w:t xml:space="preserve">of its application </w:t>
      </w:r>
      <w:r w:rsidR="00F358C8">
        <w:t>to the IURC until March 3.</w:t>
      </w:r>
      <w:r w:rsidR="00493B32">
        <w:rPr>
          <w:rStyle w:val="FootnoteReference"/>
        </w:rPr>
        <w:footnoteReference w:id="18"/>
      </w:r>
      <w:r w:rsidR="00F358C8">
        <w:t xml:space="preserve"> </w:t>
      </w:r>
      <w:r w:rsidR="004270AF">
        <w:t xml:space="preserve"> </w:t>
      </w:r>
      <w:r w:rsidR="00F358C8">
        <w:t>A</w:t>
      </w:r>
      <w:r w:rsidR="00615D81">
        <w:t>s part of its review, the IURC also requested</w:t>
      </w:r>
      <w:r w:rsidR="000C2592">
        <w:t xml:space="preserve"> additional technological, marketing and deployment information</w:t>
      </w:r>
      <w:r w:rsidR="00ED6AC8">
        <w:t>.</w:t>
      </w:r>
      <w:r w:rsidR="00493B32">
        <w:rPr>
          <w:rStyle w:val="FootnoteReference"/>
        </w:rPr>
        <w:footnoteReference w:id="19"/>
      </w:r>
      <w:r w:rsidR="00A3511A">
        <w:t xml:space="preserve">  </w:t>
      </w:r>
    </w:p>
    <w:p w14:paraId="508F208E" w14:textId="3AB67160" w:rsidR="002322FA" w:rsidRPr="000C05B4" w:rsidRDefault="00F04886">
      <w:pPr>
        <w:keepNext/>
        <w:widowControl/>
        <w:spacing w:after="120"/>
        <w:ind w:firstLine="720"/>
        <w:rPr>
          <w:szCs w:val="22"/>
        </w:rPr>
      </w:pPr>
      <w:r>
        <w:t>The Commission established the 90-day deadline for the rural broadband experiments, although understood that some state proceedings may take longer</w:t>
      </w:r>
      <w:r w:rsidR="00A3511A">
        <w:t>.</w:t>
      </w:r>
      <w:r w:rsidRPr="00F04886">
        <w:rPr>
          <w:rStyle w:val="FootnoteReference"/>
        </w:rPr>
        <w:t xml:space="preserve"> </w:t>
      </w:r>
      <w:r>
        <w:rPr>
          <w:rStyle w:val="FootnoteReference"/>
        </w:rPr>
        <w:footnoteReference w:id="20"/>
      </w:r>
      <w:r w:rsidR="00A3511A">
        <w:t xml:space="preserve">  Given New Lisbon</w:t>
      </w:r>
      <w:r w:rsidR="00770023">
        <w:t>’s representations that it</w:t>
      </w:r>
      <w:r w:rsidR="00A3511A">
        <w:t xml:space="preserve"> diligently </w:t>
      </w:r>
      <w:r w:rsidR="00770023">
        <w:t xml:space="preserve">took steps to prepare its application, working closely with staff at </w:t>
      </w:r>
      <w:r w:rsidR="00A3511A">
        <w:t>O</w:t>
      </w:r>
      <w:r w:rsidR="00B47B5C">
        <w:t>U</w:t>
      </w:r>
      <w:r w:rsidR="00A3511A">
        <w:t xml:space="preserve">CC and IURC </w:t>
      </w:r>
      <w:r w:rsidR="00770023">
        <w:t>prior to formally filing</w:t>
      </w:r>
      <w:r w:rsidR="00A3511A">
        <w:t xml:space="preserve"> the application, that New Lisbon ultimately was designated as an ETC by the IURC, and that this delay did not impact the Bureau’s ability to make the Phase II offer of support, w</w:t>
      </w:r>
      <w:r w:rsidR="00615D81">
        <w:t xml:space="preserve">e </w:t>
      </w:r>
      <w:r w:rsidR="00770023">
        <w:t xml:space="preserve">conclude New Lisbon has established good cause to waive the 90-day deadline for submission of ETC designation.  In light of </w:t>
      </w:r>
      <w:r w:rsidR="00615D81">
        <w:t xml:space="preserve">the foregoing circumstances, </w:t>
      </w:r>
      <w:r w:rsidR="00770023">
        <w:t xml:space="preserve">we find </w:t>
      </w:r>
      <w:r w:rsidR="00A3511A">
        <w:t>on balance</w:t>
      </w:r>
      <w:r w:rsidR="000B4582">
        <w:t xml:space="preserve"> that</w:t>
      </w:r>
      <w:r w:rsidR="00A3511A">
        <w:t xml:space="preserve"> it </w:t>
      </w:r>
      <w:r w:rsidR="00A3511A">
        <w:rPr>
          <w:szCs w:val="22"/>
        </w:rPr>
        <w:t xml:space="preserve">serves the public interest to accept New Lisbon’s September 24, 2015 submission of the required proof of ETC designation. </w:t>
      </w:r>
      <w:r w:rsidR="00A3511A">
        <w:t xml:space="preserve"> </w:t>
      </w:r>
    </w:p>
    <w:p w14:paraId="0817B0C8" w14:textId="77777777" w:rsidR="00F23D22" w:rsidRDefault="000C2592" w:rsidP="00F23D22">
      <w:pPr>
        <w:keepNext/>
        <w:widowControl/>
        <w:spacing w:after="120"/>
        <w:ind w:firstLine="720"/>
        <w:rPr>
          <w:szCs w:val="22"/>
        </w:rPr>
      </w:pPr>
      <w:r w:rsidRPr="009F072A">
        <w:rPr>
          <w:i/>
          <w:szCs w:val="22"/>
        </w:rPr>
        <w:t>LOC and Opinion Letter Requirement.</w:t>
      </w:r>
      <w:r w:rsidRPr="009F072A">
        <w:rPr>
          <w:szCs w:val="22"/>
        </w:rPr>
        <w:t xml:space="preserve">  No later than 10 business days after the release of this Public Notice, New Lisbon must submit at least one irrevocable stand-by signed LOC, issued in substantially the same form as set forth in the model LOC provided in Appendix A of the </w:t>
      </w:r>
      <w:r w:rsidRPr="009F072A">
        <w:rPr>
          <w:i/>
          <w:szCs w:val="22"/>
        </w:rPr>
        <w:t>Rural Broadband Experiments Order</w:t>
      </w:r>
      <w:r w:rsidRPr="009F072A">
        <w:rPr>
          <w:szCs w:val="22"/>
          <w:vertAlign w:val="superscript"/>
        </w:rPr>
        <w:t xml:space="preserve"> </w:t>
      </w:r>
      <w:r w:rsidRPr="009F072A">
        <w:rPr>
          <w:szCs w:val="22"/>
        </w:rPr>
        <w:t>by a bank that is acceptable to the Commission.</w:t>
      </w:r>
      <w:r>
        <w:rPr>
          <w:vertAlign w:val="superscript"/>
        </w:rPr>
        <w:footnoteReference w:id="21"/>
      </w:r>
      <w:r w:rsidRPr="009F072A">
        <w:rPr>
          <w:szCs w:val="22"/>
          <w:vertAlign w:val="superscript"/>
        </w:rPr>
        <w:t xml:space="preserve"> </w:t>
      </w:r>
      <w:r w:rsidR="00802837">
        <w:rPr>
          <w:szCs w:val="22"/>
        </w:rPr>
        <w:t xml:space="preserve"> </w:t>
      </w:r>
      <w:r>
        <w:t>The Bureau previously released information that provisionally selected bidders may find helpful in obtaining their LOCs.</w:t>
      </w:r>
      <w:r>
        <w:rPr>
          <w:rStyle w:val="FootnoteReference"/>
        </w:rPr>
        <w:footnoteReference w:id="22"/>
      </w:r>
      <w:r>
        <w:t xml:space="preserve">  </w:t>
      </w:r>
      <w:r w:rsidRPr="009F072A">
        <w:rPr>
          <w:szCs w:val="22"/>
        </w:rPr>
        <w:t>At a minimum, the LOC</w:t>
      </w:r>
      <w:r w:rsidR="00650AA0">
        <w:rPr>
          <w:szCs w:val="22"/>
        </w:rPr>
        <w:t>(s)</w:t>
      </w:r>
      <w:r w:rsidRPr="009F072A">
        <w:rPr>
          <w:szCs w:val="22"/>
        </w:rPr>
        <w:t xml:space="preserve"> must be equal to the amount of the first disbursement of support.</w:t>
      </w:r>
      <w:r>
        <w:rPr>
          <w:rStyle w:val="FootnoteReference"/>
          <w:szCs w:val="22"/>
        </w:rPr>
        <w:footnoteReference w:id="23"/>
      </w:r>
      <w:r w:rsidR="00F23D22">
        <w:t xml:space="preserve">  </w:t>
      </w:r>
      <w:r>
        <w:rPr>
          <w:szCs w:val="22"/>
        </w:rPr>
        <w:t xml:space="preserve">The </w:t>
      </w:r>
      <w:r>
        <w:rPr>
          <w:i/>
          <w:szCs w:val="22"/>
        </w:rPr>
        <w:t>Rural Broadband Experiments Order</w:t>
      </w:r>
      <w:r>
        <w:rPr>
          <w:szCs w:val="22"/>
        </w:rPr>
        <w:t xml:space="preserve"> lists specific requirements</w:t>
      </w:r>
      <w:r>
        <w:rPr>
          <w:color w:val="000000"/>
          <w:szCs w:val="22"/>
        </w:rPr>
        <w:t xml:space="preserve"> </w:t>
      </w:r>
      <w:r>
        <w:rPr>
          <w:szCs w:val="22"/>
        </w:rPr>
        <w:t>for a bank to be acceptable to the Commission to issue the LOC.</w:t>
      </w:r>
      <w:r>
        <w:rPr>
          <w:rStyle w:val="FootnoteReference"/>
          <w:szCs w:val="22"/>
        </w:rPr>
        <w:footnoteReference w:id="24"/>
      </w:r>
      <w:r>
        <w:rPr>
          <w:szCs w:val="22"/>
        </w:rPr>
        <w:t xml:space="preserve"> </w:t>
      </w:r>
      <w:r>
        <w:rPr>
          <w:color w:val="000000"/>
          <w:szCs w:val="22"/>
        </w:rPr>
        <w:t xml:space="preserve"> </w:t>
      </w:r>
      <w:r w:rsidR="00924CF3">
        <w:rPr>
          <w:szCs w:val="22"/>
        </w:rPr>
        <w:t xml:space="preserve">Those </w:t>
      </w:r>
      <w:r>
        <w:rPr>
          <w:szCs w:val="22"/>
        </w:rPr>
        <w:t xml:space="preserve">requirements vary for U.S. banks and non-U.S. banks.  </w:t>
      </w:r>
    </w:p>
    <w:p w14:paraId="4B4844E5" w14:textId="0FE5A68D" w:rsidR="000C2592" w:rsidRPr="00F23D22" w:rsidRDefault="000C2592" w:rsidP="00F23D22">
      <w:pPr>
        <w:keepNext/>
        <w:widowControl/>
        <w:spacing w:after="120"/>
        <w:ind w:firstLine="720"/>
      </w:pPr>
      <w:r>
        <w:rPr>
          <w:szCs w:val="22"/>
        </w:rPr>
        <w:t>In addition, a provisionally selected bidder is required to provide with its LOC(s) at least one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provisionally selected bidder’s bankruptcy estate, or the bankruptcy estate of any other rural broadband experiments recipient-related entity requesting issuance of the LOC.</w:t>
      </w:r>
      <w:r>
        <w:rPr>
          <w:rStyle w:val="FootnoteReference"/>
          <w:szCs w:val="22"/>
        </w:rPr>
        <w:footnoteReference w:id="25"/>
      </w:r>
      <w:r>
        <w:rPr>
          <w:szCs w:val="22"/>
        </w:rPr>
        <w:t xml:space="preserve">  The opinion letter(s) must not be dated at an earlier date than the issue date of the LOC(s) and should reference the specific LOC(s).  </w:t>
      </w:r>
    </w:p>
    <w:p w14:paraId="2E87D54B" w14:textId="67F84549" w:rsidR="000C2592" w:rsidRDefault="000C2592" w:rsidP="000C2592">
      <w:pPr>
        <w:spacing w:before="120" w:after="120"/>
        <w:ind w:firstLine="720"/>
        <w:rPr>
          <w:szCs w:val="22"/>
        </w:rPr>
      </w:pPr>
      <w:r>
        <w:rPr>
          <w:szCs w:val="22"/>
        </w:rPr>
        <w:t>After reviewing the LOC</w:t>
      </w:r>
      <w:r w:rsidR="00650AA0">
        <w:rPr>
          <w:szCs w:val="22"/>
        </w:rPr>
        <w:t>(s)</w:t>
      </w:r>
      <w:r>
        <w:rPr>
          <w:szCs w:val="22"/>
        </w:rPr>
        <w:t xml:space="preserve"> and opinion letter</w:t>
      </w:r>
      <w:r w:rsidR="00650AA0">
        <w:rPr>
          <w:szCs w:val="22"/>
        </w:rPr>
        <w:t>(s)</w:t>
      </w:r>
      <w:r>
        <w:rPr>
          <w:szCs w:val="22"/>
        </w:rPr>
        <w:t>, the Bureau will authorize support for New Lisbon if it determines that New Lisbon has met all requirements.</w:t>
      </w:r>
      <w:r>
        <w:rPr>
          <w:rStyle w:val="FootnoteReference"/>
          <w:szCs w:val="22"/>
        </w:rPr>
        <w:footnoteReference w:id="26"/>
      </w:r>
    </w:p>
    <w:p w14:paraId="2C0E5864" w14:textId="1753EA6F" w:rsidR="000C2592" w:rsidRDefault="000C2592" w:rsidP="000C2592">
      <w:pPr>
        <w:spacing w:before="120" w:after="120"/>
        <w:ind w:firstLine="720"/>
        <w:rPr>
          <w:color w:val="000000"/>
          <w:szCs w:val="22"/>
        </w:rPr>
      </w:pPr>
      <w:r>
        <w:rPr>
          <w:i/>
          <w:color w:val="000000"/>
          <w:szCs w:val="22"/>
        </w:rPr>
        <w:t xml:space="preserve">Instructions for Submission of Letter of Credit and Opinion </w:t>
      </w:r>
      <w:r w:rsidRPr="00CA50C7">
        <w:rPr>
          <w:color w:val="000000"/>
          <w:szCs w:val="22"/>
        </w:rPr>
        <w:t>Letter</w:t>
      </w:r>
      <w:r>
        <w:rPr>
          <w:color w:val="000000"/>
          <w:szCs w:val="22"/>
        </w:rPr>
        <w:t xml:space="preserve">.  New Lisbon must submit at least one LOC and one opinion letter for the provisionally selected bid identified in </w:t>
      </w:r>
      <w:r w:rsidR="00D5047E">
        <w:rPr>
          <w:color w:val="000000"/>
          <w:szCs w:val="22"/>
        </w:rPr>
        <w:t>the Attachment</w:t>
      </w:r>
      <w:r>
        <w:rPr>
          <w:color w:val="000000"/>
          <w:szCs w:val="22"/>
        </w:rPr>
        <w:t>.  The LOC</w:t>
      </w:r>
      <w:r w:rsidR="00650AA0">
        <w:rPr>
          <w:color w:val="000000"/>
          <w:szCs w:val="22"/>
        </w:rPr>
        <w:t>(s)</w:t>
      </w:r>
      <w:r>
        <w:rPr>
          <w:color w:val="000000"/>
          <w:szCs w:val="22"/>
        </w:rPr>
        <w:t xml:space="preserve"> and opinion letter</w:t>
      </w:r>
      <w:r w:rsidR="00650AA0">
        <w:rPr>
          <w:color w:val="000000"/>
          <w:szCs w:val="22"/>
        </w:rPr>
        <w:t>(s)</w:t>
      </w:r>
      <w:r>
        <w:rPr>
          <w:color w:val="000000"/>
          <w:szCs w:val="22"/>
        </w:rPr>
        <w:t xml:space="preserve"> must reference the relevant study area code as listed in </w:t>
      </w:r>
      <w:r w:rsidR="00D5047E">
        <w:rPr>
          <w:color w:val="000000"/>
          <w:szCs w:val="22"/>
        </w:rPr>
        <w:t xml:space="preserve">the </w:t>
      </w:r>
      <w:r>
        <w:rPr>
          <w:color w:val="000000"/>
          <w:szCs w:val="22"/>
        </w:rPr>
        <w:t xml:space="preserve">Attachment. </w:t>
      </w:r>
    </w:p>
    <w:p w14:paraId="3D61CC5F" w14:textId="7846B5B8" w:rsidR="000C2592" w:rsidRDefault="000C2592" w:rsidP="000C2592">
      <w:pPr>
        <w:spacing w:before="120" w:after="120"/>
        <w:ind w:firstLine="720"/>
        <w:rPr>
          <w:color w:val="000000"/>
          <w:szCs w:val="22"/>
        </w:rPr>
      </w:pPr>
      <w:r>
        <w:rPr>
          <w:color w:val="000000"/>
          <w:szCs w:val="22"/>
        </w:rPr>
        <w:t>The original of the LOC</w:t>
      </w:r>
      <w:r w:rsidR="00650AA0">
        <w:rPr>
          <w:color w:val="000000"/>
          <w:szCs w:val="22"/>
        </w:rPr>
        <w:t>(s)</w:t>
      </w:r>
      <w:r>
        <w:rPr>
          <w:color w:val="000000"/>
          <w:szCs w:val="22"/>
        </w:rPr>
        <w:t xml:space="preserve"> and opinion letter</w:t>
      </w:r>
      <w:r w:rsidR="00650AA0">
        <w:rPr>
          <w:color w:val="000000"/>
          <w:szCs w:val="22"/>
        </w:rPr>
        <w:t>(s)</w:t>
      </w:r>
      <w:r>
        <w:rPr>
          <w:color w:val="000000"/>
          <w:szCs w:val="22"/>
        </w:rPr>
        <w:t xml:space="preserve"> must be submitted to the Universal Service Administrative Company by the applicable deadline – </w:t>
      </w:r>
      <w:r w:rsidR="00A01175" w:rsidRPr="00A01175">
        <w:rPr>
          <w:b/>
          <w:color w:val="000000"/>
          <w:szCs w:val="22"/>
        </w:rPr>
        <w:t>March 7</w:t>
      </w:r>
      <w:r>
        <w:rPr>
          <w:b/>
          <w:color w:val="000000"/>
          <w:szCs w:val="22"/>
        </w:rPr>
        <w:t>, 201</w:t>
      </w:r>
      <w:r w:rsidR="0004569A">
        <w:rPr>
          <w:b/>
          <w:color w:val="000000"/>
          <w:szCs w:val="22"/>
        </w:rPr>
        <w:t>6</w:t>
      </w:r>
      <w:r>
        <w:rPr>
          <w:b/>
          <w:color w:val="000000"/>
          <w:szCs w:val="22"/>
        </w:rPr>
        <w:t xml:space="preserve"> at 11:59 p.m. ET</w:t>
      </w:r>
      <w:r>
        <w:rPr>
          <w:color w:val="000000"/>
          <w:szCs w:val="22"/>
        </w:rPr>
        <w:t xml:space="preserve">, at the following address: Rural Broadband Experiments LOC, USAC, 2000 L Street NW, Suite 200, Washington, DC 20036.  We recommend that the original of the LOC(s) and the opinion letter(s) be sent by means of delivery requiring signature.  These documents may be sent to the attention of Joanne Kim. </w:t>
      </w:r>
    </w:p>
    <w:p w14:paraId="4CE4BD59" w14:textId="4D6DCAE3" w:rsidR="00ED70FE" w:rsidRDefault="000C2592" w:rsidP="003236FC">
      <w:pPr>
        <w:spacing w:before="120" w:after="120"/>
        <w:ind w:firstLine="720"/>
        <w:rPr>
          <w:szCs w:val="22"/>
        </w:rPr>
      </w:pPr>
      <w:r>
        <w:rPr>
          <w:spacing w:val="-2"/>
          <w:szCs w:val="22"/>
        </w:rPr>
        <w:t>A copy of the LOC</w:t>
      </w:r>
      <w:r w:rsidR="00650AA0">
        <w:rPr>
          <w:spacing w:val="-2"/>
          <w:szCs w:val="22"/>
        </w:rPr>
        <w:t>(s)</w:t>
      </w:r>
      <w:r>
        <w:rPr>
          <w:spacing w:val="-2"/>
          <w:szCs w:val="22"/>
        </w:rPr>
        <w:t xml:space="preserve"> and opinion letter</w:t>
      </w:r>
      <w:r w:rsidR="00650AA0">
        <w:rPr>
          <w:spacing w:val="-2"/>
          <w:szCs w:val="22"/>
        </w:rPr>
        <w:t>(s)</w:t>
      </w:r>
      <w:r>
        <w:rPr>
          <w:spacing w:val="-2"/>
          <w:szCs w:val="22"/>
        </w:rPr>
        <w:t xml:space="preserve"> must also be uploaded to the FCC Form 5620 by the applicable deadline </w:t>
      </w:r>
      <w:r>
        <w:rPr>
          <w:szCs w:val="22"/>
        </w:rPr>
        <w:t>in two attachments.  The LOC</w:t>
      </w:r>
      <w:r w:rsidR="00650AA0">
        <w:rPr>
          <w:szCs w:val="22"/>
        </w:rPr>
        <w:t>(s)</w:t>
      </w:r>
      <w:r>
        <w:rPr>
          <w:szCs w:val="22"/>
        </w:rPr>
        <w:t xml:space="preserve"> attachment should be designated as “Letter of Credit” and the opinion letter</w:t>
      </w:r>
      <w:r w:rsidR="00650AA0">
        <w:rPr>
          <w:szCs w:val="22"/>
        </w:rPr>
        <w:t>(s)</w:t>
      </w:r>
      <w:r>
        <w:rPr>
          <w:szCs w:val="22"/>
        </w:rPr>
        <w:t xml:space="preserve"> attachment should be designated as “Opinion Letter.”  Provisionally selected bidders do not need to upload interim drafts of the LOC(s) and opinion letter(s) to FCC Form 5620 after they have upload their initial LOC(s) and opinion letter(s) by the deadline, but they should submit the final version of their LOC(s) and opinion letter(s) to FCC Form 5620 after they have received approval. </w:t>
      </w:r>
    </w:p>
    <w:p w14:paraId="0F503E43" w14:textId="77777777" w:rsidR="000C2592" w:rsidRDefault="000C2592" w:rsidP="008B1465">
      <w:pPr>
        <w:widowControl/>
        <w:spacing w:before="120" w:after="120"/>
        <w:ind w:firstLine="720"/>
        <w:rPr>
          <w:szCs w:val="22"/>
        </w:rPr>
      </w:pPr>
      <w:r>
        <w:rPr>
          <w:szCs w:val="22"/>
        </w:rPr>
        <w:t xml:space="preserve">The failure to meet this deadline will result in removal of New Lisbon from continuing eligibility for rural broadband experiments support. </w:t>
      </w:r>
    </w:p>
    <w:p w14:paraId="147155A7" w14:textId="77777777" w:rsidR="000C2592" w:rsidRDefault="000C2592" w:rsidP="000C2592">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14:paraId="11B3B0C2" w14:textId="77777777" w:rsidR="007C5978" w:rsidRPr="00CF16F0" w:rsidRDefault="007C5978" w:rsidP="007C5978">
      <w:pPr>
        <w:rPr>
          <w:szCs w:val="22"/>
        </w:rPr>
      </w:pPr>
    </w:p>
    <w:p w14:paraId="3590CB62" w14:textId="77777777" w:rsidR="007C5978" w:rsidRPr="00CF16F0" w:rsidRDefault="007C5978" w:rsidP="007C5978">
      <w:pPr>
        <w:keepNext/>
        <w:jc w:val="center"/>
        <w:rPr>
          <w:b/>
          <w:szCs w:val="22"/>
        </w:rPr>
      </w:pPr>
      <w:r w:rsidRPr="00CF16F0">
        <w:rPr>
          <w:b/>
          <w:szCs w:val="22"/>
        </w:rPr>
        <w:t>- FCC -</w:t>
      </w:r>
    </w:p>
    <w:p w14:paraId="0ED73E54" w14:textId="77777777" w:rsidR="007C5978" w:rsidRPr="00CF16F0" w:rsidRDefault="007C5978" w:rsidP="007C5978">
      <w:pPr>
        <w:rPr>
          <w:szCs w:val="22"/>
        </w:rPr>
      </w:pPr>
      <w:r w:rsidRPr="00CF16F0">
        <w:rPr>
          <w:szCs w:val="22"/>
        </w:rPr>
        <w:br w:type="page"/>
      </w:r>
    </w:p>
    <w:p w14:paraId="727EDA2E" w14:textId="77777777" w:rsidR="007C5978" w:rsidRPr="00CF16F0" w:rsidRDefault="007C5978" w:rsidP="007C5978">
      <w:pPr>
        <w:spacing w:before="120" w:after="120"/>
        <w:jc w:val="center"/>
        <w:rPr>
          <w:b/>
          <w:szCs w:val="22"/>
        </w:rPr>
      </w:pPr>
      <w:r>
        <w:rPr>
          <w:b/>
          <w:szCs w:val="22"/>
        </w:rPr>
        <w:t>Attachment</w:t>
      </w:r>
    </w:p>
    <w:p w14:paraId="0785035C" w14:textId="77777777" w:rsidR="007C5978" w:rsidRPr="00CF16F0" w:rsidRDefault="007C5978" w:rsidP="007C5978">
      <w:pPr>
        <w:spacing w:before="120" w:after="240"/>
        <w:jc w:val="center"/>
        <w:rPr>
          <w:b/>
          <w:szCs w:val="22"/>
        </w:rPr>
      </w:pPr>
      <w:r w:rsidRPr="00CF16F0">
        <w:rPr>
          <w:b/>
          <w:szCs w:val="22"/>
        </w:rPr>
        <w:t>Ready to Authorize</w:t>
      </w:r>
      <w:r>
        <w:rPr>
          <w:b/>
          <w:szCs w:val="22"/>
        </w:rPr>
        <w:t xml:space="preserve"> Provisionally Selected </w:t>
      </w:r>
      <w:r w:rsidRPr="00CF16F0">
        <w:rPr>
          <w:b/>
          <w:szCs w:val="22"/>
        </w:rPr>
        <w:t>Bidders and Bids</w:t>
      </w:r>
    </w:p>
    <w:p w14:paraId="14DEA296" w14:textId="67682C96" w:rsidR="007C5978" w:rsidRPr="00CF16F0" w:rsidRDefault="007C5978" w:rsidP="007C5978">
      <w:pPr>
        <w:spacing w:before="120" w:after="240"/>
        <w:rPr>
          <w:szCs w:val="22"/>
          <w:u w:val="single"/>
        </w:rPr>
      </w:pPr>
      <w:r w:rsidRPr="00CF16F0">
        <w:rPr>
          <w:szCs w:val="22"/>
          <w:u w:val="single"/>
        </w:rPr>
        <w:t>Category One</w:t>
      </w:r>
      <w:r w:rsidR="007856B0" w:rsidRPr="005E7CE3">
        <w:rPr>
          <w:rStyle w:val="FootnoteReference"/>
          <w:szCs w:val="22"/>
        </w:rPr>
        <w:footnoteReference w:id="2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990"/>
        <w:gridCol w:w="1350"/>
        <w:gridCol w:w="1350"/>
        <w:gridCol w:w="1620"/>
        <w:gridCol w:w="1615"/>
      </w:tblGrid>
      <w:tr w:rsidR="007C5978" w:rsidRPr="00CF16F0" w14:paraId="00D6AE48" w14:textId="77777777" w:rsidTr="0004569A">
        <w:trPr>
          <w:tblHeader/>
          <w:jc w:val="center"/>
        </w:trPr>
        <w:tc>
          <w:tcPr>
            <w:tcW w:w="2425" w:type="dxa"/>
            <w:shd w:val="clear" w:color="auto" w:fill="auto"/>
          </w:tcPr>
          <w:p w14:paraId="3C1016E1" w14:textId="77777777" w:rsidR="007C5978" w:rsidRPr="009C3CAE" w:rsidRDefault="007C5978" w:rsidP="000C2592">
            <w:pPr>
              <w:spacing w:before="120" w:after="240"/>
              <w:jc w:val="center"/>
              <w:rPr>
                <w:b/>
                <w:szCs w:val="22"/>
              </w:rPr>
            </w:pPr>
            <w:r w:rsidRPr="009C3CAE">
              <w:rPr>
                <w:b/>
                <w:szCs w:val="22"/>
              </w:rPr>
              <w:t>Bidder Name</w:t>
            </w:r>
          </w:p>
        </w:tc>
        <w:tc>
          <w:tcPr>
            <w:tcW w:w="990" w:type="dxa"/>
            <w:shd w:val="clear" w:color="auto" w:fill="auto"/>
          </w:tcPr>
          <w:p w14:paraId="504A8D07" w14:textId="77777777" w:rsidR="007C5978" w:rsidRPr="009C3CAE" w:rsidRDefault="007C5978" w:rsidP="000C2592">
            <w:pPr>
              <w:spacing w:before="120" w:after="240"/>
              <w:jc w:val="center"/>
              <w:rPr>
                <w:b/>
                <w:szCs w:val="22"/>
              </w:rPr>
            </w:pPr>
            <w:r w:rsidRPr="009C3CAE">
              <w:rPr>
                <w:b/>
                <w:szCs w:val="22"/>
              </w:rPr>
              <w:t>State</w:t>
            </w:r>
          </w:p>
        </w:tc>
        <w:tc>
          <w:tcPr>
            <w:tcW w:w="1350" w:type="dxa"/>
            <w:shd w:val="clear" w:color="auto" w:fill="auto"/>
          </w:tcPr>
          <w:p w14:paraId="571136D5" w14:textId="77777777" w:rsidR="007C5978" w:rsidRPr="009C3CAE" w:rsidRDefault="007C5978" w:rsidP="000C2592">
            <w:pPr>
              <w:spacing w:before="120" w:after="240"/>
              <w:jc w:val="center"/>
              <w:rPr>
                <w:b/>
                <w:szCs w:val="22"/>
              </w:rPr>
            </w:pPr>
            <w:r w:rsidRPr="009C3CAE">
              <w:rPr>
                <w:b/>
                <w:szCs w:val="22"/>
              </w:rPr>
              <w:t>Selected Bid Project ID</w:t>
            </w:r>
          </w:p>
        </w:tc>
        <w:tc>
          <w:tcPr>
            <w:tcW w:w="1350" w:type="dxa"/>
            <w:shd w:val="clear" w:color="auto" w:fill="auto"/>
          </w:tcPr>
          <w:p w14:paraId="4A717BCB" w14:textId="77777777" w:rsidR="007C5978" w:rsidRPr="009C3CAE" w:rsidRDefault="007C5978" w:rsidP="000C2592">
            <w:pPr>
              <w:spacing w:before="120" w:after="240"/>
              <w:jc w:val="center"/>
              <w:rPr>
                <w:b/>
                <w:szCs w:val="22"/>
              </w:rPr>
            </w:pPr>
            <w:r w:rsidRPr="009C3CAE">
              <w:rPr>
                <w:b/>
                <w:szCs w:val="22"/>
              </w:rPr>
              <w:t>Selected Bid Amount</w:t>
            </w:r>
          </w:p>
        </w:tc>
        <w:tc>
          <w:tcPr>
            <w:tcW w:w="1620" w:type="dxa"/>
            <w:shd w:val="clear" w:color="auto" w:fill="auto"/>
          </w:tcPr>
          <w:p w14:paraId="7EA70298" w14:textId="77777777" w:rsidR="007C5978" w:rsidRPr="009C3CAE" w:rsidRDefault="007C5978" w:rsidP="000C2592">
            <w:pPr>
              <w:spacing w:before="120" w:after="240"/>
              <w:jc w:val="center"/>
              <w:rPr>
                <w:b/>
                <w:szCs w:val="22"/>
              </w:rPr>
            </w:pPr>
            <w:r w:rsidRPr="009C3CAE">
              <w:rPr>
                <w:b/>
                <w:szCs w:val="22"/>
              </w:rPr>
              <w:t>Census Blocks Covered by Selected Bid</w:t>
            </w:r>
          </w:p>
        </w:tc>
        <w:tc>
          <w:tcPr>
            <w:tcW w:w="1615" w:type="dxa"/>
          </w:tcPr>
          <w:p w14:paraId="681B77FA" w14:textId="77777777" w:rsidR="007C5978" w:rsidRPr="009C3CAE" w:rsidRDefault="007C5978" w:rsidP="000C2592">
            <w:pPr>
              <w:spacing w:before="120" w:after="240"/>
              <w:jc w:val="center"/>
              <w:rPr>
                <w:b/>
                <w:szCs w:val="22"/>
              </w:rPr>
            </w:pPr>
            <w:r>
              <w:rPr>
                <w:b/>
                <w:szCs w:val="22"/>
              </w:rPr>
              <w:t>Study Area Code</w:t>
            </w:r>
          </w:p>
        </w:tc>
      </w:tr>
      <w:tr w:rsidR="00802837" w:rsidRPr="00CF16F0" w14:paraId="737DC70A" w14:textId="77777777" w:rsidTr="005124F5">
        <w:trPr>
          <w:trHeight w:val="197"/>
          <w:jc w:val="center"/>
        </w:trPr>
        <w:tc>
          <w:tcPr>
            <w:tcW w:w="9350" w:type="dxa"/>
            <w:gridSpan w:val="6"/>
            <w:shd w:val="clear" w:color="auto" w:fill="D9D9D9"/>
          </w:tcPr>
          <w:p w14:paraId="668E130D" w14:textId="0DFCBA46" w:rsidR="00802837" w:rsidRPr="009C3CAE" w:rsidRDefault="00802837" w:rsidP="000C2592">
            <w:pPr>
              <w:spacing w:before="120" w:after="240"/>
              <w:rPr>
                <w:szCs w:val="22"/>
              </w:rPr>
            </w:pPr>
            <w:r w:rsidRPr="004B6FF8">
              <w:rPr>
                <w:szCs w:val="22"/>
              </w:rPr>
              <w:t>New Lisbon Broadband and Communications, LLC</w:t>
            </w:r>
          </w:p>
        </w:tc>
      </w:tr>
      <w:tr w:rsidR="007C5978" w:rsidRPr="00CF16F0" w14:paraId="42617E0A" w14:textId="77777777" w:rsidTr="00E71D0C">
        <w:trPr>
          <w:trHeight w:val="467"/>
          <w:jc w:val="center"/>
        </w:trPr>
        <w:tc>
          <w:tcPr>
            <w:tcW w:w="2425" w:type="dxa"/>
            <w:shd w:val="clear" w:color="auto" w:fill="auto"/>
          </w:tcPr>
          <w:p w14:paraId="3B49CB5C" w14:textId="372C6BBD" w:rsidR="007C5978" w:rsidRPr="009C3CAE" w:rsidRDefault="007C5978" w:rsidP="000C2592">
            <w:pPr>
              <w:spacing w:before="120" w:after="240"/>
              <w:rPr>
                <w:szCs w:val="22"/>
              </w:rPr>
            </w:pPr>
          </w:p>
        </w:tc>
        <w:tc>
          <w:tcPr>
            <w:tcW w:w="990" w:type="dxa"/>
            <w:shd w:val="clear" w:color="auto" w:fill="auto"/>
          </w:tcPr>
          <w:p w14:paraId="190B64A9" w14:textId="20F7DAF8" w:rsidR="007C5978" w:rsidRPr="009C3CAE" w:rsidRDefault="007856B0" w:rsidP="000C2592">
            <w:pPr>
              <w:spacing w:before="120" w:after="240"/>
              <w:jc w:val="center"/>
              <w:rPr>
                <w:szCs w:val="22"/>
              </w:rPr>
            </w:pPr>
            <w:r>
              <w:rPr>
                <w:szCs w:val="22"/>
              </w:rPr>
              <w:t>IN</w:t>
            </w:r>
          </w:p>
        </w:tc>
        <w:tc>
          <w:tcPr>
            <w:tcW w:w="1350" w:type="dxa"/>
            <w:shd w:val="clear" w:color="auto" w:fill="auto"/>
          </w:tcPr>
          <w:p w14:paraId="652171DF" w14:textId="5FEB5C00" w:rsidR="007C5978" w:rsidRPr="009C3CAE" w:rsidRDefault="0025702F" w:rsidP="007856B0">
            <w:pPr>
              <w:spacing w:before="120" w:after="240"/>
              <w:rPr>
                <w:szCs w:val="22"/>
              </w:rPr>
            </w:pPr>
            <w:r>
              <w:rPr>
                <w:szCs w:val="22"/>
              </w:rPr>
              <w:t>3</w:t>
            </w:r>
          </w:p>
        </w:tc>
        <w:tc>
          <w:tcPr>
            <w:tcW w:w="1350" w:type="dxa"/>
            <w:shd w:val="clear" w:color="auto" w:fill="auto"/>
          </w:tcPr>
          <w:p w14:paraId="4F1A66FB" w14:textId="274519B4" w:rsidR="007C5978" w:rsidRPr="009C3CAE" w:rsidRDefault="007856B0" w:rsidP="007856B0">
            <w:pPr>
              <w:spacing w:before="120" w:after="240"/>
              <w:jc w:val="center"/>
              <w:rPr>
                <w:szCs w:val="22"/>
              </w:rPr>
            </w:pPr>
            <w:r w:rsidRPr="007856B0">
              <w:rPr>
                <w:szCs w:val="22"/>
              </w:rPr>
              <w:t>$37,695.60</w:t>
            </w:r>
          </w:p>
        </w:tc>
        <w:tc>
          <w:tcPr>
            <w:tcW w:w="1620" w:type="dxa"/>
            <w:shd w:val="clear" w:color="auto" w:fill="auto"/>
          </w:tcPr>
          <w:p w14:paraId="42ED8566" w14:textId="0CEDCB0F" w:rsidR="007C5978" w:rsidRPr="009C3CAE" w:rsidRDefault="007856B0" w:rsidP="000C2592">
            <w:pPr>
              <w:spacing w:before="120" w:after="240"/>
              <w:jc w:val="center"/>
              <w:rPr>
                <w:szCs w:val="22"/>
              </w:rPr>
            </w:pPr>
            <w:r>
              <w:rPr>
                <w:szCs w:val="22"/>
              </w:rPr>
              <w:t>7</w:t>
            </w:r>
          </w:p>
        </w:tc>
        <w:tc>
          <w:tcPr>
            <w:tcW w:w="1615" w:type="dxa"/>
          </w:tcPr>
          <w:p w14:paraId="2D236835" w14:textId="558476A9" w:rsidR="007C5978" w:rsidRPr="009C3CAE" w:rsidRDefault="001964E9" w:rsidP="000C2592">
            <w:pPr>
              <w:spacing w:before="120" w:after="240"/>
              <w:jc w:val="center"/>
              <w:rPr>
                <w:szCs w:val="22"/>
              </w:rPr>
            </w:pPr>
            <w:r w:rsidRPr="001964E9">
              <w:rPr>
                <w:szCs w:val="22"/>
              </w:rPr>
              <w:t>326111</w:t>
            </w:r>
          </w:p>
        </w:tc>
      </w:tr>
    </w:tbl>
    <w:p w14:paraId="0DFE2978" w14:textId="77777777" w:rsidR="007C5978" w:rsidRDefault="007C5978" w:rsidP="00D47505">
      <w:pPr>
        <w:jc w:val="center"/>
        <w:rPr>
          <w:b/>
          <w:sz w:val="24"/>
        </w:rPr>
      </w:pPr>
    </w:p>
    <w:p w14:paraId="6A898681" w14:textId="77777777" w:rsidR="00D47505" w:rsidRDefault="00D47505" w:rsidP="00D47505">
      <w:pPr>
        <w:jc w:val="center"/>
        <w:rPr>
          <w:sz w:val="24"/>
        </w:rPr>
      </w:pPr>
    </w:p>
    <w:p w14:paraId="38F9FF9F" w14:textId="77777777" w:rsidR="006A1F49" w:rsidRDefault="006A1F49" w:rsidP="00D47505">
      <w:pPr>
        <w:spacing w:before="120" w:after="240"/>
        <w:rPr>
          <w:sz w:val="24"/>
        </w:rPr>
      </w:pPr>
    </w:p>
    <w:sectPr w:rsidR="006A1F49" w:rsidSect="00D73D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440" w:bottom="57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AB4CE" w14:textId="77777777" w:rsidR="0075442E" w:rsidRDefault="0075442E">
      <w:pPr>
        <w:spacing w:line="20" w:lineRule="exact"/>
      </w:pPr>
    </w:p>
  </w:endnote>
  <w:endnote w:type="continuationSeparator" w:id="0">
    <w:p w14:paraId="56175B93" w14:textId="77777777" w:rsidR="0075442E" w:rsidRDefault="0075442E">
      <w:r>
        <w:t xml:space="preserve"> </w:t>
      </w:r>
    </w:p>
  </w:endnote>
  <w:endnote w:type="continuationNotice" w:id="1">
    <w:p w14:paraId="5FA4AC95" w14:textId="77777777" w:rsidR="0075442E" w:rsidRDefault="007544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08A" w14:textId="77777777" w:rsidR="000C2592" w:rsidRDefault="000C2592" w:rsidP="0055614C">
    <w:pPr>
      <w:pStyle w:val="Footer"/>
      <w:framePr w:wrap="around" w:vAnchor="text" w:hAnchor="margin" w:xAlign="center" w:y="1"/>
    </w:pPr>
    <w:r>
      <w:fldChar w:fldCharType="begin"/>
    </w:r>
    <w:r>
      <w:instrText xml:space="preserve">PAGE  </w:instrText>
    </w:r>
    <w:r>
      <w:fldChar w:fldCharType="end"/>
    </w:r>
  </w:p>
  <w:p w14:paraId="55AEEB4D" w14:textId="77777777" w:rsidR="000C2592" w:rsidRDefault="000C2592">
    <w:pPr>
      <w:pStyle w:val="Footer"/>
    </w:pPr>
  </w:p>
  <w:p w14:paraId="3285DBC4" w14:textId="77777777" w:rsidR="000C2592" w:rsidRDefault="000C2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CFC8" w14:textId="77777777" w:rsidR="000C2592" w:rsidRDefault="000C2592" w:rsidP="0055614C">
    <w:pPr>
      <w:pStyle w:val="Footer"/>
      <w:framePr w:wrap="around" w:vAnchor="text" w:hAnchor="margin" w:xAlign="center" w:y="1"/>
    </w:pPr>
    <w:r>
      <w:fldChar w:fldCharType="begin"/>
    </w:r>
    <w:r>
      <w:instrText xml:space="preserve">PAGE  </w:instrText>
    </w:r>
    <w:r>
      <w:fldChar w:fldCharType="separate"/>
    </w:r>
    <w:r w:rsidR="00A46D87">
      <w:rPr>
        <w:noProof/>
      </w:rPr>
      <w:t>2</w:t>
    </w:r>
    <w:r>
      <w:fldChar w:fldCharType="end"/>
    </w:r>
  </w:p>
  <w:p w14:paraId="6EB0DD2E" w14:textId="77777777" w:rsidR="000C2592" w:rsidRDefault="000C2592"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B3EA" w14:textId="77777777" w:rsidR="000C2592" w:rsidRDefault="000C259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F0D3" w14:textId="77777777" w:rsidR="0075442E" w:rsidRDefault="0075442E">
      <w:r>
        <w:separator/>
      </w:r>
    </w:p>
  </w:footnote>
  <w:footnote w:type="continuationSeparator" w:id="0">
    <w:p w14:paraId="7BD4B221" w14:textId="77777777" w:rsidR="0075442E" w:rsidRDefault="0075442E" w:rsidP="00C721AC">
      <w:pPr>
        <w:spacing w:before="120"/>
        <w:rPr>
          <w:sz w:val="20"/>
        </w:rPr>
      </w:pPr>
      <w:r>
        <w:rPr>
          <w:sz w:val="20"/>
        </w:rPr>
        <w:t xml:space="preserve">(Continued from previous page)  </w:t>
      </w:r>
      <w:r>
        <w:rPr>
          <w:sz w:val="20"/>
        </w:rPr>
        <w:separator/>
      </w:r>
    </w:p>
  </w:footnote>
  <w:footnote w:type="continuationNotice" w:id="1">
    <w:p w14:paraId="2B6484BD" w14:textId="77777777" w:rsidR="0075442E" w:rsidRDefault="0075442E" w:rsidP="00C721AC">
      <w:pPr>
        <w:jc w:val="right"/>
        <w:rPr>
          <w:sz w:val="20"/>
        </w:rPr>
      </w:pPr>
      <w:r>
        <w:rPr>
          <w:sz w:val="20"/>
        </w:rPr>
        <w:t>(continued….)</w:t>
      </w:r>
    </w:p>
  </w:footnote>
  <w:footnote w:id="2">
    <w:p w14:paraId="7A19BA2F" w14:textId="77777777" w:rsidR="00D12B06" w:rsidRDefault="00D12B06" w:rsidP="00D12B06">
      <w:pPr>
        <w:pStyle w:val="FootnoteText"/>
      </w:pPr>
      <w:r>
        <w:rPr>
          <w:rStyle w:val="FootnoteReference"/>
        </w:rPr>
        <w:footnoteRef/>
      </w:r>
      <w:r>
        <w:t xml:space="preserve"> The original bid was placed and provisionally selected under the name, New Lisbon Telephone Company, on December 5, 2014</w:t>
      </w:r>
      <w:r w:rsidRPr="00123623">
        <w:rPr>
          <w:i/>
        </w:rPr>
        <w:t>.  See Wireline Competition Bureau Announces Entities Provisionally Selected for Rural Broadband Experiments; Sets Deadlines for Submission of Additional Information</w:t>
      </w:r>
      <w:r w:rsidRPr="00123623">
        <w:t>, WC Docket No. 10-90, Public Notice, 29 FCC Rcd 14684</w:t>
      </w:r>
      <w:r>
        <w:t>,</w:t>
      </w:r>
      <w:r w:rsidRPr="00E07C24">
        <w:rPr>
          <w:spacing w:val="-2"/>
        </w:rPr>
        <w:t xml:space="preserve"> </w:t>
      </w:r>
      <w:r>
        <w:rPr>
          <w:spacing w:val="-2"/>
        </w:rPr>
        <w:t>14687</w:t>
      </w:r>
      <w:r>
        <w:t xml:space="preserve">, Attach. A </w:t>
      </w:r>
      <w:r w:rsidRPr="00123623">
        <w:t>(WCB 2014)</w:t>
      </w:r>
      <w:r>
        <w:t xml:space="preserve"> (</w:t>
      </w:r>
      <w:r w:rsidRPr="002165D0">
        <w:rPr>
          <w:i/>
        </w:rPr>
        <w:t>Round One Public Notice</w:t>
      </w:r>
      <w:r>
        <w:t>).  On December 19, 2014, New Lisbon Telephone Company made a minor modification to its application by changing the bidder name to New Lisbon Broadband and Communications, LLC, a wholly owned subsidiary of New Lisbon Telephone Company.</w:t>
      </w:r>
    </w:p>
  </w:footnote>
  <w:footnote w:id="3">
    <w:p w14:paraId="24D7824F" w14:textId="5CFC2837" w:rsidR="00D12B06" w:rsidRDefault="000C05B4" w:rsidP="00BE0D61">
      <w:pPr>
        <w:pStyle w:val="FootnoteText"/>
      </w:pPr>
      <w:r>
        <w:rPr>
          <w:rStyle w:val="FootnoteReference"/>
        </w:rPr>
        <w:footnoteRef/>
      </w:r>
      <w:r>
        <w:t xml:space="preserve"> Petition of New Lisbon Broadband and Communications, LLC for Waiver of ETC Designation Deadline for Rural Broadband Experiments, WC Docket No. 10-90, WC Docket No. 14-259 (filed Mar. 4, 2015), </w:t>
      </w:r>
      <w:hyperlink r:id="rId1" w:history="1">
        <w:r w:rsidR="00AA0C0E" w:rsidRPr="00615458">
          <w:rPr>
            <w:rStyle w:val="Hyperlink"/>
          </w:rPr>
          <w:t>http://apps.fcc.gov/ecfs/comment/view?id=60001025670</w:t>
        </w:r>
      </w:hyperlink>
      <w:r>
        <w:t xml:space="preserve">.  New Lisbon subsequently filed two supplements notifying the Commission of the procedural status of its application before the local authority.  </w:t>
      </w:r>
      <w:r w:rsidRPr="00650AA0">
        <w:rPr>
          <w:i/>
        </w:rPr>
        <w:t>See</w:t>
      </w:r>
      <w:r>
        <w:t xml:space="preserve"> Supplement to Petition for Waiver (filed Mar. 31, 2015)</w:t>
      </w:r>
      <w:r w:rsidRPr="00101E90">
        <w:t xml:space="preserve"> </w:t>
      </w:r>
      <w:hyperlink r:id="rId2" w:history="1">
        <w:r w:rsidRPr="00615458">
          <w:rPr>
            <w:rStyle w:val="Hyperlink"/>
          </w:rPr>
          <w:t>http://apps.fcc.gov/ecfs/comment/view?id=60001027900</w:t>
        </w:r>
      </w:hyperlink>
      <w:r>
        <w:t xml:space="preserve">; Second Supplement to Petition for Waiver (filed Apr. 2, 2015), </w:t>
      </w:r>
      <w:hyperlink r:id="rId3" w:history="1">
        <w:r w:rsidRPr="00615458">
          <w:rPr>
            <w:rStyle w:val="Hyperlink"/>
          </w:rPr>
          <w:t>http://apps.fcc.gov/ecfs/comment/view?id=60001028081</w:t>
        </w:r>
      </w:hyperlink>
      <w:r w:rsidR="00D12B06">
        <w:rPr>
          <w:rStyle w:val="Hyperlink"/>
        </w:rPr>
        <w:t>;</w:t>
      </w:r>
      <w:r>
        <w:t xml:space="preserve">  Third Supplement to Petition for Waiver (filed Dec. 17, 2015), </w:t>
      </w:r>
      <w:hyperlink r:id="rId4" w:history="1">
        <w:r w:rsidRPr="00615458">
          <w:rPr>
            <w:rStyle w:val="Hyperlink"/>
          </w:rPr>
          <w:t>http://apps.fcc.gov/ecfs/comment/view?id=60001360102</w:t>
        </w:r>
      </w:hyperlink>
      <w:r>
        <w:t xml:space="preserve"> (Third Waiver Supplement).  </w:t>
      </w:r>
    </w:p>
  </w:footnote>
  <w:footnote w:id="4">
    <w:p w14:paraId="566D9188" w14:textId="71B8BB7F" w:rsidR="000C2592" w:rsidRDefault="000C2592" w:rsidP="00BE0D61">
      <w:pPr>
        <w:pStyle w:val="FootnoteText"/>
      </w:pPr>
      <w:r>
        <w:rPr>
          <w:rStyle w:val="FootnoteReference"/>
        </w:rPr>
        <w:footnoteRef/>
      </w:r>
      <w:r>
        <w:t xml:space="preserve"> </w:t>
      </w:r>
      <w:r w:rsidR="00E71D0C" w:rsidRPr="00A51AEC">
        <w:rPr>
          <w:i/>
        </w:rPr>
        <w:t>See</w:t>
      </w:r>
      <w:r w:rsidR="00E71D0C">
        <w:t xml:space="preserve"> </w:t>
      </w:r>
      <w:r>
        <w:rPr>
          <w:i/>
        </w:rPr>
        <w:t>Connect America et al.</w:t>
      </w:r>
      <w:r>
        <w:t>, WC Docket Nos. 10-90 and 14-58, Report and Order and Further Notice of Proposed Rulemaking, 29 FCC Rcd 8769, 8788</w:t>
      </w:r>
      <w:r w:rsidR="000F7214">
        <w:t>–</w:t>
      </w:r>
      <w:r w:rsidR="00EF4431">
        <w:t>93, paras. 54–</w:t>
      </w:r>
      <w:r>
        <w:t>71 (2014) (</w:t>
      </w:r>
      <w:r>
        <w:rPr>
          <w:i/>
        </w:rPr>
        <w:t>Rural Broadband Experiments Order</w:t>
      </w:r>
      <w:r>
        <w:t>).</w:t>
      </w:r>
    </w:p>
  </w:footnote>
  <w:footnote w:id="5">
    <w:p w14:paraId="4807303F" w14:textId="775A624A" w:rsidR="00F36818" w:rsidRPr="00E37975" w:rsidRDefault="00F36818" w:rsidP="00F36818">
      <w:pPr>
        <w:widowControl/>
        <w:spacing w:after="120"/>
        <w:rPr>
          <w:spacing w:val="-2"/>
          <w:sz w:val="20"/>
        </w:rPr>
      </w:pPr>
      <w:r w:rsidRPr="00E37975">
        <w:rPr>
          <w:rStyle w:val="FootnoteReference"/>
          <w:spacing w:val="-2"/>
        </w:rPr>
        <w:footnoteRef/>
      </w:r>
      <w:r w:rsidRPr="00E37975">
        <w:rPr>
          <w:spacing w:val="-2"/>
          <w:sz w:val="20"/>
        </w:rPr>
        <w:t xml:space="preserve"> </w:t>
      </w:r>
      <w:r w:rsidRPr="00BE0D61">
        <w:rPr>
          <w:i/>
          <w:sz w:val="20"/>
        </w:rPr>
        <w:t>See</w:t>
      </w:r>
      <w:r w:rsidRPr="00BE0D61">
        <w:rPr>
          <w:i/>
          <w:spacing w:val="-2"/>
          <w:sz w:val="20"/>
        </w:rPr>
        <w:t xml:space="preserve"> </w:t>
      </w:r>
      <w:r w:rsidR="00AA0C0E">
        <w:rPr>
          <w:i/>
          <w:spacing w:val="-2"/>
          <w:sz w:val="20"/>
        </w:rPr>
        <w:t>Round One Public Notice</w:t>
      </w:r>
      <w:r w:rsidRPr="00BE0D61">
        <w:rPr>
          <w:spacing w:val="-2"/>
          <w:sz w:val="20"/>
        </w:rPr>
        <w:t xml:space="preserve">, 29 FCC Rcd </w:t>
      </w:r>
      <w:r w:rsidR="00AA0C0E">
        <w:rPr>
          <w:spacing w:val="-2"/>
          <w:sz w:val="20"/>
        </w:rPr>
        <w:t>at 14687, Attach</w:t>
      </w:r>
      <w:r w:rsidR="00A719E5">
        <w:rPr>
          <w:spacing w:val="-2"/>
          <w:sz w:val="20"/>
        </w:rPr>
        <w:t>.</w:t>
      </w:r>
      <w:r w:rsidR="00AA0C0E">
        <w:rPr>
          <w:spacing w:val="-2"/>
          <w:sz w:val="20"/>
        </w:rPr>
        <w:t xml:space="preserve"> A.</w:t>
      </w:r>
    </w:p>
  </w:footnote>
  <w:footnote w:id="6">
    <w:p w14:paraId="4F68960B" w14:textId="3733DD85" w:rsidR="00F36818" w:rsidRDefault="00F36818" w:rsidP="00F36818">
      <w:pPr>
        <w:pStyle w:val="FootnoteText"/>
      </w:pPr>
      <w:r>
        <w:rPr>
          <w:rStyle w:val="FootnoteReference"/>
        </w:rPr>
        <w:footnoteRef/>
      </w:r>
      <w:r>
        <w:t xml:space="preserve"> </w:t>
      </w:r>
      <w:r w:rsidR="002B30BF" w:rsidRPr="00F36818">
        <w:rPr>
          <w:i/>
        </w:rPr>
        <w:t xml:space="preserve">See </w:t>
      </w:r>
      <w:r w:rsidR="002B30BF">
        <w:rPr>
          <w:i/>
        </w:rPr>
        <w:t>Rural Broadband Experiments Order</w:t>
      </w:r>
      <w:r w:rsidR="002B30BF">
        <w:t>, 29 FCC Rcd at</w:t>
      </w:r>
      <w:r w:rsidR="002B30BF" w:rsidRPr="00F36818">
        <w:t xml:space="preserve"> 8786–93, paras. 51–71</w:t>
      </w:r>
      <w:r>
        <w:t>.</w:t>
      </w:r>
    </w:p>
  </w:footnote>
  <w:footnote w:id="7">
    <w:p w14:paraId="58693541" w14:textId="554F1314" w:rsidR="00CB21FD" w:rsidRPr="00E37975" w:rsidRDefault="00CB21FD" w:rsidP="00BE0D61">
      <w:pPr>
        <w:pStyle w:val="FootnoteText"/>
      </w:pPr>
      <w:r w:rsidRPr="00E37975">
        <w:rPr>
          <w:rStyle w:val="FootnoteReference"/>
        </w:rPr>
        <w:footnoteRef/>
      </w:r>
      <w:r w:rsidRPr="00E37975">
        <w:t xml:space="preserve"> </w:t>
      </w:r>
      <w:r w:rsidR="00F36818" w:rsidRPr="00141280">
        <w:rPr>
          <w:i/>
        </w:rPr>
        <w:t xml:space="preserve">See </w:t>
      </w:r>
      <w:r w:rsidR="00F36818">
        <w:rPr>
          <w:i/>
        </w:rPr>
        <w:t>id</w:t>
      </w:r>
      <w:r w:rsidR="00F36818">
        <w:t xml:space="preserve">. at </w:t>
      </w:r>
      <w:r w:rsidRPr="00E37975">
        <w:t>8787, paras. 52, 54.</w:t>
      </w:r>
    </w:p>
  </w:footnote>
  <w:footnote w:id="8">
    <w:p w14:paraId="572CDA53" w14:textId="2BA05231" w:rsidR="00CB21FD" w:rsidRPr="00E37975" w:rsidRDefault="00CB21FD" w:rsidP="00BE0D61">
      <w:pPr>
        <w:pStyle w:val="FootnoteText"/>
      </w:pPr>
      <w:r w:rsidRPr="00E37975">
        <w:rPr>
          <w:rStyle w:val="FootnoteReference"/>
        </w:rPr>
        <w:footnoteRef/>
      </w:r>
      <w:r w:rsidRPr="00E37975">
        <w:t xml:space="preserve"> </w:t>
      </w:r>
      <w:r w:rsidR="00F36818" w:rsidRPr="00141280">
        <w:rPr>
          <w:i/>
        </w:rPr>
        <w:t xml:space="preserve">See </w:t>
      </w:r>
      <w:r w:rsidR="00F36818">
        <w:rPr>
          <w:i/>
        </w:rPr>
        <w:t>id</w:t>
      </w:r>
      <w:r w:rsidR="00F36818">
        <w:t>.</w:t>
      </w:r>
      <w:r w:rsidRPr="00E37975">
        <w:t xml:space="preserve"> at 8787</w:t>
      </w:r>
      <w:r>
        <w:t>–</w:t>
      </w:r>
      <w:r w:rsidRPr="00E37975">
        <w:t>88, para. 54.</w:t>
      </w:r>
    </w:p>
  </w:footnote>
  <w:footnote w:id="9">
    <w:p w14:paraId="6EC08894" w14:textId="6AC7D0CA" w:rsidR="00CB21FD" w:rsidRPr="00E37975" w:rsidRDefault="00CB21FD" w:rsidP="00BE0D61">
      <w:pPr>
        <w:pStyle w:val="FootnoteText"/>
      </w:pPr>
      <w:r w:rsidRPr="00E37975">
        <w:rPr>
          <w:rStyle w:val="FootnoteReference"/>
        </w:rPr>
        <w:footnoteRef/>
      </w:r>
      <w:r w:rsidRPr="00E37975">
        <w:t xml:space="preserve"> </w:t>
      </w:r>
      <w:r w:rsidR="00F36818" w:rsidRPr="00141280">
        <w:rPr>
          <w:i/>
        </w:rPr>
        <w:t xml:space="preserve">See </w:t>
      </w:r>
      <w:r w:rsidR="00F36818">
        <w:rPr>
          <w:i/>
        </w:rPr>
        <w:t>id</w:t>
      </w:r>
      <w:r w:rsidR="00F36818">
        <w:t>. at</w:t>
      </w:r>
      <w:r w:rsidRPr="00E37975">
        <w:t xml:space="preserve"> 8778</w:t>
      </w:r>
      <w:r>
        <w:t>–</w:t>
      </w:r>
      <w:r w:rsidRPr="00E37975">
        <w:t>79, 8788, paras. 22</w:t>
      </w:r>
      <w:r>
        <w:t>–</w:t>
      </w:r>
      <w:r w:rsidRPr="00E37975">
        <w:t xml:space="preserve">23, 54. </w:t>
      </w:r>
    </w:p>
  </w:footnote>
  <w:footnote w:id="10">
    <w:p w14:paraId="475B09BD" w14:textId="0ABFF88B" w:rsidR="000C2592" w:rsidRDefault="000C2592" w:rsidP="00BE0D61">
      <w:pPr>
        <w:pStyle w:val="FootnoteText"/>
      </w:pPr>
      <w:r>
        <w:rPr>
          <w:rStyle w:val="FootnoteReference"/>
        </w:rPr>
        <w:footnoteRef/>
      </w:r>
      <w:r>
        <w:t xml:space="preserve"> </w:t>
      </w:r>
      <w:r w:rsidR="00E81105" w:rsidRPr="00141280">
        <w:rPr>
          <w:i/>
        </w:rPr>
        <w:t xml:space="preserve">See </w:t>
      </w:r>
      <w:r w:rsidR="00E81105">
        <w:rPr>
          <w:i/>
        </w:rPr>
        <w:t>id</w:t>
      </w:r>
      <w:r w:rsidR="00E81105">
        <w:t xml:space="preserve">. </w:t>
      </w:r>
      <w:r>
        <w:t xml:space="preserve">at 8787, para. 52. </w:t>
      </w:r>
    </w:p>
  </w:footnote>
  <w:footnote w:id="11">
    <w:p w14:paraId="0A91636B" w14:textId="6D00ED36" w:rsidR="000C2592" w:rsidRDefault="000C2592" w:rsidP="00BE0D61">
      <w:pPr>
        <w:pStyle w:val="FootnoteText"/>
      </w:pPr>
      <w:r>
        <w:rPr>
          <w:rStyle w:val="FootnoteReference"/>
        </w:rPr>
        <w:footnoteRef/>
      </w:r>
      <w:r>
        <w:t xml:space="preserve"> </w:t>
      </w:r>
      <w:r w:rsidR="00E81105" w:rsidRPr="00141280">
        <w:rPr>
          <w:i/>
        </w:rPr>
        <w:t xml:space="preserve">See </w:t>
      </w:r>
      <w:r w:rsidR="00E81105">
        <w:rPr>
          <w:i/>
        </w:rPr>
        <w:t>id</w:t>
      </w:r>
      <w:r w:rsidR="00E81105">
        <w:t xml:space="preserve">. </w:t>
      </w:r>
      <w:r>
        <w:t>at 8787, para. 54.</w:t>
      </w:r>
    </w:p>
  </w:footnote>
  <w:footnote w:id="12">
    <w:p w14:paraId="1B901C09" w14:textId="5DD67C03" w:rsidR="002862BC" w:rsidRDefault="002862BC">
      <w:pPr>
        <w:pStyle w:val="FootnoteText"/>
      </w:pPr>
      <w:r>
        <w:rPr>
          <w:rStyle w:val="FootnoteReference"/>
        </w:rPr>
        <w:footnoteRef/>
      </w:r>
      <w:r>
        <w:t xml:space="preserve"> The </w:t>
      </w:r>
      <w:r w:rsidR="007F1E5E">
        <w:t>Indiana Utility Regulatory Commission</w:t>
      </w:r>
      <w:r>
        <w:t xml:space="preserve"> designated New Lisbon as an ETC in the relevant areas on S</w:t>
      </w:r>
      <w:r w:rsidRPr="001E57DE">
        <w:t>eptember 23, 2015</w:t>
      </w:r>
      <w:r>
        <w:t xml:space="preserve">.  </w:t>
      </w:r>
      <w:r w:rsidRPr="00E71D0C">
        <w:rPr>
          <w:i/>
        </w:rPr>
        <w:t>See</w:t>
      </w:r>
      <w:r>
        <w:t xml:space="preserve"> </w:t>
      </w:r>
      <w:r w:rsidRPr="001E57DE">
        <w:t xml:space="preserve">Petition of </w:t>
      </w:r>
      <w:r>
        <w:t>N</w:t>
      </w:r>
      <w:r w:rsidRPr="001E57DE">
        <w:t>ew Lisbon Br</w:t>
      </w:r>
      <w:r>
        <w:t>oadband and Communications, LLC</w:t>
      </w:r>
      <w:r w:rsidRPr="001E57DE">
        <w:t>, for Designation as an Eligible Telecommunications Carrier in the State of Indiana for the Purpose of Participating in the Connect America Fund Rural Broadband Experiment, Cause No 40152</w:t>
      </w:r>
      <w:r>
        <w:t xml:space="preserve"> ETC 7 (approved Sept. 23, 2015), </w:t>
      </w:r>
      <w:hyperlink r:id="rId5" w:history="1">
        <w:r w:rsidR="00F04886" w:rsidRPr="00DB7CD5">
          <w:rPr>
            <w:rStyle w:val="Hyperlink"/>
          </w:rPr>
          <w:t>https://myweb.in.gov/IURC/eds/Modules/Ecms/Cases/Docketed_Cases/ViewDocument.aspx?DocID=0900b631801cc559</w:t>
        </w:r>
      </w:hyperlink>
      <w:r>
        <w:t>.</w:t>
      </w:r>
    </w:p>
  </w:footnote>
  <w:footnote w:id="13">
    <w:p w14:paraId="25B3A176" w14:textId="6550AA6E" w:rsidR="00E81105" w:rsidRDefault="00E81105">
      <w:pPr>
        <w:pStyle w:val="FootnoteText"/>
      </w:pPr>
      <w:r>
        <w:rPr>
          <w:rStyle w:val="FootnoteReference"/>
        </w:rPr>
        <w:footnoteRef/>
      </w:r>
      <w:r>
        <w:t xml:space="preserve"> </w:t>
      </w:r>
      <w:r w:rsidR="00AE20D2">
        <w:t xml:space="preserve">The Commission may waive its policies or rules upon a showing of good cause and may take into account, on an individual basis, considerations of hardship, equity, or more effective implementation of overall policy.  </w:t>
      </w:r>
      <w:r w:rsidR="00AE20D2" w:rsidRPr="0050059E">
        <w:rPr>
          <w:i/>
        </w:rPr>
        <w:t xml:space="preserve">See WAIT Radio v. </w:t>
      </w:r>
      <w:r w:rsidR="00AE20D2">
        <w:rPr>
          <w:i/>
        </w:rPr>
        <w:t>FCC</w:t>
      </w:r>
      <w:r w:rsidR="00AE20D2">
        <w:t xml:space="preserve">, 418 F.2d 1153, 1159 (D.C. Cir. 1969); </w:t>
      </w:r>
      <w:r w:rsidR="00AE20D2" w:rsidRPr="0050059E">
        <w:rPr>
          <w:i/>
        </w:rPr>
        <w:t>see also NE Cellular Tele. Co. v. FCC</w:t>
      </w:r>
      <w:r w:rsidR="00AE20D2">
        <w:t xml:space="preserve">, 897 F.2d 1164, 1166 (D.C. Cir. 1990).  However, waiver of the Commission’s policies or rules is appropriate only if both: (i) special circumstances warrant a deviation from the general rule; and (ii) such deviation will serve the public interest.  </w:t>
      </w:r>
      <w:r w:rsidR="00847956">
        <w:rPr>
          <w:i/>
        </w:rPr>
        <w:t>See C</w:t>
      </w:r>
      <w:r w:rsidR="00847956" w:rsidRPr="00141280">
        <w:rPr>
          <w:i/>
        </w:rPr>
        <w:t>onnect America Fund</w:t>
      </w:r>
      <w:r w:rsidR="00847956">
        <w:rPr>
          <w:i/>
        </w:rPr>
        <w:t xml:space="preserve"> et al.</w:t>
      </w:r>
      <w:r w:rsidR="00847956" w:rsidRPr="00141280">
        <w:t xml:space="preserve">, WC Docket Nos. 10-90 and 14-58, Report and Order and Further Notice of Proposed Rulemaking, 29 FCC Rcd 8769, </w:t>
      </w:r>
      <w:r w:rsidR="00847956">
        <w:t xml:space="preserve">8788 n.95 </w:t>
      </w:r>
      <w:r w:rsidR="00847956" w:rsidRPr="00141280">
        <w:t>(2014</w:t>
      </w:r>
      <w:r w:rsidR="00847956">
        <w:t>) (delegating authority to the Bureau to act on petitions for waiver of ETC designation deadline</w:t>
      </w:r>
      <w:r w:rsidR="00E37A59">
        <w:t>s</w:t>
      </w:r>
      <w:r w:rsidR="00847956">
        <w:t>).</w:t>
      </w:r>
    </w:p>
  </w:footnote>
  <w:footnote w:id="14">
    <w:p w14:paraId="6FADC943" w14:textId="6C110583" w:rsidR="00AE20D2" w:rsidRDefault="00AE20D2">
      <w:pPr>
        <w:pStyle w:val="FootnoteText"/>
      </w:pPr>
      <w:r>
        <w:rPr>
          <w:rStyle w:val="FootnoteReference"/>
        </w:rPr>
        <w:footnoteRef/>
      </w:r>
      <w:r>
        <w:t xml:space="preserve"> </w:t>
      </w:r>
      <w:r w:rsidRPr="00251259">
        <w:rPr>
          <w:i/>
        </w:rPr>
        <w:t xml:space="preserve">See </w:t>
      </w:r>
      <w:r w:rsidRPr="00210484">
        <w:t>Third Waiver Supplement at</w:t>
      </w:r>
      <w:r>
        <w:rPr>
          <w:i/>
        </w:rPr>
        <w:t xml:space="preserve"> </w:t>
      </w:r>
      <w:r>
        <w:t>1–2.</w:t>
      </w:r>
    </w:p>
  </w:footnote>
  <w:footnote w:id="15">
    <w:p w14:paraId="3AC58699" w14:textId="23B911BD" w:rsidR="000F20E9" w:rsidRDefault="000F20E9">
      <w:pPr>
        <w:pStyle w:val="FootnoteText"/>
      </w:pPr>
      <w:r>
        <w:rPr>
          <w:rStyle w:val="FootnoteReference"/>
        </w:rPr>
        <w:footnoteRef/>
      </w:r>
      <w:r>
        <w:t xml:space="preserve"> </w:t>
      </w:r>
      <w:r w:rsidR="00493B32" w:rsidRPr="00251259">
        <w:rPr>
          <w:i/>
        </w:rPr>
        <w:t xml:space="preserve">See </w:t>
      </w:r>
      <w:r w:rsidR="00AE20D2" w:rsidRPr="00AE20D2">
        <w:rPr>
          <w:i/>
        </w:rPr>
        <w:t>id</w:t>
      </w:r>
      <w:r w:rsidR="00493B32">
        <w:t>.</w:t>
      </w:r>
      <w:r w:rsidR="00ED70FE">
        <w:t xml:space="preserve"> </w:t>
      </w:r>
      <w:r w:rsidR="001B1064">
        <w:t>at 2.</w:t>
      </w:r>
    </w:p>
  </w:footnote>
  <w:footnote w:id="16">
    <w:p w14:paraId="359C66EE" w14:textId="53D22526" w:rsidR="000C2592" w:rsidRDefault="000C2592" w:rsidP="00BE0D61">
      <w:pPr>
        <w:pStyle w:val="FootnoteText"/>
      </w:pPr>
      <w:r>
        <w:rPr>
          <w:rStyle w:val="FootnoteReference"/>
        </w:rPr>
        <w:footnoteRef/>
      </w:r>
      <w:r>
        <w:t xml:space="preserve"> </w:t>
      </w:r>
      <w:r w:rsidRPr="00251259">
        <w:rPr>
          <w:i/>
        </w:rPr>
        <w:t xml:space="preserve">See </w:t>
      </w:r>
      <w:r w:rsidR="00493B32" w:rsidRPr="00493B32">
        <w:rPr>
          <w:i/>
        </w:rPr>
        <w:t>id</w:t>
      </w:r>
      <w:r w:rsidR="00210484">
        <w:t xml:space="preserve">. </w:t>
      </w:r>
    </w:p>
  </w:footnote>
  <w:footnote w:id="17">
    <w:p w14:paraId="6B237BA3" w14:textId="3FE81778" w:rsidR="00210484" w:rsidRDefault="00210484" w:rsidP="00BE0D61">
      <w:pPr>
        <w:pStyle w:val="FootnoteText"/>
      </w:pPr>
      <w:r>
        <w:rPr>
          <w:rStyle w:val="FootnoteReference"/>
        </w:rPr>
        <w:footnoteRef/>
      </w:r>
      <w:r>
        <w:t xml:space="preserve"> </w:t>
      </w:r>
      <w:r w:rsidRPr="007856B0">
        <w:rPr>
          <w:i/>
        </w:rPr>
        <w:t>See id</w:t>
      </w:r>
      <w:r>
        <w:t>.</w:t>
      </w:r>
    </w:p>
  </w:footnote>
  <w:footnote w:id="18">
    <w:p w14:paraId="2123FE15" w14:textId="524AC11C" w:rsidR="00493B32" w:rsidRDefault="00493B32">
      <w:pPr>
        <w:pStyle w:val="FootnoteText"/>
      </w:pPr>
      <w:r>
        <w:rPr>
          <w:rStyle w:val="FootnoteReference"/>
        </w:rPr>
        <w:footnoteRef/>
      </w:r>
      <w:r>
        <w:t xml:space="preserve"> </w:t>
      </w:r>
      <w:r w:rsidR="001B1064" w:rsidRPr="00ED70FE">
        <w:rPr>
          <w:i/>
        </w:rPr>
        <w:t>See id</w:t>
      </w:r>
      <w:r w:rsidR="001B1064">
        <w:t xml:space="preserve">. </w:t>
      </w:r>
    </w:p>
  </w:footnote>
  <w:footnote w:id="19">
    <w:p w14:paraId="2B14CC25" w14:textId="70B50979" w:rsidR="00493B32" w:rsidRDefault="00493B32">
      <w:pPr>
        <w:pStyle w:val="FootnoteText"/>
      </w:pPr>
      <w:r>
        <w:rPr>
          <w:rStyle w:val="FootnoteReference"/>
        </w:rPr>
        <w:footnoteRef/>
      </w:r>
      <w:r>
        <w:t xml:space="preserve"> </w:t>
      </w:r>
      <w:r w:rsidRPr="00251259">
        <w:rPr>
          <w:i/>
        </w:rPr>
        <w:t>See id</w:t>
      </w:r>
      <w:r>
        <w:t xml:space="preserve">. at </w:t>
      </w:r>
      <w:r w:rsidR="001B1064">
        <w:t>3</w:t>
      </w:r>
      <w:r>
        <w:t xml:space="preserve">–4.  </w:t>
      </w:r>
    </w:p>
  </w:footnote>
  <w:footnote w:id="20">
    <w:p w14:paraId="511B6035" w14:textId="77777777" w:rsidR="00F04886" w:rsidRPr="00371FE8" w:rsidRDefault="00F04886" w:rsidP="00F04886">
      <w:pPr>
        <w:pStyle w:val="FootnoteText"/>
      </w:pPr>
      <w:r>
        <w:rPr>
          <w:rStyle w:val="FootnoteReference"/>
        </w:rPr>
        <w:footnoteRef/>
      </w:r>
      <w:r>
        <w:t xml:space="preserve"> </w:t>
      </w:r>
      <w:r>
        <w:rPr>
          <w:i/>
        </w:rPr>
        <w:t xml:space="preserve">Id. </w:t>
      </w:r>
      <w:r>
        <w:t>at 8778, para. 22.</w:t>
      </w:r>
    </w:p>
  </w:footnote>
  <w:footnote w:id="21">
    <w:p w14:paraId="35398AF3" w14:textId="3712D048" w:rsidR="000C2592" w:rsidRDefault="000C2592" w:rsidP="00BE0D61">
      <w:pPr>
        <w:pStyle w:val="FootnoteText"/>
      </w:pPr>
      <w:r>
        <w:rPr>
          <w:rStyle w:val="FootnoteReference"/>
        </w:rPr>
        <w:footnoteRef/>
      </w:r>
      <w:r>
        <w:t xml:space="preserve"> </w:t>
      </w:r>
      <w:r>
        <w:rPr>
          <w:i/>
        </w:rPr>
        <w:t>Rural Broadband Experiments Order</w:t>
      </w:r>
      <w:r>
        <w:t>, 29 FCC Rcd at 8788,</w:t>
      </w:r>
      <w:r w:rsidR="00A719E5">
        <w:t xml:space="preserve"> 8805,</w:t>
      </w:r>
      <w:r>
        <w:t xml:space="preserve"> </w:t>
      </w:r>
      <w:r w:rsidR="003236FC">
        <w:t xml:space="preserve">para. 54, </w:t>
      </w:r>
      <w:r>
        <w:t>App</w:t>
      </w:r>
      <w:r w:rsidR="00A719E5">
        <w:t>end</w:t>
      </w:r>
      <w:r>
        <w:t xml:space="preserve">. A.  </w:t>
      </w:r>
    </w:p>
  </w:footnote>
  <w:footnote w:id="22">
    <w:p w14:paraId="7B9466F0" w14:textId="54F4E1F0" w:rsidR="000C2592" w:rsidRDefault="000C2592" w:rsidP="00BE0D61">
      <w:pPr>
        <w:pStyle w:val="FootnoteText"/>
      </w:pPr>
      <w:r>
        <w:rPr>
          <w:rStyle w:val="FootnoteReference"/>
        </w:rPr>
        <w:footnoteRef/>
      </w:r>
      <w:r>
        <w:t xml:space="preserve"> </w:t>
      </w:r>
      <w:r>
        <w:rPr>
          <w:i/>
        </w:rPr>
        <w:t>See</w:t>
      </w:r>
      <w:r>
        <w:t xml:space="preserve"> </w:t>
      </w:r>
      <w:r>
        <w:rPr>
          <w:i/>
        </w:rPr>
        <w:t>Wireline Competition Bureau Reminds Provisionally Selected Rural Broadband Experiments Bidders of Letter of Credit Requirements</w:t>
      </w:r>
      <w:r>
        <w:t>, WC Docket Nos. 10-90 and 14-259, Public Notice, 29 FCC Rcd 333 (</w:t>
      </w:r>
      <w:r w:rsidR="00E71D0C">
        <w:t>WCB</w:t>
      </w:r>
      <w:r>
        <w:t xml:space="preserve"> 2015).</w:t>
      </w:r>
    </w:p>
  </w:footnote>
  <w:footnote w:id="23">
    <w:p w14:paraId="073DFD27" w14:textId="77777777" w:rsidR="000C2592" w:rsidRDefault="000C2592" w:rsidP="00BE0D61">
      <w:pPr>
        <w:pStyle w:val="FootnoteText"/>
      </w:pPr>
      <w:r>
        <w:rPr>
          <w:rStyle w:val="FootnoteReference"/>
        </w:rPr>
        <w:footnoteRef/>
      </w:r>
      <w:r>
        <w:t xml:space="preserve"> </w:t>
      </w:r>
      <w:r>
        <w:rPr>
          <w:i/>
        </w:rPr>
        <w:t>Id.</w:t>
      </w:r>
      <w:r>
        <w:t xml:space="preserve"> at 8791, para. 62.</w:t>
      </w:r>
    </w:p>
  </w:footnote>
  <w:footnote w:id="24">
    <w:p w14:paraId="70256D4C" w14:textId="77777777" w:rsidR="000C2592" w:rsidRDefault="000C2592" w:rsidP="00BE0D61">
      <w:pPr>
        <w:pStyle w:val="FootnoteText"/>
      </w:pPr>
      <w:r>
        <w:rPr>
          <w:rStyle w:val="FootnoteReference"/>
        </w:rPr>
        <w:footnoteRef/>
      </w:r>
      <w:r>
        <w:t xml:space="preserve"> </w:t>
      </w:r>
      <w:r>
        <w:rPr>
          <w:i/>
        </w:rPr>
        <w:t xml:space="preserve">Id. </w:t>
      </w:r>
      <w:r>
        <w:t xml:space="preserve">at 8790, para. 59. </w:t>
      </w:r>
    </w:p>
  </w:footnote>
  <w:footnote w:id="25">
    <w:p w14:paraId="66DEFC49" w14:textId="77777777" w:rsidR="000C2592" w:rsidRDefault="000C2592" w:rsidP="00BE0D61">
      <w:pPr>
        <w:pStyle w:val="FootnoteText"/>
      </w:pPr>
      <w:r>
        <w:rPr>
          <w:rStyle w:val="FootnoteReference"/>
        </w:rPr>
        <w:footnoteRef/>
      </w:r>
      <w:r>
        <w:t xml:space="preserve"> </w:t>
      </w:r>
      <w:r>
        <w:rPr>
          <w:i/>
        </w:rPr>
        <w:t>Id.</w:t>
      </w:r>
      <w:r>
        <w:t xml:space="preserve"> at 8789, para. 58.</w:t>
      </w:r>
    </w:p>
  </w:footnote>
  <w:footnote w:id="26">
    <w:p w14:paraId="13816A25" w14:textId="77777777" w:rsidR="000C2592" w:rsidRDefault="000C2592" w:rsidP="00BE0D61">
      <w:pPr>
        <w:pStyle w:val="FootnoteText"/>
      </w:pPr>
      <w:r>
        <w:rPr>
          <w:rStyle w:val="FootnoteReference"/>
        </w:rPr>
        <w:footnoteRef/>
      </w:r>
      <w:r>
        <w:t xml:space="preserve"> </w:t>
      </w:r>
      <w:r>
        <w:rPr>
          <w:i/>
        </w:rPr>
        <w:t>Id.</w:t>
      </w:r>
      <w:r>
        <w:t xml:space="preserve"> at 8788, para. 54. </w:t>
      </w:r>
    </w:p>
  </w:footnote>
  <w:footnote w:id="27">
    <w:p w14:paraId="22835E4F" w14:textId="77777777" w:rsidR="007856B0" w:rsidRDefault="007856B0" w:rsidP="00BE0D61">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014E" w14:textId="77777777" w:rsidR="00190077" w:rsidRDefault="0019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1372" w14:textId="77777777" w:rsidR="00190077" w:rsidRDefault="00190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769" w14:textId="77777777" w:rsidR="000C2592" w:rsidRPr="00B338A9" w:rsidRDefault="000C2592" w:rsidP="00B338A9">
    <w:pPr>
      <w:pStyle w:val="Header"/>
    </w:pPr>
    <w:r>
      <w:rPr>
        <w:b w:val="0"/>
        <w:noProof/>
      </w:rPr>
      <mc:AlternateContent>
        <mc:Choice Requires="wps">
          <w:drawing>
            <wp:anchor distT="0" distB="0" distL="114300" distR="114300" simplePos="0" relativeHeight="251656192" behindDoc="0" locked="0" layoutInCell="0" allowOverlap="1" wp14:anchorId="7EEE720F" wp14:editId="1C9AB3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EE720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75F50B9F" wp14:editId="54CBB70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93A01FE" w14:textId="77777777" w:rsidR="000C2592" w:rsidRDefault="000C2592" w:rsidP="00B338A9">
    <w:pPr>
      <w:pStyle w:val="Header"/>
    </w:pPr>
    <w:r>
      <w:rPr>
        <w:b w:val="0"/>
        <w:noProof/>
      </w:rPr>
      <mc:AlternateContent>
        <mc:Choice Requires="wps">
          <w:drawing>
            <wp:anchor distT="0" distB="0" distL="114300" distR="114300" simplePos="0" relativeHeight="251657216" behindDoc="0" locked="0" layoutInCell="0" allowOverlap="1" wp14:anchorId="2638EFCB" wp14:editId="715402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368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EEA4A93" wp14:editId="3D3BBF3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4D09B64D" w:rsidR="00C1406C" w:rsidRDefault="00C1406C" w:rsidP="00C1406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A46D87">
                            <w:rPr>
                              <w:rFonts w:ascii="Arial" w:hAnsi="Arial"/>
                              <w:b/>
                              <w:sz w:val="16"/>
                            </w:rPr>
                            <w:instrText>HYPERLINK "https://www.fcc.gov/"</w:instrText>
                          </w:r>
                          <w:r w:rsidR="00A46D87">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4D09B64D" w:rsidR="00C1406C" w:rsidRDefault="00C1406C" w:rsidP="00C1406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A46D87">
                      <w:rPr>
                        <w:rFonts w:ascii="Arial" w:hAnsi="Arial"/>
                        <w:b/>
                        <w:sz w:val="16"/>
                      </w:rPr>
                      <w:instrText>HYPERLINK "https://www.fcc.gov/"</w:instrText>
                    </w:r>
                    <w:r w:rsidR="00A46D87">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E156194"/>
    <w:multiLevelType w:val="hybridMultilevel"/>
    <w:tmpl w:val="DA0E0CB6"/>
    <w:lvl w:ilvl="0" w:tplc="CB9A5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8"/>
  </w:num>
  <w:num w:numId="9">
    <w:abstractNumId w:val="4"/>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8"/>
    <w:rsid w:val="00007A9F"/>
    <w:rsid w:val="00015A63"/>
    <w:rsid w:val="00027B25"/>
    <w:rsid w:val="00036039"/>
    <w:rsid w:val="00037F90"/>
    <w:rsid w:val="0004569A"/>
    <w:rsid w:val="000875BF"/>
    <w:rsid w:val="00096D8C"/>
    <w:rsid w:val="000B4582"/>
    <w:rsid w:val="000B5162"/>
    <w:rsid w:val="000C05B4"/>
    <w:rsid w:val="000C0B65"/>
    <w:rsid w:val="000C2592"/>
    <w:rsid w:val="000E05FE"/>
    <w:rsid w:val="000E3D42"/>
    <w:rsid w:val="000F20E9"/>
    <w:rsid w:val="000F7214"/>
    <w:rsid w:val="00101E90"/>
    <w:rsid w:val="0010743F"/>
    <w:rsid w:val="00122BD5"/>
    <w:rsid w:val="00123623"/>
    <w:rsid w:val="00133F79"/>
    <w:rsid w:val="00137C5B"/>
    <w:rsid w:val="0014708C"/>
    <w:rsid w:val="001573BC"/>
    <w:rsid w:val="00190077"/>
    <w:rsid w:val="00194A66"/>
    <w:rsid w:val="001964E9"/>
    <w:rsid w:val="001B1064"/>
    <w:rsid w:val="001B5A9D"/>
    <w:rsid w:val="001D6BCF"/>
    <w:rsid w:val="001E01CA"/>
    <w:rsid w:val="00210484"/>
    <w:rsid w:val="002165D0"/>
    <w:rsid w:val="00225D55"/>
    <w:rsid w:val="002264DC"/>
    <w:rsid w:val="002322FA"/>
    <w:rsid w:val="0025702F"/>
    <w:rsid w:val="00257EE1"/>
    <w:rsid w:val="00275CF5"/>
    <w:rsid w:val="0028301F"/>
    <w:rsid w:val="00285017"/>
    <w:rsid w:val="00285970"/>
    <w:rsid w:val="002862BC"/>
    <w:rsid w:val="002A2D2E"/>
    <w:rsid w:val="002B30BF"/>
    <w:rsid w:val="002C00E8"/>
    <w:rsid w:val="002C1FF6"/>
    <w:rsid w:val="002F0460"/>
    <w:rsid w:val="00313CB6"/>
    <w:rsid w:val="003236FC"/>
    <w:rsid w:val="00323E31"/>
    <w:rsid w:val="00343749"/>
    <w:rsid w:val="00347347"/>
    <w:rsid w:val="00356C26"/>
    <w:rsid w:val="003660ED"/>
    <w:rsid w:val="00367A55"/>
    <w:rsid w:val="00374132"/>
    <w:rsid w:val="0037689D"/>
    <w:rsid w:val="00391764"/>
    <w:rsid w:val="003B0550"/>
    <w:rsid w:val="003B694F"/>
    <w:rsid w:val="003E58CE"/>
    <w:rsid w:val="003F171C"/>
    <w:rsid w:val="00412FC5"/>
    <w:rsid w:val="00422276"/>
    <w:rsid w:val="004223B7"/>
    <w:rsid w:val="004242F1"/>
    <w:rsid w:val="004270AF"/>
    <w:rsid w:val="00443C46"/>
    <w:rsid w:val="00445A00"/>
    <w:rsid w:val="00451B0F"/>
    <w:rsid w:val="0045546E"/>
    <w:rsid w:val="00464D70"/>
    <w:rsid w:val="00485428"/>
    <w:rsid w:val="00492249"/>
    <w:rsid w:val="00493B32"/>
    <w:rsid w:val="004A3880"/>
    <w:rsid w:val="004C2EE3"/>
    <w:rsid w:val="004D3CE8"/>
    <w:rsid w:val="004D422E"/>
    <w:rsid w:val="004E4A22"/>
    <w:rsid w:val="004F71C8"/>
    <w:rsid w:val="00511968"/>
    <w:rsid w:val="0055614C"/>
    <w:rsid w:val="005C78AF"/>
    <w:rsid w:val="005E14C2"/>
    <w:rsid w:val="00607BA5"/>
    <w:rsid w:val="0061180A"/>
    <w:rsid w:val="00615D81"/>
    <w:rsid w:val="00620DFE"/>
    <w:rsid w:val="00626EB6"/>
    <w:rsid w:val="00650AA0"/>
    <w:rsid w:val="00655D03"/>
    <w:rsid w:val="00683388"/>
    <w:rsid w:val="00683F84"/>
    <w:rsid w:val="006A1F49"/>
    <w:rsid w:val="006A6A81"/>
    <w:rsid w:val="006B1456"/>
    <w:rsid w:val="006F7053"/>
    <w:rsid w:val="006F7393"/>
    <w:rsid w:val="0070224F"/>
    <w:rsid w:val="007115F7"/>
    <w:rsid w:val="00735C69"/>
    <w:rsid w:val="007425E5"/>
    <w:rsid w:val="0075442E"/>
    <w:rsid w:val="00770023"/>
    <w:rsid w:val="007841AE"/>
    <w:rsid w:val="00785689"/>
    <w:rsid w:val="007856B0"/>
    <w:rsid w:val="0079754B"/>
    <w:rsid w:val="007A1E6D"/>
    <w:rsid w:val="007B0EB2"/>
    <w:rsid w:val="007C5978"/>
    <w:rsid w:val="007D627E"/>
    <w:rsid w:val="007F0888"/>
    <w:rsid w:val="007F1E5E"/>
    <w:rsid w:val="007F413A"/>
    <w:rsid w:val="00802837"/>
    <w:rsid w:val="00810B6F"/>
    <w:rsid w:val="00820463"/>
    <w:rsid w:val="008208DE"/>
    <w:rsid w:val="00822CE0"/>
    <w:rsid w:val="00841AB1"/>
    <w:rsid w:val="0084554E"/>
    <w:rsid w:val="00847956"/>
    <w:rsid w:val="00866C09"/>
    <w:rsid w:val="008737C4"/>
    <w:rsid w:val="00897146"/>
    <w:rsid w:val="008B1465"/>
    <w:rsid w:val="008B2BFD"/>
    <w:rsid w:val="008C68F1"/>
    <w:rsid w:val="008F4FF3"/>
    <w:rsid w:val="00902D79"/>
    <w:rsid w:val="00921803"/>
    <w:rsid w:val="00924CF3"/>
    <w:rsid w:val="00926503"/>
    <w:rsid w:val="00937C30"/>
    <w:rsid w:val="00953F7F"/>
    <w:rsid w:val="00961EA0"/>
    <w:rsid w:val="009726D8"/>
    <w:rsid w:val="009F52FE"/>
    <w:rsid w:val="009F76DB"/>
    <w:rsid w:val="00A0074A"/>
    <w:rsid w:val="00A01175"/>
    <w:rsid w:val="00A072CF"/>
    <w:rsid w:val="00A32C3B"/>
    <w:rsid w:val="00A3511A"/>
    <w:rsid w:val="00A45F4F"/>
    <w:rsid w:val="00A46D87"/>
    <w:rsid w:val="00A55681"/>
    <w:rsid w:val="00A600A9"/>
    <w:rsid w:val="00A719E5"/>
    <w:rsid w:val="00A75BF2"/>
    <w:rsid w:val="00A77AB8"/>
    <w:rsid w:val="00AA0C0E"/>
    <w:rsid w:val="00AA55B7"/>
    <w:rsid w:val="00AA5B9E"/>
    <w:rsid w:val="00AB2407"/>
    <w:rsid w:val="00AB53DF"/>
    <w:rsid w:val="00AB605A"/>
    <w:rsid w:val="00AC424B"/>
    <w:rsid w:val="00AE20D2"/>
    <w:rsid w:val="00AF46DC"/>
    <w:rsid w:val="00B07E5C"/>
    <w:rsid w:val="00B20363"/>
    <w:rsid w:val="00B338A9"/>
    <w:rsid w:val="00B47B5C"/>
    <w:rsid w:val="00B679AB"/>
    <w:rsid w:val="00B76DB8"/>
    <w:rsid w:val="00B811F7"/>
    <w:rsid w:val="00BA5DC6"/>
    <w:rsid w:val="00BA6196"/>
    <w:rsid w:val="00BB4122"/>
    <w:rsid w:val="00BC6D8C"/>
    <w:rsid w:val="00BE0D61"/>
    <w:rsid w:val="00C1406C"/>
    <w:rsid w:val="00C34006"/>
    <w:rsid w:val="00C40E98"/>
    <w:rsid w:val="00C426B1"/>
    <w:rsid w:val="00C50E06"/>
    <w:rsid w:val="00C62495"/>
    <w:rsid w:val="00C66160"/>
    <w:rsid w:val="00C721AC"/>
    <w:rsid w:val="00C90D6A"/>
    <w:rsid w:val="00CA01C9"/>
    <w:rsid w:val="00CA247E"/>
    <w:rsid w:val="00CA50C7"/>
    <w:rsid w:val="00CB21FD"/>
    <w:rsid w:val="00CB5E01"/>
    <w:rsid w:val="00CC72B6"/>
    <w:rsid w:val="00CC776F"/>
    <w:rsid w:val="00CE29A1"/>
    <w:rsid w:val="00CE3A6B"/>
    <w:rsid w:val="00CF7F6F"/>
    <w:rsid w:val="00D0218D"/>
    <w:rsid w:val="00D02CA0"/>
    <w:rsid w:val="00D05556"/>
    <w:rsid w:val="00D12B06"/>
    <w:rsid w:val="00D25FB5"/>
    <w:rsid w:val="00D27403"/>
    <w:rsid w:val="00D44223"/>
    <w:rsid w:val="00D47505"/>
    <w:rsid w:val="00D5047E"/>
    <w:rsid w:val="00D61A1B"/>
    <w:rsid w:val="00D73D24"/>
    <w:rsid w:val="00D94B41"/>
    <w:rsid w:val="00DA2529"/>
    <w:rsid w:val="00DA7548"/>
    <w:rsid w:val="00DB130A"/>
    <w:rsid w:val="00DB2EBB"/>
    <w:rsid w:val="00DB6E98"/>
    <w:rsid w:val="00DC10A1"/>
    <w:rsid w:val="00DC655F"/>
    <w:rsid w:val="00DD0B59"/>
    <w:rsid w:val="00DD7EBD"/>
    <w:rsid w:val="00DE4C8D"/>
    <w:rsid w:val="00DE592C"/>
    <w:rsid w:val="00DF0810"/>
    <w:rsid w:val="00DF2009"/>
    <w:rsid w:val="00DF62B6"/>
    <w:rsid w:val="00E07225"/>
    <w:rsid w:val="00E07C24"/>
    <w:rsid w:val="00E13279"/>
    <w:rsid w:val="00E37A59"/>
    <w:rsid w:val="00E5409F"/>
    <w:rsid w:val="00E5706C"/>
    <w:rsid w:val="00E71CAB"/>
    <w:rsid w:val="00E71D0C"/>
    <w:rsid w:val="00E73581"/>
    <w:rsid w:val="00E81105"/>
    <w:rsid w:val="00E8201E"/>
    <w:rsid w:val="00EB4ACC"/>
    <w:rsid w:val="00EB7773"/>
    <w:rsid w:val="00ED6AC8"/>
    <w:rsid w:val="00ED70FE"/>
    <w:rsid w:val="00EE4761"/>
    <w:rsid w:val="00EE6488"/>
    <w:rsid w:val="00EF4431"/>
    <w:rsid w:val="00F021FA"/>
    <w:rsid w:val="00F04886"/>
    <w:rsid w:val="00F23D22"/>
    <w:rsid w:val="00F24632"/>
    <w:rsid w:val="00F358C8"/>
    <w:rsid w:val="00F36818"/>
    <w:rsid w:val="00F62E97"/>
    <w:rsid w:val="00F64209"/>
    <w:rsid w:val="00F71181"/>
    <w:rsid w:val="00F8591E"/>
    <w:rsid w:val="00F93BF5"/>
    <w:rsid w:val="00FE2C64"/>
    <w:rsid w:val="00FE311C"/>
    <w:rsid w:val="00FE3AB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comment/view?id=60001028081" TargetMode="External"/><Relationship Id="rId2" Type="http://schemas.openxmlformats.org/officeDocument/2006/relationships/hyperlink" Target="http://apps.fcc.gov/ecfs/comment/view?id=60001027900" TargetMode="External"/><Relationship Id="rId1" Type="http://schemas.openxmlformats.org/officeDocument/2006/relationships/hyperlink" Target="http://apps.fcc.gov/ecfs/comment/view?id=60001025670" TargetMode="External"/><Relationship Id="rId5" Type="http://schemas.openxmlformats.org/officeDocument/2006/relationships/hyperlink" Target="https://myweb.in.gov/IURC/eds/Modules/Ecms/Cases/Docketed_Cases/ViewDocument.aspx?DocID=0900b631801cc559" TargetMode="External"/><Relationship Id="rId4" Type="http://schemas.openxmlformats.org/officeDocument/2006/relationships/hyperlink" Target="http://apps.fcc.gov/ecfs/comment/view?id=600013601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F032E5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F032E527</Template>
  <TotalTime>0</TotalTime>
  <Pages>3</Pages>
  <Words>1455</Words>
  <Characters>7958</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2016-02-24T22:09:00Z</dcterms:created>
  <dcterms:modified xsi:type="dcterms:W3CDTF">2016-02-24T22:09:00Z</dcterms:modified>
  <cp:category> </cp:category>
  <cp:contentStatus> </cp:contentStatus>
</cp:coreProperties>
</file>