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EC8F" w14:textId="77777777" w:rsidR="0095395F" w:rsidRPr="009B4EF2" w:rsidRDefault="0095395F" w:rsidP="0089185E">
      <w:pPr>
        <w:rPr>
          <w:b/>
          <w:sz w:val="22"/>
          <w:szCs w:val="22"/>
        </w:rPr>
      </w:pPr>
      <w:bookmarkStart w:id="0" w:name="_GoBack"/>
      <w:bookmarkEnd w:id="0"/>
      <w:r w:rsidRPr="009B4EF2">
        <w:rPr>
          <w:b/>
          <w:i/>
          <w:sz w:val="22"/>
          <w:szCs w:val="22"/>
        </w:rPr>
        <w:tab/>
      </w:r>
      <w:r w:rsidRPr="009B4EF2">
        <w:rPr>
          <w:b/>
          <w:i/>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r w:rsidRPr="009B4EF2">
        <w:rPr>
          <w:b/>
          <w:sz w:val="22"/>
          <w:szCs w:val="22"/>
        </w:rPr>
        <w:tab/>
      </w:r>
    </w:p>
    <w:p w14:paraId="460611A6" w14:textId="15ED00C2" w:rsidR="0095395F" w:rsidRPr="009B4EF2" w:rsidRDefault="00BF50D0" w:rsidP="0089185E">
      <w:pPr>
        <w:ind w:left="7200" w:firstLine="720"/>
        <w:jc w:val="right"/>
        <w:rPr>
          <w:b/>
          <w:sz w:val="22"/>
          <w:szCs w:val="22"/>
        </w:rPr>
      </w:pPr>
      <w:r w:rsidRPr="009B4EF2">
        <w:rPr>
          <w:b/>
          <w:sz w:val="22"/>
          <w:szCs w:val="22"/>
        </w:rPr>
        <w:t xml:space="preserve"> </w:t>
      </w:r>
      <w:r w:rsidR="0095395F" w:rsidRPr="009B4EF2">
        <w:rPr>
          <w:b/>
          <w:sz w:val="22"/>
          <w:szCs w:val="22"/>
        </w:rPr>
        <w:t xml:space="preserve">DA </w:t>
      </w:r>
      <w:r w:rsidRPr="009B4EF2">
        <w:rPr>
          <w:b/>
          <w:sz w:val="22"/>
          <w:szCs w:val="22"/>
        </w:rPr>
        <w:t>1</w:t>
      </w:r>
      <w:r w:rsidR="00F7271D" w:rsidRPr="009B4EF2">
        <w:rPr>
          <w:b/>
          <w:sz w:val="22"/>
          <w:szCs w:val="22"/>
        </w:rPr>
        <w:t>6</w:t>
      </w:r>
      <w:r w:rsidRPr="009B4EF2">
        <w:rPr>
          <w:b/>
          <w:sz w:val="22"/>
          <w:szCs w:val="22"/>
        </w:rPr>
        <w:t>-</w:t>
      </w:r>
      <w:r w:rsidR="00FD1AF7">
        <w:rPr>
          <w:b/>
          <w:sz w:val="22"/>
          <w:szCs w:val="22"/>
        </w:rPr>
        <w:t>221</w:t>
      </w:r>
    </w:p>
    <w:p w14:paraId="71DFF620" w14:textId="63D24539" w:rsidR="0095395F" w:rsidRPr="009B4EF2" w:rsidRDefault="00C14E0E" w:rsidP="0089185E">
      <w:pPr>
        <w:ind w:left="7200"/>
        <w:jc w:val="right"/>
        <w:rPr>
          <w:b/>
          <w:sz w:val="22"/>
          <w:szCs w:val="22"/>
        </w:rPr>
      </w:pPr>
      <w:r w:rsidRPr="00DA5B11">
        <w:rPr>
          <w:b/>
          <w:sz w:val="22"/>
          <w:szCs w:val="22"/>
        </w:rPr>
        <w:t xml:space="preserve">February </w:t>
      </w:r>
      <w:r w:rsidR="00B44090" w:rsidRPr="00DA5B11">
        <w:rPr>
          <w:b/>
          <w:sz w:val="22"/>
          <w:szCs w:val="22"/>
        </w:rPr>
        <w:t>2</w:t>
      </w:r>
      <w:r w:rsidR="00C72E6A" w:rsidRPr="00DA5B11">
        <w:rPr>
          <w:b/>
          <w:sz w:val="22"/>
          <w:szCs w:val="22"/>
        </w:rPr>
        <w:t>9</w:t>
      </w:r>
      <w:r w:rsidRPr="00DA5B11">
        <w:rPr>
          <w:b/>
          <w:sz w:val="22"/>
          <w:szCs w:val="22"/>
        </w:rPr>
        <w:t>, 2016</w:t>
      </w:r>
    </w:p>
    <w:p w14:paraId="37F22E40" w14:textId="77777777" w:rsidR="0095395F" w:rsidRPr="009B4EF2" w:rsidRDefault="0095395F" w:rsidP="0089185E">
      <w:pPr>
        <w:jc w:val="center"/>
        <w:rPr>
          <w:b/>
          <w:sz w:val="22"/>
          <w:szCs w:val="22"/>
        </w:rPr>
      </w:pPr>
    </w:p>
    <w:p w14:paraId="60E51435" w14:textId="77777777" w:rsidR="0095395F" w:rsidRPr="009B4EF2" w:rsidRDefault="00424D30" w:rsidP="0089185E">
      <w:pPr>
        <w:jc w:val="center"/>
        <w:rPr>
          <w:b/>
          <w:sz w:val="22"/>
          <w:szCs w:val="22"/>
        </w:rPr>
      </w:pPr>
      <w:r w:rsidRPr="009B4EF2">
        <w:rPr>
          <w:b/>
          <w:sz w:val="22"/>
          <w:szCs w:val="22"/>
        </w:rPr>
        <w:t xml:space="preserve">WIRELESS TELECOMMUNICATIONS BUREAU </w:t>
      </w:r>
      <w:r w:rsidR="008456EB" w:rsidRPr="009B4EF2">
        <w:rPr>
          <w:b/>
          <w:sz w:val="22"/>
          <w:szCs w:val="22"/>
        </w:rPr>
        <w:t xml:space="preserve">SEEKS COMMENT ON THE </w:t>
      </w:r>
      <w:r w:rsidR="00C64B2D" w:rsidRPr="009B4EF2">
        <w:rPr>
          <w:b/>
          <w:sz w:val="22"/>
          <w:szCs w:val="22"/>
        </w:rPr>
        <w:t xml:space="preserve">CURRENT </w:t>
      </w:r>
      <w:r w:rsidR="008456EB" w:rsidRPr="009B4EF2">
        <w:rPr>
          <w:b/>
          <w:sz w:val="22"/>
          <w:szCs w:val="22"/>
        </w:rPr>
        <w:t xml:space="preserve">STATE </w:t>
      </w:r>
      <w:r w:rsidR="00C64B2D" w:rsidRPr="009B4EF2">
        <w:rPr>
          <w:b/>
          <w:sz w:val="22"/>
          <w:szCs w:val="22"/>
        </w:rPr>
        <w:t>OF CONSUMER SIGNAL BOOSTERS</w:t>
      </w:r>
    </w:p>
    <w:p w14:paraId="4F450F9E" w14:textId="77777777" w:rsidR="00C869DC" w:rsidRPr="009B4EF2" w:rsidRDefault="00C869DC" w:rsidP="0089185E">
      <w:pPr>
        <w:jc w:val="center"/>
        <w:rPr>
          <w:b/>
          <w:sz w:val="22"/>
          <w:szCs w:val="22"/>
        </w:rPr>
      </w:pPr>
    </w:p>
    <w:p w14:paraId="2774FC7D" w14:textId="77777777" w:rsidR="0095395F" w:rsidRPr="009B4EF2" w:rsidRDefault="006E5C0A" w:rsidP="0089185E">
      <w:pPr>
        <w:jc w:val="center"/>
        <w:rPr>
          <w:b/>
          <w:sz w:val="22"/>
          <w:szCs w:val="22"/>
        </w:rPr>
      </w:pPr>
      <w:r w:rsidRPr="009B4EF2">
        <w:rPr>
          <w:b/>
          <w:sz w:val="22"/>
          <w:szCs w:val="22"/>
        </w:rPr>
        <w:t>WT Docket 1</w:t>
      </w:r>
      <w:r w:rsidR="0008439E" w:rsidRPr="009B4EF2">
        <w:rPr>
          <w:b/>
          <w:sz w:val="22"/>
          <w:szCs w:val="22"/>
        </w:rPr>
        <w:t>0</w:t>
      </w:r>
      <w:r w:rsidRPr="009B4EF2">
        <w:rPr>
          <w:b/>
          <w:sz w:val="22"/>
          <w:szCs w:val="22"/>
        </w:rPr>
        <w:t>-</w:t>
      </w:r>
      <w:r w:rsidR="0008439E" w:rsidRPr="009B4EF2">
        <w:rPr>
          <w:b/>
          <w:sz w:val="22"/>
          <w:szCs w:val="22"/>
        </w:rPr>
        <w:t>4</w:t>
      </w:r>
    </w:p>
    <w:p w14:paraId="4E0703F4" w14:textId="77777777" w:rsidR="008456EB" w:rsidRPr="009B4EF2" w:rsidRDefault="008456EB" w:rsidP="0089185E">
      <w:pPr>
        <w:jc w:val="center"/>
        <w:rPr>
          <w:b/>
          <w:sz w:val="22"/>
          <w:szCs w:val="22"/>
        </w:rPr>
      </w:pPr>
    </w:p>
    <w:p w14:paraId="7E2F787C" w14:textId="7474E78E" w:rsidR="008456EB" w:rsidRPr="009B4EF2" w:rsidRDefault="008456EB" w:rsidP="008456EB">
      <w:pPr>
        <w:spacing w:before="60" w:line="276" w:lineRule="auto"/>
        <w:rPr>
          <w:b/>
          <w:sz w:val="22"/>
          <w:szCs w:val="22"/>
        </w:rPr>
      </w:pPr>
      <w:r w:rsidRPr="009B4EF2">
        <w:rPr>
          <w:b/>
          <w:sz w:val="22"/>
          <w:szCs w:val="22"/>
        </w:rPr>
        <w:t xml:space="preserve">Comments Due:  </w:t>
      </w:r>
      <w:r w:rsidR="00921FEA" w:rsidRPr="009B4EF2">
        <w:rPr>
          <w:b/>
          <w:sz w:val="22"/>
          <w:szCs w:val="22"/>
        </w:rPr>
        <w:t xml:space="preserve">March </w:t>
      </w:r>
      <w:r w:rsidR="00B44090">
        <w:rPr>
          <w:b/>
          <w:sz w:val="22"/>
          <w:szCs w:val="22"/>
        </w:rPr>
        <w:t>30</w:t>
      </w:r>
      <w:r w:rsidR="00921FEA" w:rsidRPr="009B4EF2">
        <w:rPr>
          <w:b/>
          <w:sz w:val="22"/>
          <w:szCs w:val="22"/>
        </w:rPr>
        <w:t>, 2016</w:t>
      </w:r>
    </w:p>
    <w:p w14:paraId="7E2E2CDF" w14:textId="21C5A06E" w:rsidR="008456EB" w:rsidRPr="009B4EF2" w:rsidRDefault="008456EB" w:rsidP="008456EB">
      <w:pPr>
        <w:spacing w:before="60" w:line="276" w:lineRule="auto"/>
        <w:rPr>
          <w:b/>
          <w:sz w:val="22"/>
          <w:szCs w:val="22"/>
        </w:rPr>
      </w:pPr>
      <w:r w:rsidRPr="009B4EF2">
        <w:rPr>
          <w:b/>
          <w:sz w:val="22"/>
          <w:szCs w:val="22"/>
        </w:rPr>
        <w:t xml:space="preserve">Reply Comments Due:  </w:t>
      </w:r>
      <w:r w:rsidR="00C72E6A" w:rsidRPr="009B4EF2">
        <w:rPr>
          <w:b/>
          <w:sz w:val="22"/>
          <w:szCs w:val="22"/>
        </w:rPr>
        <w:t>April</w:t>
      </w:r>
      <w:r w:rsidR="00B44090">
        <w:rPr>
          <w:b/>
          <w:sz w:val="22"/>
          <w:szCs w:val="22"/>
        </w:rPr>
        <w:t xml:space="preserve"> 14</w:t>
      </w:r>
      <w:r w:rsidR="00921FEA" w:rsidRPr="009B4EF2">
        <w:rPr>
          <w:b/>
          <w:sz w:val="22"/>
          <w:szCs w:val="22"/>
        </w:rPr>
        <w:t>, 2016</w:t>
      </w:r>
    </w:p>
    <w:p w14:paraId="4C7C62B8" w14:textId="77777777" w:rsidR="00AC479D" w:rsidRPr="009B4EF2" w:rsidRDefault="00AC479D" w:rsidP="0089185E">
      <w:pPr>
        <w:ind w:firstLine="720"/>
        <w:rPr>
          <w:sz w:val="22"/>
          <w:szCs w:val="22"/>
        </w:rPr>
      </w:pPr>
    </w:p>
    <w:p w14:paraId="20837431" w14:textId="159C3684" w:rsidR="004051C8" w:rsidRPr="009B4EF2" w:rsidRDefault="00041315" w:rsidP="00BB140C">
      <w:pPr>
        <w:ind w:firstLine="720"/>
        <w:rPr>
          <w:sz w:val="22"/>
          <w:szCs w:val="22"/>
        </w:rPr>
      </w:pPr>
      <w:r w:rsidRPr="009B4EF2">
        <w:rPr>
          <w:sz w:val="22"/>
          <w:szCs w:val="22"/>
        </w:rPr>
        <w:t xml:space="preserve">On February 20, 2013, the </w:t>
      </w:r>
      <w:r w:rsidR="009861FA" w:rsidRPr="009B4EF2">
        <w:rPr>
          <w:sz w:val="22"/>
          <w:szCs w:val="22"/>
        </w:rPr>
        <w:t>Federal Communications Commission (C</w:t>
      </w:r>
      <w:r w:rsidRPr="009B4EF2">
        <w:rPr>
          <w:sz w:val="22"/>
          <w:szCs w:val="22"/>
        </w:rPr>
        <w:t>ommission</w:t>
      </w:r>
      <w:r w:rsidR="00BB140C" w:rsidRPr="009B4EF2">
        <w:rPr>
          <w:sz w:val="22"/>
          <w:szCs w:val="22"/>
        </w:rPr>
        <w:t xml:space="preserve"> or FCC</w:t>
      </w:r>
      <w:r w:rsidR="009861FA" w:rsidRPr="009B4EF2">
        <w:rPr>
          <w:sz w:val="22"/>
          <w:szCs w:val="22"/>
        </w:rPr>
        <w:t>)</w:t>
      </w:r>
      <w:r w:rsidRPr="009B4EF2">
        <w:rPr>
          <w:sz w:val="22"/>
          <w:szCs w:val="22"/>
        </w:rPr>
        <w:t xml:space="preserve"> </w:t>
      </w:r>
      <w:r w:rsidR="00E759EC" w:rsidRPr="009B4EF2">
        <w:rPr>
          <w:sz w:val="22"/>
          <w:szCs w:val="22"/>
        </w:rPr>
        <w:t>released</w:t>
      </w:r>
      <w:r w:rsidRPr="009B4EF2">
        <w:rPr>
          <w:sz w:val="22"/>
          <w:szCs w:val="22"/>
        </w:rPr>
        <w:t xml:space="preserve"> the </w:t>
      </w:r>
      <w:r w:rsidRPr="009B4EF2">
        <w:rPr>
          <w:i/>
          <w:sz w:val="22"/>
          <w:szCs w:val="22"/>
        </w:rPr>
        <w:t>Signal Boosters Report and Order</w:t>
      </w:r>
      <w:r w:rsidRPr="009B4EF2">
        <w:rPr>
          <w:sz w:val="22"/>
          <w:szCs w:val="22"/>
        </w:rPr>
        <w:t xml:space="preserve">, in which it adopted new technical, operational, and registration requirements for </w:t>
      </w:r>
      <w:r w:rsidR="00BB140C" w:rsidRPr="009B4EF2">
        <w:rPr>
          <w:sz w:val="22"/>
          <w:szCs w:val="22"/>
        </w:rPr>
        <w:t xml:space="preserve">consumer </w:t>
      </w:r>
      <w:r w:rsidR="00CD38FD" w:rsidRPr="009B4EF2">
        <w:rPr>
          <w:sz w:val="22"/>
          <w:szCs w:val="22"/>
        </w:rPr>
        <w:t>s</w:t>
      </w:r>
      <w:r w:rsidRPr="009B4EF2">
        <w:rPr>
          <w:sz w:val="22"/>
          <w:szCs w:val="22"/>
        </w:rPr>
        <w:t xml:space="preserve">ignal </w:t>
      </w:r>
      <w:r w:rsidR="00CD38FD" w:rsidRPr="009B4EF2">
        <w:rPr>
          <w:sz w:val="22"/>
          <w:szCs w:val="22"/>
        </w:rPr>
        <w:t>b</w:t>
      </w:r>
      <w:r w:rsidRPr="009B4EF2">
        <w:rPr>
          <w:sz w:val="22"/>
          <w:szCs w:val="22"/>
        </w:rPr>
        <w:t>oosters.</w:t>
      </w:r>
      <w:r w:rsidR="00BA02BF" w:rsidRPr="009B4EF2">
        <w:rPr>
          <w:rStyle w:val="FootnoteReference"/>
          <w:sz w:val="22"/>
          <w:szCs w:val="22"/>
        </w:rPr>
        <w:footnoteReference w:id="1"/>
      </w:r>
      <w:r w:rsidR="00BA02BF" w:rsidRPr="009B4EF2">
        <w:rPr>
          <w:sz w:val="22"/>
          <w:szCs w:val="22"/>
        </w:rPr>
        <w:t xml:space="preserve">  </w:t>
      </w:r>
      <w:r w:rsidR="00BB140C" w:rsidRPr="009B4EF2">
        <w:rPr>
          <w:sz w:val="22"/>
          <w:szCs w:val="22"/>
        </w:rPr>
        <w:t xml:space="preserve">The underlying purpose of the </w:t>
      </w:r>
      <w:r w:rsidR="00BB140C" w:rsidRPr="009B4EF2">
        <w:rPr>
          <w:i/>
          <w:sz w:val="22"/>
          <w:szCs w:val="22"/>
        </w:rPr>
        <w:t>Report and Order</w:t>
      </w:r>
      <w:r w:rsidR="00BB140C" w:rsidRPr="009B4EF2">
        <w:rPr>
          <w:sz w:val="22"/>
          <w:szCs w:val="22"/>
        </w:rPr>
        <w:t xml:space="preserve"> was to broaden the availability of consumer signal boosters while ensuring that these boosters do not adversely affect wireless networks</w:t>
      </w:r>
      <w:r w:rsidR="00CC406E">
        <w:rPr>
          <w:sz w:val="22"/>
          <w:szCs w:val="22"/>
        </w:rPr>
        <w:t xml:space="preserve">.  </w:t>
      </w:r>
      <w:r w:rsidR="00C7783A" w:rsidRPr="009B4EF2">
        <w:rPr>
          <w:sz w:val="22"/>
          <w:szCs w:val="22"/>
        </w:rPr>
        <w:t>The Commission noted at the time that the rules were created to “accommodate devices for the cellular systems in use today” but were “sufficiently flexible to encourage further technological advances and a robust, competitive market for booster technology.”</w:t>
      </w:r>
      <w:r w:rsidR="00C7783A" w:rsidRPr="009B4EF2">
        <w:rPr>
          <w:rStyle w:val="FootnoteReference"/>
          <w:sz w:val="22"/>
          <w:szCs w:val="22"/>
        </w:rPr>
        <w:footnoteReference w:id="2"/>
      </w:r>
    </w:p>
    <w:p w14:paraId="369D78B4" w14:textId="77777777" w:rsidR="00BB140C" w:rsidRPr="009B4EF2" w:rsidRDefault="00BB140C" w:rsidP="008B70BA">
      <w:pPr>
        <w:ind w:firstLine="720"/>
        <w:rPr>
          <w:sz w:val="22"/>
          <w:szCs w:val="22"/>
        </w:rPr>
      </w:pPr>
    </w:p>
    <w:p w14:paraId="522C6503" w14:textId="27AAEF82" w:rsidR="00BB140C" w:rsidRPr="009B4EF2" w:rsidRDefault="00817F45" w:rsidP="008B70BA">
      <w:pPr>
        <w:ind w:firstLine="720"/>
        <w:rPr>
          <w:sz w:val="22"/>
          <w:szCs w:val="22"/>
        </w:rPr>
      </w:pPr>
      <w:r>
        <w:rPr>
          <w:sz w:val="22"/>
          <w:szCs w:val="22"/>
        </w:rPr>
        <w:t>We observe that</w:t>
      </w:r>
      <w:r w:rsidR="009E2EAE" w:rsidRPr="009B4EF2">
        <w:rPr>
          <w:sz w:val="22"/>
          <w:szCs w:val="22"/>
        </w:rPr>
        <w:t xml:space="preserve"> consumers </w:t>
      </w:r>
      <w:r w:rsidR="00EC175D">
        <w:rPr>
          <w:sz w:val="22"/>
          <w:szCs w:val="22"/>
        </w:rPr>
        <w:t xml:space="preserve">now </w:t>
      </w:r>
      <w:r w:rsidR="009E2EAE" w:rsidRPr="009B4EF2">
        <w:rPr>
          <w:sz w:val="22"/>
          <w:szCs w:val="22"/>
        </w:rPr>
        <w:t>have access to a wide range of consumer signal boosters</w:t>
      </w:r>
      <w:r w:rsidR="00EC175D">
        <w:rPr>
          <w:sz w:val="22"/>
          <w:szCs w:val="22"/>
        </w:rPr>
        <w:t xml:space="preserve"> that satisfy the </w:t>
      </w:r>
      <w:r>
        <w:rPr>
          <w:sz w:val="22"/>
          <w:szCs w:val="22"/>
        </w:rPr>
        <w:t xml:space="preserve">technical protections adopted in the </w:t>
      </w:r>
      <w:r>
        <w:rPr>
          <w:i/>
          <w:sz w:val="22"/>
          <w:szCs w:val="22"/>
        </w:rPr>
        <w:t>Signal Boosters Report and Order.</w:t>
      </w:r>
      <w:r>
        <w:rPr>
          <w:sz w:val="22"/>
          <w:szCs w:val="22"/>
        </w:rPr>
        <w:t xml:space="preserve">  A</w:t>
      </w:r>
      <w:r w:rsidR="009E2EAE" w:rsidRPr="009B4EF2">
        <w:rPr>
          <w:sz w:val="22"/>
          <w:szCs w:val="22"/>
        </w:rPr>
        <w:t xml:space="preserve">s of March 2, 2015, </w:t>
      </w:r>
      <w:r w:rsidR="00593B91">
        <w:rPr>
          <w:sz w:val="22"/>
          <w:szCs w:val="22"/>
        </w:rPr>
        <w:t>the</w:t>
      </w:r>
      <w:r w:rsidR="00593B91" w:rsidRPr="009B4EF2">
        <w:rPr>
          <w:sz w:val="22"/>
          <w:szCs w:val="22"/>
        </w:rPr>
        <w:t xml:space="preserve"> </w:t>
      </w:r>
      <w:r w:rsidR="009E2EAE" w:rsidRPr="009B4EF2">
        <w:rPr>
          <w:sz w:val="22"/>
          <w:szCs w:val="22"/>
        </w:rPr>
        <w:t xml:space="preserve">four nationwide </w:t>
      </w:r>
      <w:r w:rsidR="00593B91">
        <w:rPr>
          <w:sz w:val="22"/>
          <w:szCs w:val="22"/>
        </w:rPr>
        <w:t>wireless providers</w:t>
      </w:r>
      <w:r w:rsidR="00593B91" w:rsidRPr="009B4EF2">
        <w:rPr>
          <w:sz w:val="22"/>
          <w:szCs w:val="22"/>
        </w:rPr>
        <w:t xml:space="preserve"> </w:t>
      </w:r>
      <w:r w:rsidR="00593B91">
        <w:rPr>
          <w:sz w:val="22"/>
          <w:szCs w:val="22"/>
        </w:rPr>
        <w:t>had</w:t>
      </w:r>
      <w:r w:rsidR="00593B91" w:rsidRPr="009B4EF2">
        <w:rPr>
          <w:sz w:val="22"/>
          <w:szCs w:val="22"/>
        </w:rPr>
        <w:t xml:space="preserve"> </w:t>
      </w:r>
      <w:r w:rsidR="009E2EAE" w:rsidRPr="009B4EF2">
        <w:rPr>
          <w:sz w:val="22"/>
          <w:szCs w:val="22"/>
        </w:rPr>
        <w:t xml:space="preserve">consented to </w:t>
      </w:r>
      <w:r w:rsidR="00593B91">
        <w:rPr>
          <w:sz w:val="22"/>
          <w:szCs w:val="22"/>
        </w:rPr>
        <w:t>the use of</w:t>
      </w:r>
      <w:r w:rsidR="009E2EAE" w:rsidRPr="009B4EF2">
        <w:rPr>
          <w:sz w:val="22"/>
          <w:szCs w:val="22"/>
        </w:rPr>
        <w:t xml:space="preserve"> all 60 of the consumer signal boosters that the </w:t>
      </w:r>
      <w:r w:rsidR="00833B59">
        <w:rPr>
          <w:sz w:val="22"/>
          <w:szCs w:val="22"/>
        </w:rPr>
        <w:t>FCC</w:t>
      </w:r>
      <w:r w:rsidR="009E2EAE" w:rsidRPr="009B4EF2">
        <w:rPr>
          <w:sz w:val="22"/>
          <w:szCs w:val="22"/>
        </w:rPr>
        <w:t xml:space="preserve"> had certified at that time,</w:t>
      </w:r>
      <w:r w:rsidR="009E2EAE" w:rsidRPr="009B4EF2">
        <w:rPr>
          <w:rStyle w:val="FootnoteReference"/>
          <w:sz w:val="22"/>
          <w:szCs w:val="22"/>
        </w:rPr>
        <w:footnoteReference w:id="3"/>
      </w:r>
      <w:r w:rsidR="009E2EAE" w:rsidRPr="009B4EF2">
        <w:rPr>
          <w:sz w:val="22"/>
          <w:szCs w:val="22"/>
        </w:rPr>
        <w:t xml:space="preserve"> and as of February 8, 2016, the </w:t>
      </w:r>
      <w:r w:rsidR="00833B59">
        <w:rPr>
          <w:sz w:val="22"/>
          <w:szCs w:val="22"/>
        </w:rPr>
        <w:t>FCC</w:t>
      </w:r>
      <w:r w:rsidR="009E2EAE" w:rsidRPr="009B4EF2">
        <w:rPr>
          <w:sz w:val="22"/>
          <w:szCs w:val="22"/>
        </w:rPr>
        <w:t xml:space="preserve"> </w:t>
      </w:r>
      <w:r w:rsidR="00593B91">
        <w:rPr>
          <w:sz w:val="22"/>
          <w:szCs w:val="22"/>
        </w:rPr>
        <w:t>had</w:t>
      </w:r>
      <w:r w:rsidR="00593B91" w:rsidRPr="009B4EF2">
        <w:rPr>
          <w:sz w:val="22"/>
          <w:szCs w:val="22"/>
        </w:rPr>
        <w:t xml:space="preserve"> </w:t>
      </w:r>
      <w:r w:rsidR="009E2EAE" w:rsidRPr="009B4EF2">
        <w:rPr>
          <w:sz w:val="22"/>
          <w:szCs w:val="22"/>
        </w:rPr>
        <w:t>certified a total of 76 consumer signal boosters.</w:t>
      </w:r>
      <w:r w:rsidR="009E2EAE" w:rsidRPr="009B4EF2">
        <w:rPr>
          <w:rStyle w:val="FootnoteReference"/>
          <w:sz w:val="22"/>
          <w:szCs w:val="22"/>
        </w:rPr>
        <w:footnoteReference w:id="4"/>
      </w:r>
      <w:r w:rsidR="009E2EAE" w:rsidRPr="009B4EF2">
        <w:rPr>
          <w:sz w:val="22"/>
          <w:szCs w:val="22"/>
        </w:rPr>
        <w:t xml:space="preserve"> </w:t>
      </w:r>
      <w:r w:rsidR="00FC0B61">
        <w:rPr>
          <w:b/>
          <w:sz w:val="22"/>
          <w:szCs w:val="22"/>
        </w:rPr>
        <w:t xml:space="preserve"> </w:t>
      </w:r>
      <w:r w:rsidR="009E2EAE" w:rsidRPr="009B4EF2">
        <w:rPr>
          <w:sz w:val="22"/>
          <w:szCs w:val="22"/>
        </w:rPr>
        <w:t xml:space="preserve">In addition, </w:t>
      </w:r>
      <w:r w:rsidR="00BB140C" w:rsidRPr="009B4EF2">
        <w:rPr>
          <w:sz w:val="22"/>
          <w:szCs w:val="22"/>
        </w:rPr>
        <w:t>e</w:t>
      </w:r>
      <w:r w:rsidR="009E2EAE" w:rsidRPr="009B4EF2">
        <w:rPr>
          <w:sz w:val="22"/>
          <w:szCs w:val="22"/>
        </w:rPr>
        <w:t>ach of the nationwide</w:t>
      </w:r>
      <w:r w:rsidR="00BB140C" w:rsidRPr="009B4EF2">
        <w:rPr>
          <w:sz w:val="22"/>
          <w:szCs w:val="22"/>
        </w:rPr>
        <w:t xml:space="preserve"> </w:t>
      </w:r>
      <w:r>
        <w:rPr>
          <w:sz w:val="22"/>
          <w:szCs w:val="22"/>
        </w:rPr>
        <w:t>providers</w:t>
      </w:r>
      <w:r w:rsidRPr="009B4EF2">
        <w:rPr>
          <w:sz w:val="22"/>
          <w:szCs w:val="22"/>
        </w:rPr>
        <w:t xml:space="preserve"> </w:t>
      </w:r>
      <w:r w:rsidR="009E2EAE" w:rsidRPr="009B4EF2">
        <w:rPr>
          <w:sz w:val="22"/>
          <w:szCs w:val="22"/>
        </w:rPr>
        <w:t>has</w:t>
      </w:r>
      <w:r w:rsidR="00BB140C" w:rsidRPr="009B4EF2">
        <w:rPr>
          <w:sz w:val="22"/>
          <w:szCs w:val="22"/>
        </w:rPr>
        <w:t xml:space="preserve"> set up consumer registration procedures.</w:t>
      </w:r>
      <w:r w:rsidR="009E2EAE" w:rsidRPr="009B4EF2">
        <w:rPr>
          <w:rStyle w:val="FootnoteReference"/>
          <w:sz w:val="22"/>
          <w:szCs w:val="22"/>
        </w:rPr>
        <w:footnoteReference w:id="5"/>
      </w:r>
    </w:p>
    <w:p w14:paraId="0E59803F" w14:textId="77777777" w:rsidR="004051C8" w:rsidRPr="009B4EF2" w:rsidRDefault="004051C8" w:rsidP="008B70BA">
      <w:pPr>
        <w:ind w:firstLine="720"/>
        <w:rPr>
          <w:sz w:val="22"/>
          <w:szCs w:val="22"/>
        </w:rPr>
      </w:pPr>
    </w:p>
    <w:p w14:paraId="5AE4027C" w14:textId="5196957D" w:rsidR="00025081" w:rsidRDefault="00366386" w:rsidP="008B70BA">
      <w:pPr>
        <w:ind w:firstLine="720"/>
        <w:rPr>
          <w:sz w:val="22"/>
          <w:szCs w:val="22"/>
        </w:rPr>
      </w:pPr>
      <w:r>
        <w:rPr>
          <w:sz w:val="22"/>
          <w:szCs w:val="22"/>
        </w:rPr>
        <w:t>In adopting new requirements for consumer signal boosters, the Commission stated</w:t>
      </w:r>
      <w:r w:rsidR="00BC5C3D">
        <w:rPr>
          <w:sz w:val="22"/>
          <w:szCs w:val="22"/>
        </w:rPr>
        <w:t xml:space="preserve"> that</w:t>
      </w:r>
      <w:r w:rsidR="008B0DF6" w:rsidRPr="009B4EF2">
        <w:rPr>
          <w:sz w:val="22"/>
          <w:szCs w:val="22"/>
        </w:rPr>
        <w:t xml:space="preserve"> “it would be beneficial to assess the state of technological advancements after signal booster manufacturers have had an opportunity to deve</w:t>
      </w:r>
      <w:r w:rsidR="008B70BA" w:rsidRPr="009B4EF2">
        <w:rPr>
          <w:sz w:val="22"/>
          <w:szCs w:val="22"/>
        </w:rPr>
        <w:t>lop devices under our new rules.</w:t>
      </w:r>
      <w:r w:rsidR="008B0DF6" w:rsidRPr="009B4EF2">
        <w:rPr>
          <w:sz w:val="22"/>
          <w:szCs w:val="22"/>
        </w:rPr>
        <w:t>”</w:t>
      </w:r>
      <w:r w:rsidR="008B0DF6" w:rsidRPr="009B4EF2">
        <w:rPr>
          <w:rStyle w:val="FootnoteReference"/>
          <w:sz w:val="22"/>
          <w:szCs w:val="22"/>
        </w:rPr>
        <w:footnoteReference w:id="6"/>
      </w:r>
      <w:r w:rsidR="008B0DF6" w:rsidRPr="009B4EF2">
        <w:rPr>
          <w:sz w:val="22"/>
          <w:szCs w:val="22"/>
        </w:rPr>
        <w:t xml:space="preserve">  </w:t>
      </w:r>
      <w:r w:rsidR="008B70BA" w:rsidRPr="009B4EF2">
        <w:rPr>
          <w:sz w:val="22"/>
          <w:szCs w:val="22"/>
        </w:rPr>
        <w:t>As such, the Commission directed the Wireless Telecommunications Bureau (Bureau) to release a Public Notice no later than March 1, 2016, seeking comment on “additional technologies that may enhance the interference-mitigating features of signal boosters already required by our rules.”</w:t>
      </w:r>
      <w:r w:rsidR="008B70BA" w:rsidRPr="009B4EF2">
        <w:rPr>
          <w:rStyle w:val="FootnoteReference"/>
          <w:sz w:val="22"/>
          <w:szCs w:val="22"/>
        </w:rPr>
        <w:footnoteReference w:id="7"/>
      </w:r>
      <w:r w:rsidR="008B70BA" w:rsidRPr="009B4EF2">
        <w:rPr>
          <w:sz w:val="22"/>
          <w:szCs w:val="22"/>
        </w:rPr>
        <w:t xml:space="preserve">  </w:t>
      </w:r>
      <w:r w:rsidR="008F5D13" w:rsidRPr="009B4EF2">
        <w:rPr>
          <w:sz w:val="22"/>
          <w:szCs w:val="22"/>
        </w:rPr>
        <w:t>Accordingly</w:t>
      </w:r>
      <w:r w:rsidR="00BA02BF" w:rsidRPr="009B4EF2">
        <w:rPr>
          <w:sz w:val="22"/>
          <w:szCs w:val="22"/>
        </w:rPr>
        <w:t xml:space="preserve">, </w:t>
      </w:r>
      <w:r w:rsidR="008B70BA" w:rsidRPr="009B4EF2">
        <w:rPr>
          <w:sz w:val="22"/>
          <w:szCs w:val="22"/>
        </w:rPr>
        <w:t>the Bureau</w:t>
      </w:r>
      <w:r w:rsidR="00414039" w:rsidRPr="009B4EF2">
        <w:rPr>
          <w:sz w:val="22"/>
          <w:szCs w:val="22"/>
        </w:rPr>
        <w:t xml:space="preserve"> hereby </w:t>
      </w:r>
      <w:r w:rsidR="008B70BA" w:rsidRPr="009B4EF2">
        <w:rPr>
          <w:sz w:val="22"/>
          <w:szCs w:val="22"/>
        </w:rPr>
        <w:t xml:space="preserve">seeks comment regarding the current state of </w:t>
      </w:r>
      <w:r w:rsidR="004F65F6" w:rsidRPr="009B4EF2">
        <w:rPr>
          <w:sz w:val="22"/>
          <w:szCs w:val="22"/>
        </w:rPr>
        <w:t xml:space="preserve">the </w:t>
      </w:r>
      <w:r w:rsidR="008B70BA" w:rsidRPr="009B4EF2">
        <w:rPr>
          <w:sz w:val="22"/>
          <w:szCs w:val="22"/>
        </w:rPr>
        <w:t xml:space="preserve">consumer signal </w:t>
      </w:r>
      <w:r w:rsidR="004F65F6" w:rsidRPr="009B4EF2">
        <w:rPr>
          <w:sz w:val="22"/>
          <w:szCs w:val="22"/>
        </w:rPr>
        <w:t>booster market</w:t>
      </w:r>
      <w:r w:rsidR="008B70BA" w:rsidRPr="009B4EF2">
        <w:rPr>
          <w:sz w:val="22"/>
          <w:szCs w:val="22"/>
        </w:rPr>
        <w:t xml:space="preserve"> and any relevant technologies that </w:t>
      </w:r>
      <w:r w:rsidR="00F1577E">
        <w:rPr>
          <w:sz w:val="22"/>
          <w:szCs w:val="22"/>
        </w:rPr>
        <w:t>should be considered now that the rules have been in operation for three years</w:t>
      </w:r>
      <w:r w:rsidR="00414039" w:rsidRPr="009B4EF2">
        <w:rPr>
          <w:sz w:val="22"/>
          <w:szCs w:val="22"/>
        </w:rPr>
        <w:t>.</w:t>
      </w:r>
      <w:r>
        <w:rPr>
          <w:sz w:val="22"/>
          <w:szCs w:val="22"/>
        </w:rPr>
        <w:t xml:space="preserve">  In particular, we seek comment on:</w:t>
      </w:r>
    </w:p>
    <w:p w14:paraId="6E9997C4" w14:textId="77777777" w:rsidR="00366386" w:rsidRDefault="00366386" w:rsidP="00366386">
      <w:pPr>
        <w:pStyle w:val="ListParagraph"/>
        <w:numPr>
          <w:ilvl w:val="0"/>
          <w:numId w:val="35"/>
        </w:numPr>
        <w:rPr>
          <w:sz w:val="22"/>
          <w:szCs w:val="22"/>
        </w:rPr>
      </w:pPr>
      <w:r>
        <w:rPr>
          <w:sz w:val="22"/>
          <w:szCs w:val="22"/>
        </w:rPr>
        <w:t>T</w:t>
      </w:r>
      <w:r w:rsidR="0089185E" w:rsidRPr="00366386">
        <w:rPr>
          <w:sz w:val="22"/>
          <w:szCs w:val="22"/>
        </w:rPr>
        <w:t xml:space="preserve">he performance and effectiveness of new </w:t>
      </w:r>
      <w:r w:rsidR="008456EB" w:rsidRPr="00366386">
        <w:rPr>
          <w:sz w:val="22"/>
          <w:szCs w:val="22"/>
        </w:rPr>
        <w:t>c</w:t>
      </w:r>
      <w:r w:rsidR="0089185E" w:rsidRPr="00366386">
        <w:rPr>
          <w:sz w:val="22"/>
          <w:szCs w:val="22"/>
        </w:rPr>
        <w:t xml:space="preserve">onsumer </w:t>
      </w:r>
      <w:r w:rsidR="008456EB" w:rsidRPr="00366386">
        <w:rPr>
          <w:sz w:val="22"/>
          <w:szCs w:val="22"/>
        </w:rPr>
        <w:t>s</w:t>
      </w:r>
      <w:r w:rsidR="0089185E" w:rsidRPr="00366386">
        <w:rPr>
          <w:sz w:val="22"/>
          <w:szCs w:val="22"/>
        </w:rPr>
        <w:t xml:space="preserve">ignal </w:t>
      </w:r>
      <w:r w:rsidR="008456EB" w:rsidRPr="00366386">
        <w:rPr>
          <w:sz w:val="22"/>
          <w:szCs w:val="22"/>
        </w:rPr>
        <w:t>b</w:t>
      </w:r>
      <w:r w:rsidR="0089185E" w:rsidRPr="00366386">
        <w:rPr>
          <w:sz w:val="22"/>
          <w:szCs w:val="22"/>
        </w:rPr>
        <w:t>oosters</w:t>
      </w:r>
      <w:r>
        <w:rPr>
          <w:sz w:val="22"/>
          <w:szCs w:val="22"/>
        </w:rPr>
        <w:t>;</w:t>
      </w:r>
    </w:p>
    <w:p w14:paraId="508F998C" w14:textId="30320122" w:rsidR="00366386" w:rsidRDefault="00366386" w:rsidP="00366386">
      <w:pPr>
        <w:pStyle w:val="ListParagraph"/>
        <w:numPr>
          <w:ilvl w:val="0"/>
          <w:numId w:val="35"/>
        </w:numPr>
        <w:rPr>
          <w:sz w:val="22"/>
          <w:szCs w:val="22"/>
        </w:rPr>
      </w:pPr>
      <w:r>
        <w:rPr>
          <w:sz w:val="22"/>
          <w:szCs w:val="22"/>
        </w:rPr>
        <w:t>Whether additional safeguards are necessary</w:t>
      </w:r>
      <w:r w:rsidR="001E5592">
        <w:rPr>
          <w:sz w:val="22"/>
          <w:szCs w:val="22"/>
        </w:rPr>
        <w:t>, and if so:</w:t>
      </w:r>
    </w:p>
    <w:p w14:paraId="1ED2B67A" w14:textId="77777777" w:rsidR="00CC406E" w:rsidRDefault="00366386" w:rsidP="00B15ED1">
      <w:pPr>
        <w:pStyle w:val="ListParagraph"/>
        <w:numPr>
          <w:ilvl w:val="1"/>
          <w:numId w:val="35"/>
        </w:numPr>
        <w:rPr>
          <w:sz w:val="22"/>
          <w:szCs w:val="22"/>
        </w:rPr>
      </w:pPr>
      <w:r w:rsidRPr="00366386">
        <w:rPr>
          <w:sz w:val="22"/>
          <w:szCs w:val="22"/>
        </w:rPr>
        <w:t>a description of the safeguard</w:t>
      </w:r>
      <w:r w:rsidR="00CC406E">
        <w:rPr>
          <w:sz w:val="22"/>
          <w:szCs w:val="22"/>
        </w:rPr>
        <w:t>;</w:t>
      </w:r>
    </w:p>
    <w:p w14:paraId="63211CD6" w14:textId="74965FEA" w:rsidR="00366386" w:rsidRDefault="00366386" w:rsidP="00B15ED1">
      <w:pPr>
        <w:pStyle w:val="ListParagraph"/>
        <w:numPr>
          <w:ilvl w:val="1"/>
          <w:numId w:val="35"/>
        </w:numPr>
        <w:rPr>
          <w:sz w:val="22"/>
          <w:szCs w:val="22"/>
        </w:rPr>
      </w:pPr>
      <w:r w:rsidRPr="00366386">
        <w:rPr>
          <w:sz w:val="22"/>
          <w:szCs w:val="22"/>
        </w:rPr>
        <w:t>whether</w:t>
      </w:r>
      <w:r>
        <w:rPr>
          <w:sz w:val="22"/>
          <w:szCs w:val="22"/>
        </w:rPr>
        <w:t xml:space="preserve"> it</w:t>
      </w:r>
      <w:r w:rsidR="0089185E" w:rsidRPr="00366386">
        <w:rPr>
          <w:sz w:val="22"/>
          <w:szCs w:val="22"/>
        </w:rPr>
        <w:t xml:space="preserve"> can be implemented using existing network infrastructure, or </w:t>
      </w:r>
      <w:r w:rsidR="00465B76">
        <w:rPr>
          <w:sz w:val="22"/>
          <w:szCs w:val="22"/>
        </w:rPr>
        <w:t xml:space="preserve">else a description of how </w:t>
      </w:r>
      <w:r w:rsidR="00D27EF8" w:rsidRPr="00366386">
        <w:rPr>
          <w:sz w:val="22"/>
          <w:szCs w:val="22"/>
        </w:rPr>
        <w:t>wireless network</w:t>
      </w:r>
      <w:r w:rsidR="00465B76">
        <w:rPr>
          <w:sz w:val="22"/>
          <w:szCs w:val="22"/>
        </w:rPr>
        <w:t>s would need to be modified</w:t>
      </w:r>
      <w:r w:rsidRPr="00366386">
        <w:rPr>
          <w:sz w:val="22"/>
          <w:szCs w:val="22"/>
        </w:rPr>
        <w:t>;</w:t>
      </w:r>
    </w:p>
    <w:p w14:paraId="05077E82" w14:textId="4DCE99C9" w:rsidR="00CC406E" w:rsidRDefault="00CC406E" w:rsidP="00B15ED1">
      <w:pPr>
        <w:pStyle w:val="ListParagraph"/>
        <w:numPr>
          <w:ilvl w:val="1"/>
          <w:numId w:val="35"/>
        </w:numPr>
        <w:rPr>
          <w:sz w:val="22"/>
          <w:szCs w:val="22"/>
        </w:rPr>
      </w:pPr>
      <w:r>
        <w:rPr>
          <w:sz w:val="22"/>
          <w:szCs w:val="22"/>
        </w:rPr>
        <w:t>a description of the benefits and costs of the safeguard;</w:t>
      </w:r>
    </w:p>
    <w:p w14:paraId="77AC0DAD" w14:textId="77777777" w:rsidR="001377FD" w:rsidRPr="001377FD" w:rsidRDefault="00CC406E" w:rsidP="00B15ED1">
      <w:pPr>
        <w:pStyle w:val="ListParagraph"/>
        <w:numPr>
          <w:ilvl w:val="1"/>
          <w:numId w:val="35"/>
        </w:numPr>
      </w:pPr>
      <w:r>
        <w:rPr>
          <w:sz w:val="22"/>
          <w:szCs w:val="22"/>
        </w:rPr>
        <w:t>if the safeguard is being developed or has not yet been developed, a description of the steps and timing necessary to deploy the</w:t>
      </w:r>
      <w:r w:rsidR="00465B76">
        <w:rPr>
          <w:sz w:val="22"/>
          <w:szCs w:val="22"/>
        </w:rPr>
        <w:t xml:space="preserve"> safeguard; </w:t>
      </w:r>
    </w:p>
    <w:p w14:paraId="6D2FDC8E" w14:textId="09916B2B" w:rsidR="001377FD" w:rsidRPr="001377FD" w:rsidRDefault="001377FD" w:rsidP="00B15ED1">
      <w:pPr>
        <w:pStyle w:val="ListParagraph"/>
        <w:numPr>
          <w:ilvl w:val="1"/>
          <w:numId w:val="35"/>
        </w:numPr>
      </w:pPr>
      <w:r>
        <w:rPr>
          <w:sz w:val="22"/>
          <w:szCs w:val="22"/>
        </w:rPr>
        <w:t>a description of the effects on consumers and manufacturers of implementing the safeguard;</w:t>
      </w:r>
    </w:p>
    <w:p w14:paraId="50FE7B57" w14:textId="7CA29558" w:rsidR="00CC406E" w:rsidRPr="00B15ED1" w:rsidRDefault="001377FD" w:rsidP="00B15ED1">
      <w:pPr>
        <w:pStyle w:val="ListParagraph"/>
        <w:numPr>
          <w:ilvl w:val="1"/>
          <w:numId w:val="35"/>
        </w:numPr>
      </w:pPr>
      <w:r>
        <w:rPr>
          <w:sz w:val="22"/>
          <w:szCs w:val="22"/>
        </w:rPr>
        <w:t>what regulatory steps, if any, would be needed to implement</w:t>
      </w:r>
      <w:r w:rsidR="00870343">
        <w:rPr>
          <w:sz w:val="22"/>
          <w:szCs w:val="22"/>
        </w:rPr>
        <w:t xml:space="preserve"> the safeguard;</w:t>
      </w:r>
      <w:r>
        <w:rPr>
          <w:sz w:val="22"/>
          <w:szCs w:val="22"/>
        </w:rPr>
        <w:t xml:space="preserve"> </w:t>
      </w:r>
      <w:r w:rsidR="00870343">
        <w:t>and</w:t>
      </w:r>
    </w:p>
    <w:p w14:paraId="0AA40BA1" w14:textId="07E3D24D" w:rsidR="00465B76" w:rsidRPr="00CC406E" w:rsidRDefault="00465B76" w:rsidP="00B15ED1">
      <w:pPr>
        <w:pStyle w:val="ListParagraph"/>
        <w:numPr>
          <w:ilvl w:val="1"/>
          <w:numId w:val="35"/>
        </w:numPr>
        <w:rPr>
          <w:sz w:val="22"/>
          <w:szCs w:val="22"/>
        </w:rPr>
      </w:pPr>
      <w:r>
        <w:rPr>
          <w:sz w:val="22"/>
          <w:szCs w:val="22"/>
        </w:rPr>
        <w:t xml:space="preserve">an indication of whether the safeguard relies on patented technology, and if so, </w:t>
      </w:r>
      <w:r w:rsidR="005E116C">
        <w:rPr>
          <w:sz w:val="22"/>
          <w:szCs w:val="22"/>
        </w:rPr>
        <w:t xml:space="preserve">the identity of </w:t>
      </w:r>
      <w:r>
        <w:rPr>
          <w:sz w:val="22"/>
          <w:szCs w:val="22"/>
        </w:rPr>
        <w:t>the patent holder.</w:t>
      </w:r>
    </w:p>
    <w:p w14:paraId="7F9158E1" w14:textId="03B82DEF" w:rsidR="00366386" w:rsidRDefault="00366386" w:rsidP="00366386">
      <w:pPr>
        <w:pStyle w:val="ListParagraph"/>
        <w:numPr>
          <w:ilvl w:val="0"/>
          <w:numId w:val="35"/>
        </w:numPr>
        <w:rPr>
          <w:sz w:val="22"/>
          <w:szCs w:val="22"/>
        </w:rPr>
      </w:pPr>
      <w:r>
        <w:rPr>
          <w:sz w:val="22"/>
          <w:szCs w:val="22"/>
        </w:rPr>
        <w:t>T</w:t>
      </w:r>
      <w:r w:rsidR="0089185E" w:rsidRPr="00366386">
        <w:rPr>
          <w:sz w:val="22"/>
          <w:szCs w:val="22"/>
        </w:rPr>
        <w:t>he effectiveness of the</w:t>
      </w:r>
      <w:r w:rsidR="00CC406E">
        <w:rPr>
          <w:sz w:val="22"/>
          <w:szCs w:val="22"/>
        </w:rPr>
        <w:t xml:space="preserve"> consumer signal booster</w:t>
      </w:r>
      <w:r w:rsidR="0089185E" w:rsidRPr="00366386">
        <w:rPr>
          <w:sz w:val="22"/>
          <w:szCs w:val="22"/>
        </w:rPr>
        <w:t xml:space="preserve"> registration system</w:t>
      </w:r>
      <w:r w:rsidR="00CC406E">
        <w:rPr>
          <w:sz w:val="22"/>
          <w:szCs w:val="22"/>
        </w:rPr>
        <w:t xml:space="preserve"> put in place by wireless providers</w:t>
      </w:r>
      <w:r>
        <w:rPr>
          <w:sz w:val="22"/>
          <w:szCs w:val="22"/>
        </w:rPr>
        <w:t>;</w:t>
      </w:r>
    </w:p>
    <w:p w14:paraId="32139139" w14:textId="087FC238" w:rsidR="00CC406E" w:rsidRDefault="00366386" w:rsidP="00366386">
      <w:pPr>
        <w:pStyle w:val="ListParagraph"/>
        <w:numPr>
          <w:ilvl w:val="0"/>
          <w:numId w:val="35"/>
        </w:numPr>
        <w:rPr>
          <w:sz w:val="22"/>
          <w:szCs w:val="22"/>
        </w:rPr>
      </w:pPr>
      <w:r>
        <w:rPr>
          <w:sz w:val="22"/>
          <w:szCs w:val="22"/>
        </w:rPr>
        <w:t>T</w:t>
      </w:r>
      <w:r w:rsidR="0089185E" w:rsidRPr="00366386">
        <w:rPr>
          <w:sz w:val="22"/>
          <w:szCs w:val="22"/>
        </w:rPr>
        <w:t xml:space="preserve">he effectiveness of the </w:t>
      </w:r>
      <w:r w:rsidR="009E655E" w:rsidRPr="00366386">
        <w:rPr>
          <w:sz w:val="22"/>
          <w:szCs w:val="22"/>
        </w:rPr>
        <w:t>Commission</w:t>
      </w:r>
      <w:r w:rsidR="0089185E" w:rsidRPr="00366386">
        <w:rPr>
          <w:sz w:val="22"/>
          <w:szCs w:val="22"/>
        </w:rPr>
        <w:t>’s enforcement efforts</w:t>
      </w:r>
      <w:r w:rsidR="00870343">
        <w:rPr>
          <w:sz w:val="22"/>
          <w:szCs w:val="22"/>
        </w:rPr>
        <w:t>;</w:t>
      </w:r>
      <w:r w:rsidR="00CC406E">
        <w:rPr>
          <w:sz w:val="22"/>
          <w:szCs w:val="22"/>
        </w:rPr>
        <w:t xml:space="preserve"> and</w:t>
      </w:r>
    </w:p>
    <w:p w14:paraId="5A334952" w14:textId="3E94726E" w:rsidR="00CC406E" w:rsidRDefault="00CC406E" w:rsidP="00366386">
      <w:pPr>
        <w:pStyle w:val="ListParagraph"/>
        <w:numPr>
          <w:ilvl w:val="0"/>
          <w:numId w:val="35"/>
        </w:numPr>
        <w:rPr>
          <w:sz w:val="22"/>
          <w:szCs w:val="22"/>
        </w:rPr>
      </w:pPr>
      <w:r>
        <w:rPr>
          <w:sz w:val="22"/>
          <w:szCs w:val="22"/>
        </w:rPr>
        <w:t>A</w:t>
      </w:r>
      <w:r w:rsidR="0089185E" w:rsidRPr="00366386">
        <w:rPr>
          <w:sz w:val="22"/>
          <w:szCs w:val="22"/>
        </w:rPr>
        <w:t>ny other</w:t>
      </w:r>
      <w:r w:rsidR="008456EB" w:rsidRPr="00366386">
        <w:rPr>
          <w:sz w:val="22"/>
          <w:szCs w:val="22"/>
        </w:rPr>
        <w:t xml:space="preserve"> related</w:t>
      </w:r>
      <w:r w:rsidR="0089185E" w:rsidRPr="00366386">
        <w:rPr>
          <w:sz w:val="22"/>
          <w:szCs w:val="22"/>
        </w:rPr>
        <w:t xml:space="preserve"> issues</w:t>
      </w:r>
      <w:r w:rsidR="00927637" w:rsidRPr="00366386">
        <w:rPr>
          <w:sz w:val="22"/>
          <w:szCs w:val="22"/>
        </w:rPr>
        <w:t xml:space="preserve"> regarding consumer signal </w:t>
      </w:r>
      <w:r w:rsidR="008456EB" w:rsidRPr="00366386">
        <w:rPr>
          <w:sz w:val="22"/>
          <w:szCs w:val="22"/>
        </w:rPr>
        <w:t>boosters</w:t>
      </w:r>
      <w:r w:rsidR="0089185E" w:rsidRPr="00366386">
        <w:rPr>
          <w:sz w:val="22"/>
          <w:szCs w:val="22"/>
        </w:rPr>
        <w:t>.</w:t>
      </w:r>
      <w:r w:rsidR="00A4051A" w:rsidRPr="009B4EF2">
        <w:rPr>
          <w:rStyle w:val="FootnoteReference"/>
          <w:sz w:val="22"/>
          <w:szCs w:val="22"/>
        </w:rPr>
        <w:footnoteReference w:id="8"/>
      </w:r>
    </w:p>
    <w:p w14:paraId="0CC8FCF0" w14:textId="77777777" w:rsidR="00CC406E" w:rsidRDefault="00CC406E" w:rsidP="00CC406E">
      <w:pPr>
        <w:rPr>
          <w:sz w:val="22"/>
          <w:szCs w:val="22"/>
        </w:rPr>
      </w:pPr>
    </w:p>
    <w:p w14:paraId="53F6D566" w14:textId="7A60AEC9" w:rsidR="0089185E" w:rsidRPr="00CC406E" w:rsidRDefault="0089185E" w:rsidP="00CC406E">
      <w:pPr>
        <w:ind w:firstLine="720"/>
        <w:rPr>
          <w:sz w:val="22"/>
          <w:szCs w:val="22"/>
        </w:rPr>
      </w:pPr>
      <w:r w:rsidRPr="00CC406E">
        <w:rPr>
          <w:sz w:val="22"/>
          <w:szCs w:val="22"/>
        </w:rPr>
        <w:t xml:space="preserve">The comments we receive in response to this </w:t>
      </w:r>
      <w:r w:rsidRPr="00CC406E">
        <w:rPr>
          <w:i/>
          <w:sz w:val="22"/>
          <w:szCs w:val="22"/>
        </w:rPr>
        <w:t>Public Notice</w:t>
      </w:r>
      <w:r w:rsidRPr="00CC406E">
        <w:rPr>
          <w:sz w:val="22"/>
          <w:szCs w:val="22"/>
        </w:rPr>
        <w:t xml:space="preserve"> will inform whether further action in this area is warranted.</w:t>
      </w:r>
      <w:r w:rsidR="00B2739E" w:rsidRPr="009B4EF2">
        <w:rPr>
          <w:rStyle w:val="FootnoteReference"/>
          <w:sz w:val="22"/>
          <w:szCs w:val="22"/>
        </w:rPr>
        <w:footnoteReference w:id="9"/>
      </w:r>
    </w:p>
    <w:p w14:paraId="3F6589BD" w14:textId="77777777" w:rsidR="0089185E" w:rsidRPr="009B4EF2" w:rsidRDefault="0089185E" w:rsidP="0089185E">
      <w:pPr>
        <w:ind w:firstLine="720"/>
        <w:rPr>
          <w:sz w:val="22"/>
          <w:szCs w:val="22"/>
        </w:rPr>
      </w:pPr>
    </w:p>
    <w:p w14:paraId="3561EFC7" w14:textId="77777777" w:rsidR="00BB39C9" w:rsidRPr="009B4EF2" w:rsidRDefault="00BB39C9" w:rsidP="00BB39C9">
      <w:pPr>
        <w:rPr>
          <w:b/>
          <w:sz w:val="22"/>
          <w:szCs w:val="22"/>
        </w:rPr>
      </w:pPr>
      <w:r w:rsidRPr="009B4EF2">
        <w:rPr>
          <w:b/>
          <w:sz w:val="22"/>
          <w:szCs w:val="22"/>
        </w:rPr>
        <w:t>Procedural Matters</w:t>
      </w:r>
    </w:p>
    <w:p w14:paraId="09387026" w14:textId="77777777" w:rsidR="00BB39C9" w:rsidRPr="009B4EF2" w:rsidRDefault="00BB39C9" w:rsidP="00BB39C9">
      <w:pPr>
        <w:ind w:firstLine="720"/>
        <w:rPr>
          <w:sz w:val="22"/>
          <w:szCs w:val="22"/>
        </w:rPr>
      </w:pPr>
    </w:p>
    <w:p w14:paraId="553326E3" w14:textId="77777777" w:rsidR="00BB39C9" w:rsidRPr="009B4EF2" w:rsidRDefault="00BB39C9" w:rsidP="00BB39C9">
      <w:pPr>
        <w:ind w:firstLine="720"/>
        <w:rPr>
          <w:sz w:val="22"/>
          <w:szCs w:val="22"/>
        </w:rPr>
      </w:pPr>
      <w:r w:rsidRPr="009B4EF2">
        <w:rPr>
          <w:sz w:val="22"/>
          <w:szCs w:val="22"/>
        </w:rPr>
        <w:t>Pursuant to sections 1.415 and 1.419 of the Commission’s rules,</w:t>
      </w:r>
      <w:r w:rsidRPr="009B4EF2">
        <w:rPr>
          <w:rStyle w:val="FootnoteReference"/>
          <w:sz w:val="22"/>
          <w:szCs w:val="22"/>
        </w:rPr>
        <w:footnoteReference w:id="10"/>
      </w:r>
      <w:r w:rsidRPr="009B4EF2">
        <w:rPr>
          <w:sz w:val="22"/>
          <w:szCs w:val="22"/>
        </w:rPr>
        <w:t xml:space="preserve"> interested parties may file comments and reply comments on or before the dates indicated on the first page of this document.  </w:t>
      </w:r>
      <w:r w:rsidRPr="009B4EF2">
        <w:rPr>
          <w:sz w:val="22"/>
          <w:szCs w:val="22"/>
        </w:rPr>
        <w:lastRenderedPageBreak/>
        <w:t>Comments may be filed using the Commission’s Ele</w:t>
      </w:r>
      <w:r w:rsidR="00230B4B" w:rsidRPr="009B4EF2">
        <w:rPr>
          <w:sz w:val="22"/>
          <w:szCs w:val="22"/>
        </w:rPr>
        <w:t>ctronic Comment Filing System (ECFS</w:t>
      </w:r>
      <w:r w:rsidRPr="009B4EF2">
        <w:rPr>
          <w:sz w:val="22"/>
          <w:szCs w:val="22"/>
        </w:rPr>
        <w:t>).</w:t>
      </w:r>
      <w:r w:rsidR="00230B4B" w:rsidRPr="009B4EF2">
        <w:rPr>
          <w:rStyle w:val="FootnoteReference"/>
          <w:sz w:val="22"/>
          <w:szCs w:val="22"/>
        </w:rPr>
        <w:footnoteReference w:id="11"/>
      </w:r>
      <w:r w:rsidRPr="009B4EF2">
        <w:rPr>
          <w:sz w:val="22"/>
          <w:szCs w:val="22"/>
        </w:rPr>
        <w:t xml:space="preserve">  </w:t>
      </w:r>
      <w:r w:rsidR="00230B4B" w:rsidRPr="009B4EF2">
        <w:rPr>
          <w:color w:val="000000"/>
          <w:sz w:val="22"/>
          <w:szCs w:val="22"/>
        </w:rPr>
        <w:t xml:space="preserve">When filing comments, please reference </w:t>
      </w:r>
      <w:r w:rsidR="00230B4B" w:rsidRPr="009B4EF2">
        <w:rPr>
          <w:b/>
          <w:bCs/>
          <w:color w:val="000000"/>
          <w:sz w:val="22"/>
          <w:szCs w:val="22"/>
        </w:rPr>
        <w:t>WT Docket No. 10-4</w:t>
      </w:r>
      <w:r w:rsidR="00230B4B" w:rsidRPr="009B4EF2">
        <w:rPr>
          <w:color w:val="000000"/>
          <w:sz w:val="22"/>
          <w:szCs w:val="22"/>
        </w:rPr>
        <w:t>.</w:t>
      </w:r>
    </w:p>
    <w:p w14:paraId="2667BE70" w14:textId="77777777" w:rsidR="00BB39C9" w:rsidRPr="009B4EF2" w:rsidRDefault="00BB39C9" w:rsidP="00BB39C9">
      <w:pPr>
        <w:rPr>
          <w:sz w:val="22"/>
          <w:szCs w:val="22"/>
        </w:rPr>
      </w:pPr>
    </w:p>
    <w:p w14:paraId="75019EB5" w14:textId="33A0CA9D" w:rsidR="00230B4B" w:rsidRPr="009B4EF2" w:rsidRDefault="00BB39C9" w:rsidP="00230B4B">
      <w:pPr>
        <w:numPr>
          <w:ilvl w:val="0"/>
          <w:numId w:val="23"/>
        </w:numPr>
        <w:rPr>
          <w:sz w:val="22"/>
          <w:szCs w:val="22"/>
        </w:rPr>
      </w:pPr>
      <w:r w:rsidRPr="009B4EF2">
        <w:rPr>
          <w:sz w:val="22"/>
          <w:szCs w:val="22"/>
        </w:rPr>
        <w:t xml:space="preserve">Electronic Filers:  Comments may be filed electronically using the Internet by accessing the ECFS:  </w:t>
      </w:r>
      <w:hyperlink r:id="rId8" w:history="1">
        <w:r w:rsidRPr="009B4EF2">
          <w:rPr>
            <w:color w:val="0000FF"/>
            <w:sz w:val="22"/>
            <w:szCs w:val="22"/>
            <w:u w:val="single"/>
          </w:rPr>
          <w:t>http://fjallfoss.fcc.gov/ecfs2/</w:t>
        </w:r>
      </w:hyperlink>
      <w:r w:rsidRPr="009B4EF2">
        <w:rPr>
          <w:sz w:val="22"/>
          <w:szCs w:val="22"/>
        </w:rPr>
        <w:t xml:space="preserve">.  </w:t>
      </w:r>
    </w:p>
    <w:p w14:paraId="5A3285A8" w14:textId="77777777" w:rsidR="00230B4B" w:rsidRPr="009B4EF2" w:rsidRDefault="00230B4B" w:rsidP="00230B4B">
      <w:pPr>
        <w:ind w:left="1020"/>
        <w:rPr>
          <w:sz w:val="22"/>
          <w:szCs w:val="22"/>
        </w:rPr>
      </w:pPr>
    </w:p>
    <w:p w14:paraId="5F3E5A44" w14:textId="77777777" w:rsidR="00230B4B" w:rsidRPr="009B4EF2" w:rsidRDefault="00BB39C9" w:rsidP="00230B4B">
      <w:pPr>
        <w:numPr>
          <w:ilvl w:val="0"/>
          <w:numId w:val="23"/>
        </w:numPr>
        <w:rPr>
          <w:sz w:val="22"/>
          <w:szCs w:val="22"/>
        </w:rPr>
      </w:pPr>
      <w:r w:rsidRPr="009B4EF2">
        <w:rPr>
          <w:sz w:val="22"/>
          <w:szCs w:val="22"/>
        </w:rPr>
        <w:t>Paper Filers:  Parties who choose to file by paper must file an origina</w:t>
      </w:r>
      <w:r w:rsidR="004C1B11" w:rsidRPr="009B4EF2">
        <w:rPr>
          <w:sz w:val="22"/>
          <w:szCs w:val="22"/>
        </w:rPr>
        <w:t xml:space="preserve">l and one copy of each filing. </w:t>
      </w:r>
    </w:p>
    <w:p w14:paraId="7619D38B" w14:textId="77777777" w:rsidR="00230B4B" w:rsidRPr="009B4EF2" w:rsidRDefault="00230B4B" w:rsidP="00230B4B">
      <w:pPr>
        <w:pStyle w:val="ListParagraph"/>
        <w:rPr>
          <w:sz w:val="22"/>
          <w:szCs w:val="22"/>
        </w:rPr>
      </w:pPr>
    </w:p>
    <w:p w14:paraId="57D56A77" w14:textId="77777777" w:rsidR="00BB39C9" w:rsidRPr="009B4EF2" w:rsidRDefault="00BB39C9" w:rsidP="00230B4B">
      <w:pPr>
        <w:ind w:left="1020"/>
        <w:rPr>
          <w:sz w:val="22"/>
          <w:szCs w:val="22"/>
        </w:rPr>
      </w:pPr>
      <w:r w:rsidRPr="009B4EF2">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1623185" w14:textId="77777777" w:rsidR="00BB39C9" w:rsidRPr="009B4EF2" w:rsidRDefault="00BB39C9" w:rsidP="00BB39C9">
      <w:pPr>
        <w:rPr>
          <w:sz w:val="22"/>
          <w:szCs w:val="22"/>
        </w:rPr>
      </w:pPr>
    </w:p>
    <w:p w14:paraId="1F129070" w14:textId="77777777" w:rsidR="00BB39C9" w:rsidRPr="009B4EF2" w:rsidRDefault="00BB39C9" w:rsidP="00BB39C9">
      <w:pPr>
        <w:numPr>
          <w:ilvl w:val="0"/>
          <w:numId w:val="29"/>
        </w:numPr>
        <w:rPr>
          <w:sz w:val="22"/>
          <w:szCs w:val="22"/>
        </w:rPr>
      </w:pPr>
      <w:r w:rsidRPr="009B4EF2">
        <w:rPr>
          <w:sz w:val="22"/>
          <w:szCs w:val="22"/>
        </w:rPr>
        <w:t>All hand-delivered or messenger-delivered paper filings for the Commission’s Secretary must be delivered to FCC Headquarters at 445 12</w:t>
      </w:r>
      <w:r w:rsidRPr="009B4EF2">
        <w:rPr>
          <w:sz w:val="22"/>
          <w:szCs w:val="22"/>
          <w:vertAlign w:val="superscript"/>
        </w:rPr>
        <w:t>th</w:t>
      </w:r>
      <w:r w:rsidRPr="009B4EF2">
        <w:rPr>
          <w:sz w:val="22"/>
          <w:szCs w:val="22"/>
        </w:rPr>
        <w:t xml:space="preserve"> St., SW, Room TW-A325, Washington, DC 20554.  The filing hours are 8:00 a.m. to 7:00 p.m.  All hand deliveries must be held together with rubber bands or fasteners.  Any envelopes and boxes must be disposed of </w:t>
      </w:r>
      <w:r w:rsidRPr="009B4EF2">
        <w:rPr>
          <w:sz w:val="22"/>
          <w:szCs w:val="22"/>
          <w:u w:val="single"/>
        </w:rPr>
        <w:t>before</w:t>
      </w:r>
      <w:r w:rsidRPr="009B4EF2">
        <w:rPr>
          <w:sz w:val="22"/>
          <w:szCs w:val="22"/>
        </w:rPr>
        <w:t xml:space="preserve"> entering the building.  </w:t>
      </w:r>
    </w:p>
    <w:p w14:paraId="263BD95A" w14:textId="77777777" w:rsidR="00BB39C9" w:rsidRPr="009B4EF2" w:rsidRDefault="00BB39C9" w:rsidP="00BB39C9">
      <w:pPr>
        <w:ind w:left="1080"/>
        <w:rPr>
          <w:sz w:val="22"/>
          <w:szCs w:val="22"/>
        </w:rPr>
      </w:pPr>
    </w:p>
    <w:p w14:paraId="610E222B" w14:textId="77777777" w:rsidR="00BB39C9" w:rsidRPr="009B4EF2" w:rsidRDefault="00BB39C9" w:rsidP="00BB39C9">
      <w:pPr>
        <w:numPr>
          <w:ilvl w:val="0"/>
          <w:numId w:val="29"/>
        </w:numPr>
        <w:rPr>
          <w:sz w:val="22"/>
          <w:szCs w:val="22"/>
        </w:rPr>
      </w:pPr>
      <w:r w:rsidRPr="009B4EF2">
        <w:rPr>
          <w:sz w:val="22"/>
          <w:szCs w:val="22"/>
        </w:rPr>
        <w:t>Commercial overnight mail (other than U.S. Postal Service Express Mail and Priority Mail) must be sent to 9300 East Hampton Drive, Capitol Heights, MD  20743.</w:t>
      </w:r>
    </w:p>
    <w:p w14:paraId="7641A89B" w14:textId="77777777" w:rsidR="00BB39C9" w:rsidRPr="009B4EF2" w:rsidRDefault="00BB39C9" w:rsidP="00BB39C9">
      <w:pPr>
        <w:rPr>
          <w:sz w:val="22"/>
          <w:szCs w:val="22"/>
        </w:rPr>
      </w:pPr>
    </w:p>
    <w:p w14:paraId="4FEE2C1B" w14:textId="77777777" w:rsidR="00BB39C9" w:rsidRPr="009B4EF2" w:rsidRDefault="00BB39C9" w:rsidP="00BB39C9">
      <w:pPr>
        <w:numPr>
          <w:ilvl w:val="0"/>
          <w:numId w:val="29"/>
        </w:numPr>
        <w:rPr>
          <w:sz w:val="22"/>
          <w:szCs w:val="22"/>
        </w:rPr>
      </w:pPr>
      <w:r w:rsidRPr="009B4EF2">
        <w:rPr>
          <w:sz w:val="22"/>
          <w:szCs w:val="22"/>
        </w:rPr>
        <w:t>U.S. Postal Service first-class, Express, and Priority mail must be addressed to 445 12</w:t>
      </w:r>
      <w:r w:rsidRPr="009B4EF2">
        <w:rPr>
          <w:sz w:val="22"/>
          <w:szCs w:val="22"/>
          <w:vertAlign w:val="superscript"/>
        </w:rPr>
        <w:t>th</w:t>
      </w:r>
      <w:r w:rsidRPr="009B4EF2">
        <w:rPr>
          <w:sz w:val="22"/>
          <w:szCs w:val="22"/>
        </w:rPr>
        <w:t xml:space="preserve"> Street, SW, Washington DC  20554.</w:t>
      </w:r>
    </w:p>
    <w:p w14:paraId="7F1EF3ED" w14:textId="77777777" w:rsidR="00BB39C9" w:rsidRPr="009B4EF2" w:rsidRDefault="00BB39C9" w:rsidP="00BB39C9">
      <w:pPr>
        <w:rPr>
          <w:sz w:val="22"/>
          <w:szCs w:val="22"/>
        </w:rPr>
      </w:pPr>
    </w:p>
    <w:p w14:paraId="6180CF6B" w14:textId="68494BA5" w:rsidR="00BB39C9" w:rsidRPr="009B4EF2" w:rsidRDefault="00BB39C9" w:rsidP="00BB39C9">
      <w:pPr>
        <w:ind w:firstLine="720"/>
        <w:rPr>
          <w:sz w:val="22"/>
          <w:szCs w:val="22"/>
        </w:rPr>
      </w:pPr>
      <w:r w:rsidRPr="009B4EF2">
        <w:rPr>
          <w:sz w:val="22"/>
          <w:szCs w:val="22"/>
        </w:rPr>
        <w:t xml:space="preserve">People with Disabilities:  To request materials in accessible formats for people with disabilities (braille, large print, electronic files, audio format), send an e-mail to </w:t>
      </w:r>
      <w:hyperlink r:id="rId9" w:history="1">
        <w:r w:rsidRPr="009B4EF2">
          <w:rPr>
            <w:color w:val="0000FF"/>
            <w:sz w:val="22"/>
            <w:szCs w:val="22"/>
            <w:u w:val="single"/>
          </w:rPr>
          <w:t>fcc504@fcc.gov</w:t>
        </w:r>
      </w:hyperlink>
      <w:r w:rsidRPr="009B4EF2">
        <w:rPr>
          <w:sz w:val="22"/>
          <w:szCs w:val="22"/>
        </w:rPr>
        <w:t xml:space="preserve"> or call the Consumer &amp; Governmental Affairs Bureau at 202-418-0530 (voice), 202-418-0432 (tty).</w:t>
      </w:r>
    </w:p>
    <w:p w14:paraId="25A233AF" w14:textId="77777777" w:rsidR="00BB39C9" w:rsidRPr="009B4EF2" w:rsidRDefault="00BB39C9" w:rsidP="00BB39C9">
      <w:pPr>
        <w:rPr>
          <w:sz w:val="22"/>
          <w:szCs w:val="22"/>
        </w:rPr>
      </w:pPr>
    </w:p>
    <w:p w14:paraId="5AA5850F" w14:textId="77777777" w:rsidR="00BB39C9" w:rsidRPr="009B4EF2" w:rsidRDefault="00BB39C9" w:rsidP="00BB39C9">
      <w:pPr>
        <w:ind w:firstLine="720"/>
        <w:rPr>
          <w:sz w:val="22"/>
          <w:szCs w:val="22"/>
        </w:rPr>
      </w:pPr>
      <w:r w:rsidRPr="009B4EF2">
        <w:rPr>
          <w:sz w:val="22"/>
          <w:szCs w:val="22"/>
        </w:rPr>
        <w:t xml:space="preserve">This proceeding has been designated as a “permit-but-disclose” proceeding in accordance with the Commission's </w:t>
      </w:r>
      <w:r w:rsidRPr="009B4EF2">
        <w:rPr>
          <w:i/>
          <w:sz w:val="22"/>
          <w:szCs w:val="22"/>
        </w:rPr>
        <w:t>ex parte</w:t>
      </w:r>
      <w:r w:rsidRPr="009B4EF2">
        <w:rPr>
          <w:sz w:val="22"/>
          <w:szCs w:val="22"/>
        </w:rPr>
        <w:t xml:space="preserve"> rules.</w:t>
      </w:r>
      <w:r w:rsidRPr="009B4EF2">
        <w:rPr>
          <w:sz w:val="22"/>
          <w:szCs w:val="22"/>
          <w:vertAlign w:val="superscript"/>
        </w:rPr>
        <w:footnoteReference w:id="12"/>
      </w:r>
      <w:r w:rsidRPr="009B4EF2">
        <w:rPr>
          <w:sz w:val="22"/>
          <w:szCs w:val="22"/>
        </w:rPr>
        <w:t xml:space="preserve">  Persons making </w:t>
      </w:r>
      <w:r w:rsidRPr="009B4EF2">
        <w:rPr>
          <w:i/>
          <w:sz w:val="22"/>
          <w:szCs w:val="22"/>
        </w:rPr>
        <w:t xml:space="preserve">ex parte </w:t>
      </w:r>
      <w:r w:rsidRPr="009B4EF2">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B4EF2">
        <w:rPr>
          <w:i/>
          <w:iCs/>
          <w:sz w:val="22"/>
          <w:szCs w:val="22"/>
        </w:rPr>
        <w:t xml:space="preserve">ex parte </w:t>
      </w:r>
      <w:r w:rsidRPr="009B4EF2">
        <w:rPr>
          <w:sz w:val="22"/>
          <w:szCs w:val="22"/>
        </w:rPr>
        <w:t xml:space="preserve">presentations are reminded that memoranda summarizing the presentation must (1) list all persons attending or otherwise participating in the meeting at which the </w:t>
      </w:r>
      <w:r w:rsidRPr="009B4EF2">
        <w:rPr>
          <w:i/>
          <w:iCs/>
          <w:sz w:val="22"/>
          <w:szCs w:val="22"/>
        </w:rPr>
        <w:t xml:space="preserve">ex parte </w:t>
      </w:r>
      <w:r w:rsidRPr="009B4EF2">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B4EF2">
        <w:rPr>
          <w:i/>
          <w:iCs/>
          <w:sz w:val="22"/>
          <w:szCs w:val="22"/>
        </w:rPr>
        <w:t xml:space="preserve">ex parte </w:t>
      </w:r>
      <w:r w:rsidRPr="009B4EF2">
        <w:rPr>
          <w:sz w:val="22"/>
          <w:szCs w:val="22"/>
        </w:rPr>
        <w:t xml:space="preserve">meetings are deemed to be written </w:t>
      </w:r>
      <w:r w:rsidRPr="009B4EF2">
        <w:rPr>
          <w:i/>
          <w:iCs/>
          <w:sz w:val="22"/>
          <w:szCs w:val="22"/>
        </w:rPr>
        <w:t>ex parte</w:t>
      </w:r>
      <w:r w:rsidRPr="009B4EF2">
        <w:rPr>
          <w:sz w:val="22"/>
          <w:szCs w:val="22"/>
        </w:rPr>
        <w:t xml:space="preserve"> presentations and must be filed consistent with rule 1.1206(b).  </w:t>
      </w:r>
    </w:p>
    <w:p w14:paraId="1AEE6B0A" w14:textId="77777777" w:rsidR="00BB39C9" w:rsidRPr="009B4EF2" w:rsidRDefault="00BB39C9" w:rsidP="00BB39C9">
      <w:pPr>
        <w:ind w:firstLine="720"/>
        <w:rPr>
          <w:sz w:val="22"/>
          <w:szCs w:val="22"/>
        </w:rPr>
      </w:pPr>
    </w:p>
    <w:p w14:paraId="478D2943" w14:textId="77777777" w:rsidR="00C36CF1" w:rsidRPr="009B4EF2" w:rsidRDefault="00BB39C9" w:rsidP="00BB39C9">
      <w:pPr>
        <w:ind w:firstLine="720"/>
        <w:rPr>
          <w:sz w:val="22"/>
          <w:szCs w:val="22"/>
        </w:rPr>
      </w:pPr>
      <w:r w:rsidRPr="009B4EF2">
        <w:rPr>
          <w:sz w:val="22"/>
          <w:szCs w:val="22"/>
        </w:rPr>
        <w:t xml:space="preserve">In proceedings governed by rule 1.49(f) or for which the Commission has made available a method of electronic filing, written </w:t>
      </w:r>
      <w:r w:rsidRPr="009B4EF2">
        <w:rPr>
          <w:i/>
          <w:iCs/>
          <w:sz w:val="22"/>
          <w:szCs w:val="22"/>
        </w:rPr>
        <w:t xml:space="preserve">ex parte </w:t>
      </w:r>
      <w:r w:rsidRPr="009B4EF2">
        <w:rPr>
          <w:sz w:val="22"/>
          <w:szCs w:val="22"/>
        </w:rPr>
        <w:t xml:space="preserve">presentations and memoranda summarizing oral </w:t>
      </w:r>
      <w:r w:rsidRPr="009B4EF2">
        <w:rPr>
          <w:i/>
          <w:iCs/>
          <w:sz w:val="22"/>
          <w:szCs w:val="22"/>
        </w:rPr>
        <w:t xml:space="preserve">ex parte </w:t>
      </w:r>
      <w:r w:rsidRPr="009B4EF2">
        <w:rPr>
          <w:sz w:val="22"/>
          <w:szCs w:val="22"/>
        </w:rPr>
        <w:t>presentations, and all attachments thereto, must be filed through the electronic comment filing system available for that proceeding, and must be filed in their native format (</w:t>
      </w:r>
      <w:r w:rsidRPr="009B4EF2">
        <w:rPr>
          <w:i/>
          <w:iCs/>
          <w:sz w:val="22"/>
          <w:szCs w:val="22"/>
        </w:rPr>
        <w:t>e.g.</w:t>
      </w:r>
      <w:r w:rsidRPr="009B4EF2">
        <w:rPr>
          <w:sz w:val="22"/>
          <w:szCs w:val="22"/>
        </w:rPr>
        <w:t xml:space="preserve">, .doc, .xml, .ppt, searchable .pdf).  Participants in this proceeding should familiarize themselves with the Commission’s </w:t>
      </w:r>
      <w:r w:rsidRPr="009B4EF2">
        <w:rPr>
          <w:i/>
          <w:iCs/>
          <w:sz w:val="22"/>
          <w:szCs w:val="22"/>
        </w:rPr>
        <w:t xml:space="preserve">ex parte </w:t>
      </w:r>
      <w:r w:rsidRPr="009B4EF2">
        <w:rPr>
          <w:sz w:val="22"/>
          <w:szCs w:val="22"/>
        </w:rPr>
        <w:t>rules.</w:t>
      </w:r>
    </w:p>
    <w:p w14:paraId="0D74C5E3" w14:textId="77777777" w:rsidR="00BB39C9" w:rsidRPr="009B4EF2" w:rsidRDefault="00BB39C9" w:rsidP="0089185E">
      <w:pPr>
        <w:ind w:firstLine="720"/>
        <w:rPr>
          <w:sz w:val="22"/>
          <w:szCs w:val="22"/>
        </w:rPr>
      </w:pPr>
    </w:p>
    <w:p w14:paraId="53D84112" w14:textId="77777777" w:rsidR="0085199C" w:rsidRPr="009B4EF2" w:rsidRDefault="0085199C" w:rsidP="0089185E">
      <w:pPr>
        <w:ind w:firstLine="720"/>
        <w:rPr>
          <w:rFonts w:eastAsia="MS Mincho"/>
          <w:sz w:val="22"/>
          <w:szCs w:val="22"/>
        </w:rPr>
      </w:pPr>
      <w:r w:rsidRPr="009B4EF2">
        <w:rPr>
          <w:rFonts w:eastAsia="MS Mincho"/>
          <w:sz w:val="22"/>
          <w:szCs w:val="22"/>
        </w:rPr>
        <w:t xml:space="preserve">For further information, contact </w:t>
      </w:r>
      <w:r w:rsidR="008817A1" w:rsidRPr="009B4EF2">
        <w:rPr>
          <w:rFonts w:eastAsia="MS Mincho"/>
          <w:sz w:val="22"/>
          <w:szCs w:val="22"/>
        </w:rPr>
        <w:t>Amanda Huetinck</w:t>
      </w:r>
      <w:r w:rsidRPr="009B4EF2">
        <w:rPr>
          <w:sz w:val="22"/>
          <w:szCs w:val="22"/>
        </w:rPr>
        <w:t xml:space="preserve"> </w:t>
      </w:r>
      <w:r w:rsidRPr="009B4EF2">
        <w:rPr>
          <w:rFonts w:eastAsia="MS Mincho"/>
          <w:sz w:val="22"/>
          <w:szCs w:val="22"/>
        </w:rPr>
        <w:t>of the Mobility Division, Wireless Telecommunications Bureau at (202) 418-</w:t>
      </w:r>
      <w:r w:rsidR="008817A1" w:rsidRPr="009B4EF2">
        <w:rPr>
          <w:rFonts w:eastAsia="MS Mincho"/>
          <w:sz w:val="22"/>
          <w:szCs w:val="22"/>
        </w:rPr>
        <w:t>7090</w:t>
      </w:r>
      <w:r w:rsidRPr="009B4EF2">
        <w:rPr>
          <w:rFonts w:eastAsia="MS Mincho"/>
          <w:sz w:val="22"/>
          <w:szCs w:val="22"/>
        </w:rPr>
        <w:t xml:space="preserve">, or via e-mail at </w:t>
      </w:r>
      <w:r w:rsidR="008817A1" w:rsidRPr="009B4EF2">
        <w:rPr>
          <w:rFonts w:eastAsia="MS Mincho"/>
          <w:sz w:val="22"/>
          <w:szCs w:val="22"/>
        </w:rPr>
        <w:t>amanda.huetinck</w:t>
      </w:r>
      <w:r w:rsidRPr="009B4EF2">
        <w:rPr>
          <w:rFonts w:eastAsia="MS Mincho"/>
          <w:sz w:val="22"/>
          <w:szCs w:val="22"/>
        </w:rPr>
        <w:t xml:space="preserve">@fcc.gov. </w:t>
      </w:r>
    </w:p>
    <w:p w14:paraId="2A4544CE" w14:textId="77777777" w:rsidR="0085199C" w:rsidRPr="009B4EF2" w:rsidRDefault="0085199C" w:rsidP="0089185E">
      <w:pPr>
        <w:autoSpaceDE w:val="0"/>
        <w:autoSpaceDN w:val="0"/>
        <w:adjustRightInd w:val="0"/>
        <w:rPr>
          <w:color w:val="000000"/>
          <w:sz w:val="22"/>
          <w:szCs w:val="22"/>
        </w:rPr>
      </w:pPr>
    </w:p>
    <w:p w14:paraId="3E6D5094" w14:textId="77777777" w:rsidR="0085199C" w:rsidRPr="009B4EF2" w:rsidRDefault="0085199C" w:rsidP="0089185E">
      <w:pPr>
        <w:ind w:firstLine="720"/>
        <w:rPr>
          <w:sz w:val="22"/>
          <w:szCs w:val="22"/>
        </w:rPr>
      </w:pPr>
      <w:r w:rsidRPr="009B4EF2">
        <w:rPr>
          <w:sz w:val="22"/>
          <w:szCs w:val="22"/>
        </w:rPr>
        <w:t>Action by the Chief, Mobility Division, Wireless Telecommunications Bureau.</w:t>
      </w:r>
    </w:p>
    <w:p w14:paraId="02B90B05" w14:textId="77777777" w:rsidR="0085199C" w:rsidRPr="009B4EF2" w:rsidRDefault="0085199C" w:rsidP="0089185E">
      <w:pPr>
        <w:autoSpaceDE w:val="0"/>
        <w:autoSpaceDN w:val="0"/>
        <w:adjustRightInd w:val="0"/>
        <w:rPr>
          <w:color w:val="000000"/>
          <w:sz w:val="22"/>
          <w:szCs w:val="22"/>
        </w:rPr>
      </w:pPr>
    </w:p>
    <w:p w14:paraId="0FE87CB6" w14:textId="77777777" w:rsidR="0085199C" w:rsidRPr="009B4EF2" w:rsidRDefault="0085199C" w:rsidP="0089185E">
      <w:pPr>
        <w:autoSpaceDE w:val="0"/>
        <w:autoSpaceDN w:val="0"/>
        <w:adjustRightInd w:val="0"/>
        <w:jc w:val="center"/>
        <w:rPr>
          <w:sz w:val="22"/>
          <w:szCs w:val="22"/>
        </w:rPr>
      </w:pPr>
      <w:r w:rsidRPr="009B4EF2">
        <w:rPr>
          <w:sz w:val="22"/>
          <w:szCs w:val="22"/>
        </w:rPr>
        <w:t>- FCC -</w:t>
      </w:r>
    </w:p>
    <w:p w14:paraId="650506F1" w14:textId="77777777" w:rsidR="0095395F" w:rsidRPr="009B4EF2" w:rsidRDefault="0095395F" w:rsidP="0089185E">
      <w:pPr>
        <w:rPr>
          <w:b/>
          <w:bCs/>
          <w:kern w:val="2"/>
          <w:sz w:val="22"/>
          <w:szCs w:val="22"/>
        </w:rPr>
      </w:pPr>
    </w:p>
    <w:p w14:paraId="0CE83E92" w14:textId="77777777" w:rsidR="008F2916" w:rsidRPr="009B4EF2" w:rsidRDefault="008F2916" w:rsidP="008456EB">
      <w:pPr>
        <w:rPr>
          <w:b/>
          <w:bCs/>
          <w:kern w:val="2"/>
          <w:sz w:val="22"/>
          <w:szCs w:val="22"/>
        </w:rPr>
      </w:pPr>
    </w:p>
    <w:sectPr w:rsidR="008F2916" w:rsidRPr="009B4EF2" w:rsidSect="00477C3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C8FA" w14:textId="77777777" w:rsidR="00057F6B" w:rsidRDefault="00057F6B">
      <w:r>
        <w:separator/>
      </w:r>
    </w:p>
  </w:endnote>
  <w:endnote w:type="continuationSeparator" w:id="0">
    <w:p w14:paraId="75601E1A" w14:textId="77777777" w:rsidR="00057F6B" w:rsidRDefault="0005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FC0B" w14:textId="77777777" w:rsidR="00A37552" w:rsidRDefault="00A37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9612" w14:textId="77777777" w:rsidR="0095395F" w:rsidRDefault="0061559A">
    <w:pPr>
      <w:pStyle w:val="Footer"/>
      <w:jc w:val="center"/>
    </w:pPr>
    <w:r>
      <w:fldChar w:fldCharType="begin"/>
    </w:r>
    <w:r>
      <w:instrText xml:space="preserve"> PAGE   \* MERGEFORMAT </w:instrText>
    </w:r>
    <w:r>
      <w:fldChar w:fldCharType="separate"/>
    </w:r>
    <w:r w:rsidR="00B4175E">
      <w:rPr>
        <w:noProof/>
      </w:rPr>
      <w:t>2</w:t>
    </w:r>
    <w:r>
      <w:rPr>
        <w:noProof/>
      </w:rPr>
      <w:fldChar w:fldCharType="end"/>
    </w:r>
  </w:p>
  <w:p w14:paraId="4A0617CA" w14:textId="77777777" w:rsidR="0095395F" w:rsidRDefault="009539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BF12" w14:textId="77777777" w:rsidR="00A37552" w:rsidRDefault="00A3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C1F7D" w14:textId="77777777" w:rsidR="00057F6B" w:rsidRDefault="00057F6B">
      <w:r>
        <w:separator/>
      </w:r>
    </w:p>
  </w:footnote>
  <w:footnote w:type="continuationSeparator" w:id="0">
    <w:p w14:paraId="1BEBA5BA" w14:textId="77777777" w:rsidR="00057F6B" w:rsidRDefault="00057F6B">
      <w:r>
        <w:continuationSeparator/>
      </w:r>
    </w:p>
  </w:footnote>
  <w:footnote w:id="1">
    <w:p w14:paraId="4D0D1F12" w14:textId="5AA403AB" w:rsidR="00BA02BF" w:rsidRPr="009B4EF2" w:rsidRDefault="00BA02BF" w:rsidP="009B4EF2">
      <w:pPr>
        <w:pStyle w:val="FootnoteText"/>
        <w:spacing w:after="120"/>
        <w:rPr>
          <w:sz w:val="20"/>
        </w:rPr>
      </w:pPr>
      <w:r w:rsidRPr="009B4EF2">
        <w:rPr>
          <w:rStyle w:val="FootnoteReference"/>
          <w:sz w:val="20"/>
        </w:rPr>
        <w:footnoteRef/>
      </w:r>
      <w:r w:rsidRPr="009B4EF2">
        <w:rPr>
          <w:sz w:val="20"/>
        </w:rPr>
        <w:t xml:space="preserve"> Amendment of Parts 1, 2, 22, 24, 27, 90 and 95 of the Commission’s Rules to Improve Wireless Coverage Through the Use of Signal Boosters, </w:t>
      </w:r>
      <w:r w:rsidRPr="009B4EF2">
        <w:rPr>
          <w:i/>
          <w:sz w:val="20"/>
        </w:rPr>
        <w:t>Report and Order</w:t>
      </w:r>
      <w:r w:rsidRPr="009B4EF2">
        <w:rPr>
          <w:sz w:val="20"/>
        </w:rPr>
        <w:t>, WT Do</w:t>
      </w:r>
      <w:r w:rsidR="00E759EC" w:rsidRPr="009B4EF2">
        <w:rPr>
          <w:sz w:val="20"/>
        </w:rPr>
        <w:t>cket No. 10-4, 28 FCC Rcd 1663</w:t>
      </w:r>
      <w:r w:rsidR="00BD7411" w:rsidRPr="009B4EF2">
        <w:rPr>
          <w:sz w:val="20"/>
        </w:rPr>
        <w:t xml:space="preserve"> </w:t>
      </w:r>
      <w:r w:rsidRPr="009B4EF2">
        <w:rPr>
          <w:sz w:val="20"/>
        </w:rPr>
        <w:t>(2013) (</w:t>
      </w:r>
      <w:r w:rsidRPr="009B4EF2">
        <w:rPr>
          <w:i/>
          <w:sz w:val="20"/>
        </w:rPr>
        <w:t>Report and Order</w:t>
      </w:r>
      <w:r w:rsidRPr="009B4EF2">
        <w:rPr>
          <w:sz w:val="20"/>
        </w:rPr>
        <w:t xml:space="preserve">).  </w:t>
      </w:r>
    </w:p>
  </w:footnote>
  <w:footnote w:id="2">
    <w:p w14:paraId="05E16376" w14:textId="7F71BFD0" w:rsidR="00C7783A" w:rsidRPr="009B4EF2" w:rsidRDefault="00C7783A" w:rsidP="009B4EF2">
      <w:pPr>
        <w:pStyle w:val="FootnoteText"/>
        <w:spacing w:after="120"/>
        <w:rPr>
          <w:sz w:val="20"/>
        </w:rPr>
      </w:pPr>
      <w:r w:rsidRPr="009B4EF2">
        <w:rPr>
          <w:rStyle w:val="FootnoteReference"/>
          <w:sz w:val="20"/>
        </w:rPr>
        <w:footnoteRef/>
      </w:r>
      <w:r w:rsidRPr="009B4EF2">
        <w:rPr>
          <w:sz w:val="20"/>
        </w:rPr>
        <w:t xml:space="preserve"> </w:t>
      </w:r>
      <w:r w:rsidR="009A63A0" w:rsidRPr="009B4EF2">
        <w:rPr>
          <w:i/>
          <w:sz w:val="20"/>
        </w:rPr>
        <w:t>I</w:t>
      </w:r>
      <w:r w:rsidRPr="009B4EF2">
        <w:rPr>
          <w:i/>
          <w:sz w:val="20"/>
        </w:rPr>
        <w:t>d</w:t>
      </w:r>
      <w:r w:rsidRPr="009B4EF2">
        <w:rPr>
          <w:sz w:val="20"/>
        </w:rPr>
        <w:t xml:space="preserve">. </w:t>
      </w:r>
      <w:r w:rsidR="00070C1F" w:rsidRPr="009B4EF2">
        <w:rPr>
          <w:sz w:val="20"/>
        </w:rPr>
        <w:t>at 1664, ¶ 1.</w:t>
      </w:r>
      <w:r w:rsidRPr="009B4EF2">
        <w:rPr>
          <w:sz w:val="20"/>
        </w:rPr>
        <w:t xml:space="preserve"> </w:t>
      </w:r>
    </w:p>
  </w:footnote>
  <w:footnote w:id="3">
    <w:p w14:paraId="263746FF" w14:textId="506BE9CA" w:rsidR="009E2EAE" w:rsidRPr="009B4EF2" w:rsidRDefault="009E2EAE" w:rsidP="009B4EF2">
      <w:pPr>
        <w:autoSpaceDE w:val="0"/>
        <w:autoSpaceDN w:val="0"/>
        <w:adjustRightInd w:val="0"/>
        <w:spacing w:after="120"/>
        <w:rPr>
          <w:bCs/>
        </w:rPr>
      </w:pPr>
      <w:r w:rsidRPr="009B4EF2">
        <w:rPr>
          <w:rStyle w:val="FootnoteReference"/>
        </w:rPr>
        <w:footnoteRef/>
      </w:r>
      <w:r w:rsidRPr="009B4EF2">
        <w:t xml:space="preserve"> Wireless Telecommunications Bureau Reminds Nationwide Wireless Service Providers of Obligation to Release Information Regarding Consumer Signal Boosters by March 2, 2015, </w:t>
      </w:r>
      <w:r w:rsidRPr="009B4EF2">
        <w:rPr>
          <w:i/>
        </w:rPr>
        <w:t>Public Notice</w:t>
      </w:r>
      <w:r w:rsidRPr="009B4EF2">
        <w:t xml:space="preserve">, </w:t>
      </w:r>
      <w:r w:rsidR="00ED1E46" w:rsidRPr="009B4EF2">
        <w:t xml:space="preserve">WT Docket No. 10-4, </w:t>
      </w:r>
      <w:r w:rsidRPr="009B4EF2">
        <w:t>30 FCC Rcd 195</w:t>
      </w:r>
      <w:r w:rsidR="00ED1E46" w:rsidRPr="009B4EF2">
        <w:t xml:space="preserve"> (</w:t>
      </w:r>
      <w:r w:rsidR="005554F9" w:rsidRPr="009B4EF2">
        <w:t xml:space="preserve">WTB </w:t>
      </w:r>
      <w:r w:rsidR="00ED1E46" w:rsidRPr="009B4EF2">
        <w:t>2015)</w:t>
      </w:r>
      <w:r w:rsidRPr="009B4EF2">
        <w:t xml:space="preserve">; AT&amp;T Services, Inc., </w:t>
      </w:r>
      <w:r w:rsidRPr="009B4EF2">
        <w:rPr>
          <w:bCs/>
        </w:rPr>
        <w:t>Amendment of Parts 1, 2, 22, 24, 27, 90 and 95 of the Commission’s Rules to Improve</w:t>
      </w:r>
      <w:r w:rsidR="00ED1E46" w:rsidRPr="009B4EF2">
        <w:rPr>
          <w:bCs/>
        </w:rPr>
        <w:t xml:space="preserve"> </w:t>
      </w:r>
      <w:r w:rsidRPr="009B4EF2">
        <w:rPr>
          <w:bCs/>
        </w:rPr>
        <w:t xml:space="preserve">Wireless Coverage Through the Use of Signal Boosters, WT Docket No. 10-4 (filed March 2, 2015); </w:t>
      </w:r>
      <w:r w:rsidRPr="009B4EF2">
        <w:t>Sprint Corporation, Sprint Consumer Signal Booster Information, WT Docket No. 10-4 (filed February 27, 2015); T-Mobile USA, Inc., Signal Boosters Authorized on the T-Mobile Nationwide Network, WT Docket No. 10-4 (filed February 27, 2015); Verizon, Amendment of Parts 1, 2, 22, 24, 27, 90 and 95 of the Commission's Rules to Improve Wireless Coverage through the Use of Signal Boosters, WT Docket No. 10-4 (filed March 3, 2015).</w:t>
      </w:r>
    </w:p>
  </w:footnote>
  <w:footnote w:id="4">
    <w:p w14:paraId="31AB71E4" w14:textId="4E42CF31" w:rsidR="009E2EAE" w:rsidRPr="009B4EF2" w:rsidRDefault="009E2EAE" w:rsidP="009B4EF2">
      <w:pPr>
        <w:pStyle w:val="FootnoteText"/>
        <w:spacing w:after="120"/>
        <w:rPr>
          <w:sz w:val="20"/>
        </w:rPr>
      </w:pPr>
      <w:r w:rsidRPr="009B4EF2">
        <w:rPr>
          <w:rStyle w:val="FootnoteReference"/>
          <w:sz w:val="20"/>
        </w:rPr>
        <w:footnoteRef/>
      </w:r>
      <w:r w:rsidRPr="009B4EF2">
        <w:rPr>
          <w:sz w:val="20"/>
        </w:rPr>
        <w:t xml:space="preserve"> </w:t>
      </w:r>
      <w:r w:rsidR="00ED1E46" w:rsidRPr="009B4EF2">
        <w:rPr>
          <w:sz w:val="20"/>
        </w:rPr>
        <w:t xml:space="preserve">Wireless Telecommunications Bureau Reminds Nationwide Wireless Service Providers of Obligation to Release Information Regarding Consumer Signal Boosters, </w:t>
      </w:r>
      <w:r w:rsidR="00ED1E46" w:rsidRPr="009B4EF2">
        <w:rPr>
          <w:i/>
          <w:sz w:val="20"/>
        </w:rPr>
        <w:t>Public Notice</w:t>
      </w:r>
      <w:r w:rsidR="00ED1E46" w:rsidRPr="009B4EF2">
        <w:rPr>
          <w:sz w:val="20"/>
        </w:rPr>
        <w:t xml:space="preserve">, WT Docket No. 10-4, </w:t>
      </w:r>
      <w:r w:rsidR="00927637" w:rsidRPr="009B4EF2">
        <w:rPr>
          <w:sz w:val="20"/>
        </w:rPr>
        <w:t xml:space="preserve">DA </w:t>
      </w:r>
      <w:r w:rsidR="00ED1E46" w:rsidRPr="009B4EF2">
        <w:rPr>
          <w:sz w:val="20"/>
        </w:rPr>
        <w:t>16-137 (</w:t>
      </w:r>
      <w:r w:rsidR="005554F9" w:rsidRPr="009B4EF2">
        <w:rPr>
          <w:sz w:val="20"/>
        </w:rPr>
        <w:t>WTB</w:t>
      </w:r>
      <w:r w:rsidR="00ED1E46" w:rsidRPr="009B4EF2">
        <w:rPr>
          <w:sz w:val="20"/>
        </w:rPr>
        <w:t xml:space="preserve"> Feb. 28, 2016)</w:t>
      </w:r>
      <w:r w:rsidR="00927637" w:rsidRPr="009B4EF2">
        <w:rPr>
          <w:sz w:val="20"/>
        </w:rPr>
        <w:t xml:space="preserve"> (</w:t>
      </w:r>
      <w:r w:rsidR="00927637" w:rsidRPr="009B4EF2">
        <w:rPr>
          <w:i/>
          <w:sz w:val="20"/>
        </w:rPr>
        <w:t>2016</w:t>
      </w:r>
      <w:r w:rsidR="00927637" w:rsidRPr="009B4EF2">
        <w:rPr>
          <w:sz w:val="20"/>
        </w:rPr>
        <w:t xml:space="preserve"> </w:t>
      </w:r>
      <w:r w:rsidR="00927637" w:rsidRPr="009B4EF2">
        <w:rPr>
          <w:i/>
          <w:sz w:val="20"/>
        </w:rPr>
        <w:t>Public Notice</w:t>
      </w:r>
      <w:r w:rsidR="00927637" w:rsidRPr="009B4EF2">
        <w:rPr>
          <w:sz w:val="20"/>
        </w:rPr>
        <w:t>)</w:t>
      </w:r>
      <w:r w:rsidR="00ED1E46" w:rsidRPr="009B4EF2">
        <w:rPr>
          <w:sz w:val="20"/>
        </w:rPr>
        <w:t>.</w:t>
      </w:r>
      <w:r w:rsidR="00927637" w:rsidRPr="009B4EF2">
        <w:rPr>
          <w:sz w:val="20"/>
        </w:rPr>
        <w:t xml:space="preserve">  The carriers are not required to respond to the </w:t>
      </w:r>
      <w:r w:rsidR="00927637" w:rsidRPr="009B4EF2">
        <w:rPr>
          <w:i/>
          <w:sz w:val="20"/>
        </w:rPr>
        <w:t>2016</w:t>
      </w:r>
      <w:r w:rsidR="00927637" w:rsidRPr="009B4EF2">
        <w:rPr>
          <w:sz w:val="20"/>
        </w:rPr>
        <w:t xml:space="preserve"> </w:t>
      </w:r>
      <w:r w:rsidR="00927637" w:rsidRPr="009B4EF2">
        <w:rPr>
          <w:i/>
          <w:sz w:val="20"/>
        </w:rPr>
        <w:t>Public Notice</w:t>
      </w:r>
      <w:r w:rsidR="00927637" w:rsidRPr="009B4EF2">
        <w:rPr>
          <w:sz w:val="20"/>
        </w:rPr>
        <w:t xml:space="preserve"> until March 9, 2016, after the release of this Public Notice; we therefore have not yet been provided information regarding their consent to the operation on their networks of the 76 </w:t>
      </w:r>
      <w:r w:rsidR="001B2382">
        <w:rPr>
          <w:sz w:val="20"/>
        </w:rPr>
        <w:t>FCC</w:t>
      </w:r>
      <w:r w:rsidR="00927637" w:rsidRPr="009B4EF2">
        <w:rPr>
          <w:sz w:val="20"/>
        </w:rPr>
        <w:t>-approved consumer signal boosters.</w:t>
      </w:r>
    </w:p>
  </w:footnote>
  <w:footnote w:id="5">
    <w:p w14:paraId="0A061032" w14:textId="168FEC08" w:rsidR="009E2EAE" w:rsidRPr="009B4EF2" w:rsidRDefault="009E2EAE" w:rsidP="009B4EF2">
      <w:pPr>
        <w:spacing w:after="120"/>
      </w:pPr>
      <w:r w:rsidRPr="009B4EF2">
        <w:rPr>
          <w:rStyle w:val="FootnoteReference"/>
        </w:rPr>
        <w:footnoteRef/>
      </w:r>
      <w:r w:rsidRPr="009B4EF2">
        <w:t xml:space="preserve"> </w:t>
      </w:r>
      <w:r w:rsidR="00927637" w:rsidRPr="009B4EF2">
        <w:t>AT&amp;T, Signal Booster Registration,</w:t>
      </w:r>
      <w:r w:rsidR="00514324" w:rsidRPr="009B4EF2">
        <w:t xml:space="preserve"> </w:t>
      </w:r>
      <w:hyperlink r:id="rId1" w:history="1">
        <w:r w:rsidR="00927637" w:rsidRPr="009B4EF2">
          <w:rPr>
            <w:rStyle w:val="Hyperlink"/>
          </w:rPr>
          <w:t>https://securec45.securewebsession.com/attsignalbooster.com/</w:t>
        </w:r>
      </w:hyperlink>
      <w:r w:rsidR="00927637" w:rsidRPr="009B4EF2">
        <w:t xml:space="preserve">; </w:t>
      </w:r>
      <w:r w:rsidR="00514324" w:rsidRPr="009B4EF2">
        <w:t xml:space="preserve">Sprint, Legal / Regulatory &amp; Consumer Resources, Signal Boosters, </w:t>
      </w:r>
      <w:hyperlink r:id="rId2" w:history="1">
        <w:r w:rsidR="00514324" w:rsidRPr="009B4EF2">
          <w:rPr>
            <w:rStyle w:val="Hyperlink"/>
          </w:rPr>
          <w:t>https://www.sprint.com/legal/fcc_boosters.html</w:t>
        </w:r>
      </w:hyperlink>
      <w:r w:rsidR="00514324" w:rsidRPr="009B4EF2">
        <w:t xml:space="preserve">; T-Mobile, Signal Booster Registration, </w:t>
      </w:r>
      <w:hyperlink r:id="rId3" w:history="1">
        <w:r w:rsidR="00514324" w:rsidRPr="009B4EF2">
          <w:rPr>
            <w:rStyle w:val="Hyperlink"/>
          </w:rPr>
          <w:t>https://www.signalboosterregistration.com/</w:t>
        </w:r>
      </w:hyperlink>
      <w:r w:rsidR="00514324" w:rsidRPr="009B4EF2">
        <w:t>; Verizon, Consumer</w:t>
      </w:r>
      <w:r w:rsidR="009B4EF2">
        <w:t xml:space="preserve"> </w:t>
      </w:r>
      <w:r w:rsidR="00514324" w:rsidRPr="009B4EF2">
        <w:t>Signal Booster, http://www.verizonwireless.com/solutions-and-services/accessories/register-signal-booster.html</w:t>
      </w:r>
    </w:p>
  </w:footnote>
  <w:footnote w:id="6">
    <w:p w14:paraId="0B6DD680" w14:textId="1EC6C779" w:rsidR="008B0DF6" w:rsidRPr="009B4EF2" w:rsidRDefault="008B0DF6" w:rsidP="009B4EF2">
      <w:pPr>
        <w:pStyle w:val="FootnoteText"/>
        <w:spacing w:after="120"/>
        <w:rPr>
          <w:sz w:val="20"/>
        </w:rPr>
      </w:pPr>
      <w:r w:rsidRPr="009B4EF2">
        <w:rPr>
          <w:rStyle w:val="FootnoteReference"/>
          <w:sz w:val="20"/>
        </w:rPr>
        <w:footnoteRef/>
      </w:r>
      <w:r w:rsidRPr="009B4EF2">
        <w:rPr>
          <w:sz w:val="20"/>
        </w:rPr>
        <w:t xml:space="preserve"> </w:t>
      </w:r>
      <w:r w:rsidRPr="009B4EF2">
        <w:rPr>
          <w:i/>
          <w:sz w:val="20"/>
        </w:rPr>
        <w:t>Report and Order</w:t>
      </w:r>
      <w:r w:rsidRPr="009B4EF2">
        <w:rPr>
          <w:sz w:val="20"/>
        </w:rPr>
        <w:t>, 28 FCC Rcd at 1677 ¶ 78.</w:t>
      </w:r>
    </w:p>
  </w:footnote>
  <w:footnote w:id="7">
    <w:p w14:paraId="0FCAA1A1" w14:textId="49D87E81" w:rsidR="008B70BA" w:rsidRPr="009B4EF2" w:rsidRDefault="008B70BA" w:rsidP="009B4EF2">
      <w:pPr>
        <w:pStyle w:val="FootnoteText"/>
        <w:spacing w:after="120"/>
        <w:rPr>
          <w:sz w:val="20"/>
        </w:rPr>
      </w:pPr>
      <w:r w:rsidRPr="009B4EF2">
        <w:rPr>
          <w:rStyle w:val="FootnoteReference"/>
          <w:sz w:val="20"/>
        </w:rPr>
        <w:footnoteRef/>
      </w:r>
      <w:r w:rsidRPr="009B4EF2">
        <w:rPr>
          <w:sz w:val="20"/>
        </w:rPr>
        <w:t xml:space="preserve"> </w:t>
      </w:r>
      <w:r w:rsidR="009A63A0" w:rsidRPr="009B4EF2">
        <w:rPr>
          <w:i/>
          <w:sz w:val="20"/>
        </w:rPr>
        <w:t>I</w:t>
      </w:r>
      <w:r w:rsidRPr="009B4EF2">
        <w:rPr>
          <w:i/>
          <w:sz w:val="20"/>
        </w:rPr>
        <w:t xml:space="preserve">d. </w:t>
      </w:r>
    </w:p>
  </w:footnote>
  <w:footnote w:id="8">
    <w:p w14:paraId="1CD1221E" w14:textId="6359FD35" w:rsidR="00A4051A" w:rsidRPr="009B4EF2" w:rsidRDefault="00A4051A" w:rsidP="00A4051A">
      <w:pPr>
        <w:pStyle w:val="FootnoteText"/>
        <w:spacing w:after="120"/>
        <w:rPr>
          <w:sz w:val="20"/>
        </w:rPr>
      </w:pPr>
      <w:r w:rsidRPr="009B4EF2">
        <w:rPr>
          <w:rStyle w:val="FootnoteReference"/>
          <w:sz w:val="20"/>
        </w:rPr>
        <w:footnoteRef/>
      </w:r>
      <w:r w:rsidRPr="009B4EF2">
        <w:rPr>
          <w:sz w:val="20"/>
        </w:rPr>
        <w:t xml:space="preserve"> </w:t>
      </w:r>
      <w:r>
        <w:rPr>
          <w:i/>
          <w:sz w:val="20"/>
        </w:rPr>
        <w:t>See i</w:t>
      </w:r>
      <w:r w:rsidRPr="009B4EF2">
        <w:rPr>
          <w:i/>
          <w:sz w:val="20"/>
        </w:rPr>
        <w:t>d.</w:t>
      </w:r>
    </w:p>
  </w:footnote>
  <w:footnote w:id="9">
    <w:p w14:paraId="732E847B" w14:textId="0E53CA0D" w:rsidR="00B2739E" w:rsidRPr="009B4EF2" w:rsidRDefault="00B2739E" w:rsidP="009B4EF2">
      <w:pPr>
        <w:pStyle w:val="FootnoteText"/>
        <w:spacing w:after="120"/>
        <w:rPr>
          <w:sz w:val="20"/>
        </w:rPr>
      </w:pPr>
      <w:r w:rsidRPr="009B4EF2">
        <w:rPr>
          <w:rStyle w:val="FootnoteReference"/>
          <w:sz w:val="20"/>
        </w:rPr>
        <w:footnoteRef/>
      </w:r>
      <w:r w:rsidRPr="009B4EF2">
        <w:rPr>
          <w:sz w:val="20"/>
        </w:rPr>
        <w:t xml:space="preserve"> </w:t>
      </w:r>
      <w:r w:rsidR="004B59DC">
        <w:rPr>
          <w:i/>
          <w:sz w:val="20"/>
        </w:rPr>
        <w:t>I</w:t>
      </w:r>
      <w:r w:rsidRPr="009B4EF2">
        <w:rPr>
          <w:i/>
          <w:sz w:val="20"/>
        </w:rPr>
        <w:t xml:space="preserve">d. </w:t>
      </w:r>
    </w:p>
  </w:footnote>
  <w:footnote w:id="10">
    <w:p w14:paraId="6BA748A5" w14:textId="77777777" w:rsidR="00BB39C9" w:rsidRPr="009B4EF2" w:rsidRDefault="00BB39C9" w:rsidP="009B4EF2">
      <w:pPr>
        <w:pStyle w:val="FootnoteText"/>
        <w:spacing w:after="120"/>
        <w:rPr>
          <w:sz w:val="20"/>
        </w:rPr>
      </w:pPr>
      <w:r w:rsidRPr="009B4EF2">
        <w:rPr>
          <w:rStyle w:val="FootnoteReference"/>
          <w:sz w:val="20"/>
        </w:rPr>
        <w:footnoteRef/>
      </w:r>
      <w:r w:rsidRPr="009B4EF2">
        <w:rPr>
          <w:sz w:val="20"/>
        </w:rPr>
        <w:t xml:space="preserve"> </w:t>
      </w:r>
      <w:r w:rsidRPr="009B4EF2">
        <w:rPr>
          <w:i/>
          <w:sz w:val="20"/>
        </w:rPr>
        <w:t>See</w:t>
      </w:r>
      <w:r w:rsidRPr="009B4EF2">
        <w:rPr>
          <w:sz w:val="20"/>
        </w:rPr>
        <w:t xml:space="preserve"> 47 C.F.R. §§ 1.415, 1.419.</w:t>
      </w:r>
    </w:p>
  </w:footnote>
  <w:footnote w:id="11">
    <w:p w14:paraId="0B9AD3C3" w14:textId="77777777" w:rsidR="00230B4B" w:rsidRPr="009B4EF2" w:rsidRDefault="00230B4B" w:rsidP="009B4EF2">
      <w:pPr>
        <w:pStyle w:val="FootnoteText"/>
        <w:spacing w:after="120"/>
        <w:rPr>
          <w:sz w:val="20"/>
        </w:rPr>
      </w:pPr>
      <w:r w:rsidRPr="009B4EF2">
        <w:rPr>
          <w:rStyle w:val="FootnoteReference"/>
          <w:sz w:val="20"/>
        </w:rPr>
        <w:footnoteRef/>
      </w:r>
      <w:r w:rsidRPr="009B4EF2">
        <w:rPr>
          <w:sz w:val="20"/>
        </w:rPr>
        <w:t xml:space="preserve"> </w:t>
      </w:r>
      <w:r w:rsidRPr="009B4EF2">
        <w:rPr>
          <w:i/>
          <w:sz w:val="20"/>
        </w:rPr>
        <w:t>See Electronic Filing of Documents in Rulemaking Proceedings</w:t>
      </w:r>
      <w:r w:rsidRPr="009B4EF2">
        <w:rPr>
          <w:sz w:val="20"/>
        </w:rPr>
        <w:t>, 63 FR 24121 (1998).</w:t>
      </w:r>
    </w:p>
  </w:footnote>
  <w:footnote w:id="12">
    <w:p w14:paraId="4DBA9005" w14:textId="77777777" w:rsidR="00BB39C9" w:rsidRPr="009B4EF2" w:rsidRDefault="00BB39C9" w:rsidP="009B4EF2">
      <w:pPr>
        <w:pStyle w:val="FootnoteText"/>
        <w:spacing w:after="120"/>
        <w:rPr>
          <w:sz w:val="20"/>
        </w:rPr>
      </w:pPr>
      <w:r w:rsidRPr="009B4EF2">
        <w:rPr>
          <w:rStyle w:val="FootnoteReference"/>
          <w:sz w:val="20"/>
        </w:rPr>
        <w:footnoteRef/>
      </w:r>
      <w:r w:rsidRPr="009B4EF2">
        <w:rPr>
          <w:i/>
          <w:sz w:val="20"/>
        </w:rPr>
        <w:t xml:space="preserve"> See</w:t>
      </w:r>
      <w:r w:rsidRPr="009B4EF2">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2ECF" w14:textId="77777777" w:rsidR="00A37552" w:rsidRDefault="00A37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AC4C" w14:textId="77777777" w:rsidR="00A37552" w:rsidRDefault="00A37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1A35" w14:textId="77777777" w:rsidR="0095395F" w:rsidRDefault="00FE518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8752" behindDoc="0" locked="0" layoutInCell="0" allowOverlap="1" wp14:anchorId="0E662B17" wp14:editId="008FC2BD">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5395F">
      <w:rPr>
        <w:rFonts w:ascii="News Gothic MT" w:hAnsi="News Gothic MT"/>
        <w:b/>
        <w:kern w:val="28"/>
        <w:sz w:val="96"/>
      </w:rPr>
      <w:t>PUBLIC NOTICE</w:t>
    </w:r>
  </w:p>
  <w:p w14:paraId="45431F92" w14:textId="77777777" w:rsidR="0095395F" w:rsidRDefault="007836C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0" allowOverlap="1" wp14:anchorId="262E74AC" wp14:editId="5F3EC42C">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07"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9D149" w14:textId="77777777" w:rsidR="0095395F" w:rsidRDefault="0095395F">
                          <w:pPr>
                            <w:spacing w:before="40"/>
                            <w:jc w:val="right"/>
                            <w:rPr>
                              <w:rFonts w:ascii="Arial" w:hAnsi="Arial"/>
                              <w:b/>
                              <w:sz w:val="16"/>
                            </w:rPr>
                          </w:pPr>
                          <w:r>
                            <w:rPr>
                              <w:rFonts w:ascii="Arial" w:hAnsi="Arial"/>
                              <w:b/>
                              <w:sz w:val="16"/>
                            </w:rPr>
                            <w:t>News Media Information 202 / 418-0500</w:t>
                          </w:r>
                        </w:p>
                        <w:p w14:paraId="448E9B43" w14:textId="77777777" w:rsidR="0085199C" w:rsidRPr="0085199C" w:rsidRDefault="0085199C" w:rsidP="0085199C">
                          <w:pPr>
                            <w:jc w:val="right"/>
                            <w:rPr>
                              <w:rFonts w:ascii="Arial" w:hAnsi="Arial"/>
                              <w:b/>
                              <w:sz w:val="16"/>
                            </w:rPr>
                          </w:pPr>
                          <w:r w:rsidRPr="0085199C">
                            <w:rPr>
                              <w:rFonts w:ascii="Arial" w:hAnsi="Arial"/>
                              <w:b/>
                              <w:sz w:val="16"/>
                            </w:rPr>
                            <w:t>Fax-On-Demand 202 / 418-2830</w:t>
                          </w:r>
                        </w:p>
                        <w:p w14:paraId="2DE72698" w14:textId="77777777"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14:paraId="17C0531D" w14:textId="77777777" w:rsidR="0085199C" w:rsidRPr="0085199C" w:rsidRDefault="0085199C" w:rsidP="0085199C">
                          <w:pPr>
                            <w:jc w:val="right"/>
                            <w:rPr>
                              <w:rFonts w:ascii="Arial" w:hAnsi="Arial"/>
                              <w:b/>
                              <w:sz w:val="16"/>
                            </w:rPr>
                          </w:pPr>
                          <w:r w:rsidRPr="0085199C">
                            <w:rPr>
                              <w:rFonts w:ascii="Arial" w:hAnsi="Arial"/>
                              <w:b/>
                              <w:sz w:val="16"/>
                            </w:rPr>
                            <w:t>Internet: http://www.fcc.gov</w:t>
                          </w:r>
                        </w:p>
                        <w:p w14:paraId="4841345C" w14:textId="77777777" w:rsidR="0095395F" w:rsidRPr="00152849" w:rsidRDefault="0085199C" w:rsidP="00152849">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2E74AC" id="_x0000_t202" coordsize="21600,21600" o:spt="202" path="m,l,21600r21600,l21600,xe">
              <v:stroke joinstyle="miter"/>
              <v:path gradientshapeok="t" o:connecttype="rect"/>
            </v:shapetype>
            <v:shape id="Text Box 3" o:spid="_x0000_s1026" type="#_x0000_t202" style="position:absolute;left:0;text-align:left;margin-left:293.75pt;margin-top:.2pt;width:183.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" o:allowincell="f" stroked="f">
              <v:textbox inset=",0,,0">
                <w:txbxContent>
                  <w:p w14:paraId="2669D149" w14:textId="77777777" w:rsidR="0095395F" w:rsidRDefault="0095395F">
                    <w:pPr>
                      <w:spacing w:before="40"/>
                      <w:jc w:val="right"/>
                      <w:rPr>
                        <w:rFonts w:ascii="Arial" w:hAnsi="Arial"/>
                        <w:b/>
                        <w:sz w:val="16"/>
                      </w:rPr>
                    </w:pPr>
                    <w:r>
                      <w:rPr>
                        <w:rFonts w:ascii="Arial" w:hAnsi="Arial"/>
                        <w:b/>
                        <w:sz w:val="16"/>
                      </w:rPr>
                      <w:t>News Media Information 202 / 418-0500</w:t>
                    </w:r>
                  </w:p>
                  <w:p w14:paraId="448E9B43" w14:textId="77777777" w:rsidR="0085199C" w:rsidRPr="0085199C" w:rsidRDefault="0085199C" w:rsidP="0085199C">
                    <w:pPr>
                      <w:jc w:val="right"/>
                      <w:rPr>
                        <w:rFonts w:ascii="Arial" w:hAnsi="Arial"/>
                        <w:b/>
                        <w:sz w:val="16"/>
                      </w:rPr>
                    </w:pPr>
                    <w:r w:rsidRPr="0085199C">
                      <w:rPr>
                        <w:rFonts w:ascii="Arial" w:hAnsi="Arial"/>
                        <w:b/>
                        <w:sz w:val="16"/>
                      </w:rPr>
                      <w:t>Fax-On-Demand 202 / 418-2830</w:t>
                    </w:r>
                  </w:p>
                  <w:p w14:paraId="2DE72698" w14:textId="77777777"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14:paraId="17C0531D" w14:textId="77777777" w:rsidR="0085199C" w:rsidRPr="0085199C" w:rsidRDefault="0085199C" w:rsidP="0085199C">
                    <w:pPr>
                      <w:jc w:val="right"/>
                      <w:rPr>
                        <w:rFonts w:ascii="Arial" w:hAnsi="Arial"/>
                        <w:b/>
                        <w:sz w:val="16"/>
                      </w:rPr>
                    </w:pPr>
                    <w:r w:rsidRPr="0085199C">
                      <w:rPr>
                        <w:rFonts w:ascii="Arial" w:hAnsi="Arial"/>
                        <w:b/>
                        <w:sz w:val="16"/>
                      </w:rPr>
                      <w:t>Internet: http://www.fcc.gov</w:t>
                    </w:r>
                  </w:p>
                  <w:p w14:paraId="4841345C" w14:textId="77777777" w:rsidR="0095395F" w:rsidRPr="00152849" w:rsidRDefault="0085199C" w:rsidP="00152849">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5F8C197" wp14:editId="3327615F">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3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D1E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2pt" to="468.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Fg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" o:allowincell="f"/>
          </w:pict>
        </mc:Fallback>
      </mc:AlternateContent>
    </w:r>
    <w:r w:rsidR="00FE518C">
      <w:rPr>
        <w:noProof/>
      </w:rPr>
      <mc:AlternateContent>
        <mc:Choice Requires="wps">
          <w:drawing>
            <wp:anchor distT="0" distB="0" distL="114300" distR="114300" simplePos="0" relativeHeight="251655680" behindDoc="0" locked="0" layoutInCell="0" allowOverlap="1" wp14:anchorId="08CF571A" wp14:editId="154D2EE7">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F4344" w14:textId="77777777" w:rsidR="0095395F" w:rsidRDefault="0095395F">
                          <w:pPr>
                            <w:jc w:val="both"/>
                            <w:rPr>
                              <w:rFonts w:ascii="Arial" w:hAnsi="Arial"/>
                              <w:b/>
                            </w:rPr>
                          </w:pPr>
                          <w:r>
                            <w:rPr>
                              <w:rFonts w:ascii="Arial" w:hAnsi="Arial"/>
                              <w:b/>
                            </w:rPr>
                            <w:t>Federal Communications Commission</w:t>
                          </w:r>
                        </w:p>
                        <w:p w14:paraId="1A243650" w14:textId="77777777"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7A444DC9" w14:textId="77777777"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CF571A" id="Text Box 1"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14:paraId="12DF4344" w14:textId="77777777" w:rsidR="0095395F" w:rsidRDefault="0095395F">
                    <w:pPr>
                      <w:jc w:val="both"/>
                      <w:rPr>
                        <w:rFonts w:ascii="Arial" w:hAnsi="Arial"/>
                        <w:b/>
                      </w:rPr>
                    </w:pPr>
                    <w:r>
                      <w:rPr>
                        <w:rFonts w:ascii="Arial" w:hAnsi="Arial"/>
                        <w:b/>
                      </w:rPr>
                      <w:t>Federal Communications Commission</w:t>
                    </w:r>
                  </w:p>
                  <w:p w14:paraId="1A243650" w14:textId="77777777"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7A444DC9" w14:textId="77777777"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18F10CC6"/>
    <w:multiLevelType w:val="hybridMultilevel"/>
    <w:tmpl w:val="6E529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37A09"/>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C5450F7"/>
    <w:multiLevelType w:val="hybridMultilevel"/>
    <w:tmpl w:val="D098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3E5F0D"/>
    <w:multiLevelType w:val="hybridMultilevel"/>
    <w:tmpl w:val="844A9E4E"/>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D983F01"/>
    <w:multiLevelType w:val="hybridMultilevel"/>
    <w:tmpl w:val="A920B072"/>
    <w:lvl w:ilvl="0" w:tplc="9E50F144">
      <w:start w:val="1"/>
      <w:numFmt w:val="upperRoman"/>
      <w:lvlText w:val="%1."/>
      <w:lvlJc w:val="left"/>
      <w:pPr>
        <w:ind w:left="1440" w:hanging="72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4B80867"/>
    <w:multiLevelType w:val="hybridMultilevel"/>
    <w:tmpl w:val="81365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EB5A2E"/>
    <w:multiLevelType w:val="hybridMultilevel"/>
    <w:tmpl w:val="B9020C58"/>
    <w:lvl w:ilvl="0" w:tplc="8E1C4A6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7">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46BAC"/>
    <w:multiLevelType w:val="hybridMultilevel"/>
    <w:tmpl w:val="FD6CE2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813A18"/>
    <w:multiLevelType w:val="hybridMultilevel"/>
    <w:tmpl w:val="684A55FA"/>
    <w:lvl w:ilvl="0" w:tplc="0F3AA2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75EB7AEA"/>
    <w:multiLevelType w:val="hybridMultilevel"/>
    <w:tmpl w:val="C73E4C42"/>
    <w:lvl w:ilvl="0" w:tplc="96D0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B1387"/>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6"/>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8"/>
  </w:num>
  <w:num w:numId="13">
    <w:abstractNumId w:val="19"/>
  </w:num>
  <w:num w:numId="14">
    <w:abstractNumId w:val="20"/>
  </w:num>
  <w:num w:numId="15">
    <w:abstractNumId w:val="0"/>
  </w:num>
  <w:num w:numId="16">
    <w:abstractNumId w:val="12"/>
  </w:num>
  <w:num w:numId="17">
    <w:abstractNumId w:val="13"/>
  </w:num>
  <w:num w:numId="18">
    <w:abstractNumId w:val="21"/>
  </w:num>
  <w:num w:numId="19">
    <w:abstractNumId w:val="17"/>
  </w:num>
  <w:num w:numId="20">
    <w:abstractNumId w:val="5"/>
  </w:num>
  <w:num w:numId="21">
    <w:abstractNumId w:val="23"/>
  </w:num>
  <w:num w:numId="22">
    <w:abstractNumId w:val="9"/>
  </w:num>
  <w:num w:numId="23">
    <w:abstractNumId w:val="7"/>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6"/>
  </w:num>
  <w:num w:numId="30">
    <w:abstractNumId w:val="7"/>
  </w:num>
  <w:num w:numId="31">
    <w:abstractNumId w:val="25"/>
  </w:num>
  <w:num w:numId="32">
    <w:abstractNumId w:val="3"/>
  </w:num>
  <w:num w:numId="33">
    <w:abstractNumId w:val="10"/>
  </w:num>
  <w:num w:numId="34">
    <w:abstractNumId w:val="24"/>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51"/>
    <w:rsid w:val="00001F91"/>
    <w:rsid w:val="0000368B"/>
    <w:rsid w:val="00021DBB"/>
    <w:rsid w:val="000244B4"/>
    <w:rsid w:val="00025081"/>
    <w:rsid w:val="000340CA"/>
    <w:rsid w:val="00035021"/>
    <w:rsid w:val="00035F79"/>
    <w:rsid w:val="00041315"/>
    <w:rsid w:val="00043B34"/>
    <w:rsid w:val="00051264"/>
    <w:rsid w:val="00052CA5"/>
    <w:rsid w:val="00057F6B"/>
    <w:rsid w:val="00065866"/>
    <w:rsid w:val="00065ED8"/>
    <w:rsid w:val="00070C1F"/>
    <w:rsid w:val="00075413"/>
    <w:rsid w:val="0007702A"/>
    <w:rsid w:val="00081040"/>
    <w:rsid w:val="00084262"/>
    <w:rsid w:val="0008439E"/>
    <w:rsid w:val="00086033"/>
    <w:rsid w:val="00093943"/>
    <w:rsid w:val="000A09F2"/>
    <w:rsid w:val="000B76F9"/>
    <w:rsid w:val="000C0840"/>
    <w:rsid w:val="000C61DC"/>
    <w:rsid w:val="000D32B4"/>
    <w:rsid w:val="000D4B71"/>
    <w:rsid w:val="000E557F"/>
    <w:rsid w:val="001066F9"/>
    <w:rsid w:val="00107BF9"/>
    <w:rsid w:val="00114355"/>
    <w:rsid w:val="00115372"/>
    <w:rsid w:val="001322D1"/>
    <w:rsid w:val="00133F6A"/>
    <w:rsid w:val="001366C5"/>
    <w:rsid w:val="001377FD"/>
    <w:rsid w:val="00137C39"/>
    <w:rsid w:val="001456C6"/>
    <w:rsid w:val="00146942"/>
    <w:rsid w:val="00150429"/>
    <w:rsid w:val="001507A8"/>
    <w:rsid w:val="00152849"/>
    <w:rsid w:val="00161494"/>
    <w:rsid w:val="00164E8E"/>
    <w:rsid w:val="00165C44"/>
    <w:rsid w:val="001764F2"/>
    <w:rsid w:val="00186F36"/>
    <w:rsid w:val="001907F3"/>
    <w:rsid w:val="001A02CA"/>
    <w:rsid w:val="001A37DF"/>
    <w:rsid w:val="001B2382"/>
    <w:rsid w:val="001B343C"/>
    <w:rsid w:val="001B4352"/>
    <w:rsid w:val="001B60C6"/>
    <w:rsid w:val="001C4965"/>
    <w:rsid w:val="001C6CDE"/>
    <w:rsid w:val="001D0C7A"/>
    <w:rsid w:val="001D3F78"/>
    <w:rsid w:val="001E5592"/>
    <w:rsid w:val="001E5C31"/>
    <w:rsid w:val="001F0669"/>
    <w:rsid w:val="001F2D65"/>
    <w:rsid w:val="0020136F"/>
    <w:rsid w:val="00202F3A"/>
    <w:rsid w:val="002031E7"/>
    <w:rsid w:val="00230B4B"/>
    <w:rsid w:val="00231168"/>
    <w:rsid w:val="0025214B"/>
    <w:rsid w:val="002524AA"/>
    <w:rsid w:val="002563E6"/>
    <w:rsid w:val="00271AC0"/>
    <w:rsid w:val="002729D3"/>
    <w:rsid w:val="002751F2"/>
    <w:rsid w:val="002830A3"/>
    <w:rsid w:val="00283BE6"/>
    <w:rsid w:val="002875B9"/>
    <w:rsid w:val="00290B79"/>
    <w:rsid w:val="0029356C"/>
    <w:rsid w:val="00294FC3"/>
    <w:rsid w:val="002A659D"/>
    <w:rsid w:val="002A76F5"/>
    <w:rsid w:val="002B1170"/>
    <w:rsid w:val="002B2237"/>
    <w:rsid w:val="002B4253"/>
    <w:rsid w:val="002C20F5"/>
    <w:rsid w:val="002D3C5A"/>
    <w:rsid w:val="002F037A"/>
    <w:rsid w:val="002F14F1"/>
    <w:rsid w:val="002F661C"/>
    <w:rsid w:val="002F7748"/>
    <w:rsid w:val="003002B2"/>
    <w:rsid w:val="003017AD"/>
    <w:rsid w:val="00307359"/>
    <w:rsid w:val="003074CE"/>
    <w:rsid w:val="0031449C"/>
    <w:rsid w:val="003145CB"/>
    <w:rsid w:val="00316024"/>
    <w:rsid w:val="0031641D"/>
    <w:rsid w:val="00321CC2"/>
    <w:rsid w:val="0032223D"/>
    <w:rsid w:val="00324B46"/>
    <w:rsid w:val="00326527"/>
    <w:rsid w:val="00336E40"/>
    <w:rsid w:val="00357E1D"/>
    <w:rsid w:val="00366386"/>
    <w:rsid w:val="00366FEB"/>
    <w:rsid w:val="00375A88"/>
    <w:rsid w:val="0038452B"/>
    <w:rsid w:val="00384BD3"/>
    <w:rsid w:val="00385FDC"/>
    <w:rsid w:val="00394C33"/>
    <w:rsid w:val="00396873"/>
    <w:rsid w:val="00397F1A"/>
    <w:rsid w:val="003A2252"/>
    <w:rsid w:val="003A5AE9"/>
    <w:rsid w:val="003A5FA5"/>
    <w:rsid w:val="003A73B6"/>
    <w:rsid w:val="003B2C85"/>
    <w:rsid w:val="003B436E"/>
    <w:rsid w:val="003C1048"/>
    <w:rsid w:val="003C46E2"/>
    <w:rsid w:val="003C6401"/>
    <w:rsid w:val="003C6916"/>
    <w:rsid w:val="003C6A40"/>
    <w:rsid w:val="003C7B33"/>
    <w:rsid w:val="003C7C04"/>
    <w:rsid w:val="003D038A"/>
    <w:rsid w:val="003D0FAE"/>
    <w:rsid w:val="003D40AB"/>
    <w:rsid w:val="003E3D56"/>
    <w:rsid w:val="003E5269"/>
    <w:rsid w:val="003E6438"/>
    <w:rsid w:val="003F5CE6"/>
    <w:rsid w:val="004051C8"/>
    <w:rsid w:val="00414039"/>
    <w:rsid w:val="004204BD"/>
    <w:rsid w:val="00424D30"/>
    <w:rsid w:val="00430746"/>
    <w:rsid w:val="00432089"/>
    <w:rsid w:val="0043223A"/>
    <w:rsid w:val="00437EB0"/>
    <w:rsid w:val="00440533"/>
    <w:rsid w:val="00440CA0"/>
    <w:rsid w:val="0044109C"/>
    <w:rsid w:val="0045299C"/>
    <w:rsid w:val="0045645B"/>
    <w:rsid w:val="00462F29"/>
    <w:rsid w:val="00465B76"/>
    <w:rsid w:val="004729D8"/>
    <w:rsid w:val="0047393F"/>
    <w:rsid w:val="00477C30"/>
    <w:rsid w:val="004B0F28"/>
    <w:rsid w:val="004B59DC"/>
    <w:rsid w:val="004C1B11"/>
    <w:rsid w:val="004C6571"/>
    <w:rsid w:val="004C7C02"/>
    <w:rsid w:val="004D2910"/>
    <w:rsid w:val="004D347B"/>
    <w:rsid w:val="004E5101"/>
    <w:rsid w:val="004E5FE7"/>
    <w:rsid w:val="004E6CE2"/>
    <w:rsid w:val="004E73AE"/>
    <w:rsid w:val="004E79EA"/>
    <w:rsid w:val="004F3153"/>
    <w:rsid w:val="004F65F6"/>
    <w:rsid w:val="004F791B"/>
    <w:rsid w:val="004F79D9"/>
    <w:rsid w:val="00504B01"/>
    <w:rsid w:val="00505111"/>
    <w:rsid w:val="0051155D"/>
    <w:rsid w:val="00514324"/>
    <w:rsid w:val="005146F5"/>
    <w:rsid w:val="00523D65"/>
    <w:rsid w:val="005262A6"/>
    <w:rsid w:val="0053580B"/>
    <w:rsid w:val="0053654C"/>
    <w:rsid w:val="005518E9"/>
    <w:rsid w:val="00553979"/>
    <w:rsid w:val="005552BA"/>
    <w:rsid w:val="005554F9"/>
    <w:rsid w:val="0055656D"/>
    <w:rsid w:val="00560A35"/>
    <w:rsid w:val="005649BC"/>
    <w:rsid w:val="005851C1"/>
    <w:rsid w:val="00592FF0"/>
    <w:rsid w:val="00593B91"/>
    <w:rsid w:val="00595926"/>
    <w:rsid w:val="005A3C2E"/>
    <w:rsid w:val="005B5FD5"/>
    <w:rsid w:val="005D004D"/>
    <w:rsid w:val="005D381D"/>
    <w:rsid w:val="005D6467"/>
    <w:rsid w:val="005E116C"/>
    <w:rsid w:val="005F66A1"/>
    <w:rsid w:val="005F6D4A"/>
    <w:rsid w:val="006058C8"/>
    <w:rsid w:val="0061559A"/>
    <w:rsid w:val="006160CC"/>
    <w:rsid w:val="00631BB2"/>
    <w:rsid w:val="00636D49"/>
    <w:rsid w:val="0066511D"/>
    <w:rsid w:val="0067499B"/>
    <w:rsid w:val="00677EF7"/>
    <w:rsid w:val="00686C4E"/>
    <w:rsid w:val="006966CF"/>
    <w:rsid w:val="006A4549"/>
    <w:rsid w:val="006A6C2C"/>
    <w:rsid w:val="006B1E62"/>
    <w:rsid w:val="006B574E"/>
    <w:rsid w:val="006B7A6F"/>
    <w:rsid w:val="006B7E75"/>
    <w:rsid w:val="006C5C40"/>
    <w:rsid w:val="006D2A39"/>
    <w:rsid w:val="006E27C4"/>
    <w:rsid w:val="006E5C0A"/>
    <w:rsid w:val="0070362B"/>
    <w:rsid w:val="00705741"/>
    <w:rsid w:val="00723439"/>
    <w:rsid w:val="00724F63"/>
    <w:rsid w:val="0073225E"/>
    <w:rsid w:val="007443A8"/>
    <w:rsid w:val="00745510"/>
    <w:rsid w:val="00757761"/>
    <w:rsid w:val="00767806"/>
    <w:rsid w:val="007823CC"/>
    <w:rsid w:val="007836CB"/>
    <w:rsid w:val="00784362"/>
    <w:rsid w:val="00786DD4"/>
    <w:rsid w:val="00796241"/>
    <w:rsid w:val="007A7397"/>
    <w:rsid w:val="007B20C9"/>
    <w:rsid w:val="007B2879"/>
    <w:rsid w:val="007C1C2D"/>
    <w:rsid w:val="007C683B"/>
    <w:rsid w:val="007D1279"/>
    <w:rsid w:val="007D4734"/>
    <w:rsid w:val="007E09E5"/>
    <w:rsid w:val="007F4425"/>
    <w:rsid w:val="00814219"/>
    <w:rsid w:val="00817F45"/>
    <w:rsid w:val="008221D3"/>
    <w:rsid w:val="00833B59"/>
    <w:rsid w:val="008456EB"/>
    <w:rsid w:val="00845CE1"/>
    <w:rsid w:val="00845E58"/>
    <w:rsid w:val="00850146"/>
    <w:rsid w:val="0085199C"/>
    <w:rsid w:val="00857BD9"/>
    <w:rsid w:val="008635ED"/>
    <w:rsid w:val="00870343"/>
    <w:rsid w:val="00872DF5"/>
    <w:rsid w:val="008804C2"/>
    <w:rsid w:val="008817A1"/>
    <w:rsid w:val="0088216C"/>
    <w:rsid w:val="00883A33"/>
    <w:rsid w:val="00886AB2"/>
    <w:rsid w:val="00890AC3"/>
    <w:rsid w:val="0089185E"/>
    <w:rsid w:val="00891FC1"/>
    <w:rsid w:val="008922CB"/>
    <w:rsid w:val="0089384E"/>
    <w:rsid w:val="00895237"/>
    <w:rsid w:val="008A42C8"/>
    <w:rsid w:val="008B0DF6"/>
    <w:rsid w:val="008B40B5"/>
    <w:rsid w:val="008B446C"/>
    <w:rsid w:val="008B56BC"/>
    <w:rsid w:val="008B70BA"/>
    <w:rsid w:val="008C4F72"/>
    <w:rsid w:val="008D200E"/>
    <w:rsid w:val="008D50D3"/>
    <w:rsid w:val="008E0A58"/>
    <w:rsid w:val="008E19AB"/>
    <w:rsid w:val="008E59FA"/>
    <w:rsid w:val="008E6855"/>
    <w:rsid w:val="008E722B"/>
    <w:rsid w:val="008F1CEA"/>
    <w:rsid w:val="008F2916"/>
    <w:rsid w:val="008F5D13"/>
    <w:rsid w:val="009078FA"/>
    <w:rsid w:val="009100CF"/>
    <w:rsid w:val="00912B86"/>
    <w:rsid w:val="00913CE7"/>
    <w:rsid w:val="00916F48"/>
    <w:rsid w:val="00921FEA"/>
    <w:rsid w:val="00922192"/>
    <w:rsid w:val="00927637"/>
    <w:rsid w:val="0094317D"/>
    <w:rsid w:val="0094390F"/>
    <w:rsid w:val="00946E6D"/>
    <w:rsid w:val="0095395F"/>
    <w:rsid w:val="0096463E"/>
    <w:rsid w:val="00967A7A"/>
    <w:rsid w:val="00970349"/>
    <w:rsid w:val="009738F0"/>
    <w:rsid w:val="00977B60"/>
    <w:rsid w:val="00980D00"/>
    <w:rsid w:val="00984939"/>
    <w:rsid w:val="009861FA"/>
    <w:rsid w:val="009934E0"/>
    <w:rsid w:val="009954E5"/>
    <w:rsid w:val="00997D40"/>
    <w:rsid w:val="009A63A0"/>
    <w:rsid w:val="009B134B"/>
    <w:rsid w:val="009B4EF2"/>
    <w:rsid w:val="009B6860"/>
    <w:rsid w:val="009C298F"/>
    <w:rsid w:val="009C38BF"/>
    <w:rsid w:val="009C796C"/>
    <w:rsid w:val="009D3E42"/>
    <w:rsid w:val="009E0CA7"/>
    <w:rsid w:val="009E2EAE"/>
    <w:rsid w:val="009E655E"/>
    <w:rsid w:val="00A00821"/>
    <w:rsid w:val="00A17D1E"/>
    <w:rsid w:val="00A233FD"/>
    <w:rsid w:val="00A36485"/>
    <w:rsid w:val="00A37552"/>
    <w:rsid w:val="00A4051A"/>
    <w:rsid w:val="00A443FC"/>
    <w:rsid w:val="00A45A2D"/>
    <w:rsid w:val="00A470A8"/>
    <w:rsid w:val="00A77A87"/>
    <w:rsid w:val="00A80ACC"/>
    <w:rsid w:val="00A84D12"/>
    <w:rsid w:val="00A84F62"/>
    <w:rsid w:val="00A87803"/>
    <w:rsid w:val="00AA0952"/>
    <w:rsid w:val="00AC3626"/>
    <w:rsid w:val="00AC479D"/>
    <w:rsid w:val="00AD2E2D"/>
    <w:rsid w:val="00AD60E1"/>
    <w:rsid w:val="00AF11BE"/>
    <w:rsid w:val="00AF510D"/>
    <w:rsid w:val="00B02B6B"/>
    <w:rsid w:val="00B06996"/>
    <w:rsid w:val="00B15ED1"/>
    <w:rsid w:val="00B213DD"/>
    <w:rsid w:val="00B2739E"/>
    <w:rsid w:val="00B27CB1"/>
    <w:rsid w:val="00B359C8"/>
    <w:rsid w:val="00B4175E"/>
    <w:rsid w:val="00B44090"/>
    <w:rsid w:val="00B44E9A"/>
    <w:rsid w:val="00B510C0"/>
    <w:rsid w:val="00B5542A"/>
    <w:rsid w:val="00B6651A"/>
    <w:rsid w:val="00B7779F"/>
    <w:rsid w:val="00B816F5"/>
    <w:rsid w:val="00B86802"/>
    <w:rsid w:val="00B95511"/>
    <w:rsid w:val="00BA02BF"/>
    <w:rsid w:val="00BA0D4E"/>
    <w:rsid w:val="00BA2239"/>
    <w:rsid w:val="00BB140C"/>
    <w:rsid w:val="00BB39C9"/>
    <w:rsid w:val="00BC04E1"/>
    <w:rsid w:val="00BC5C3D"/>
    <w:rsid w:val="00BC7790"/>
    <w:rsid w:val="00BD1E3C"/>
    <w:rsid w:val="00BD573C"/>
    <w:rsid w:val="00BD6399"/>
    <w:rsid w:val="00BD7411"/>
    <w:rsid w:val="00BE47D1"/>
    <w:rsid w:val="00BE538E"/>
    <w:rsid w:val="00BF1AD3"/>
    <w:rsid w:val="00BF50D0"/>
    <w:rsid w:val="00BF5E51"/>
    <w:rsid w:val="00C04224"/>
    <w:rsid w:val="00C063D4"/>
    <w:rsid w:val="00C07AD3"/>
    <w:rsid w:val="00C14926"/>
    <w:rsid w:val="00C14E0E"/>
    <w:rsid w:val="00C35846"/>
    <w:rsid w:val="00C36CF1"/>
    <w:rsid w:val="00C43F5C"/>
    <w:rsid w:val="00C451B9"/>
    <w:rsid w:val="00C56A22"/>
    <w:rsid w:val="00C63A32"/>
    <w:rsid w:val="00C63FA6"/>
    <w:rsid w:val="00C643B3"/>
    <w:rsid w:val="00C649F2"/>
    <w:rsid w:val="00C64B2D"/>
    <w:rsid w:val="00C72E6A"/>
    <w:rsid w:val="00C74A25"/>
    <w:rsid w:val="00C7718F"/>
    <w:rsid w:val="00C7783A"/>
    <w:rsid w:val="00C81B8C"/>
    <w:rsid w:val="00C869DC"/>
    <w:rsid w:val="00C9539B"/>
    <w:rsid w:val="00C95481"/>
    <w:rsid w:val="00CA4504"/>
    <w:rsid w:val="00CB02C4"/>
    <w:rsid w:val="00CB37EC"/>
    <w:rsid w:val="00CB692A"/>
    <w:rsid w:val="00CC406E"/>
    <w:rsid w:val="00CD0DF0"/>
    <w:rsid w:val="00CD356C"/>
    <w:rsid w:val="00CD38FD"/>
    <w:rsid w:val="00CE5E7B"/>
    <w:rsid w:val="00CF437F"/>
    <w:rsid w:val="00D00580"/>
    <w:rsid w:val="00D12903"/>
    <w:rsid w:val="00D14038"/>
    <w:rsid w:val="00D23BE0"/>
    <w:rsid w:val="00D23F9C"/>
    <w:rsid w:val="00D24574"/>
    <w:rsid w:val="00D2511F"/>
    <w:rsid w:val="00D27EF8"/>
    <w:rsid w:val="00D32738"/>
    <w:rsid w:val="00D33A21"/>
    <w:rsid w:val="00D3558F"/>
    <w:rsid w:val="00D5055D"/>
    <w:rsid w:val="00D5157D"/>
    <w:rsid w:val="00D52A20"/>
    <w:rsid w:val="00D601E4"/>
    <w:rsid w:val="00D66527"/>
    <w:rsid w:val="00D76048"/>
    <w:rsid w:val="00D813E7"/>
    <w:rsid w:val="00D82A5D"/>
    <w:rsid w:val="00D84EB9"/>
    <w:rsid w:val="00D85C0D"/>
    <w:rsid w:val="00D9739B"/>
    <w:rsid w:val="00DA5B11"/>
    <w:rsid w:val="00DB0CF1"/>
    <w:rsid w:val="00DB147E"/>
    <w:rsid w:val="00DC3349"/>
    <w:rsid w:val="00DC436E"/>
    <w:rsid w:val="00DD0BBC"/>
    <w:rsid w:val="00DD23BC"/>
    <w:rsid w:val="00DD40DC"/>
    <w:rsid w:val="00DD791F"/>
    <w:rsid w:val="00DE1383"/>
    <w:rsid w:val="00DF14D7"/>
    <w:rsid w:val="00DF5DF3"/>
    <w:rsid w:val="00DF6779"/>
    <w:rsid w:val="00DF7C9B"/>
    <w:rsid w:val="00E01B50"/>
    <w:rsid w:val="00E0690D"/>
    <w:rsid w:val="00E11478"/>
    <w:rsid w:val="00E117B2"/>
    <w:rsid w:val="00E11912"/>
    <w:rsid w:val="00E12F77"/>
    <w:rsid w:val="00E14BB7"/>
    <w:rsid w:val="00E154DA"/>
    <w:rsid w:val="00E25292"/>
    <w:rsid w:val="00E25721"/>
    <w:rsid w:val="00E27418"/>
    <w:rsid w:val="00E34000"/>
    <w:rsid w:val="00E618D1"/>
    <w:rsid w:val="00E759EC"/>
    <w:rsid w:val="00E76FA9"/>
    <w:rsid w:val="00E77542"/>
    <w:rsid w:val="00E87C1C"/>
    <w:rsid w:val="00E924C3"/>
    <w:rsid w:val="00EA2784"/>
    <w:rsid w:val="00EA2D0A"/>
    <w:rsid w:val="00EA3B6B"/>
    <w:rsid w:val="00EA617D"/>
    <w:rsid w:val="00EA7C7C"/>
    <w:rsid w:val="00EB570D"/>
    <w:rsid w:val="00EB6BA1"/>
    <w:rsid w:val="00EC175D"/>
    <w:rsid w:val="00ED1E46"/>
    <w:rsid w:val="00ED5402"/>
    <w:rsid w:val="00EF2E22"/>
    <w:rsid w:val="00EF703F"/>
    <w:rsid w:val="00F047C6"/>
    <w:rsid w:val="00F05807"/>
    <w:rsid w:val="00F14770"/>
    <w:rsid w:val="00F1577E"/>
    <w:rsid w:val="00F21F44"/>
    <w:rsid w:val="00F23F83"/>
    <w:rsid w:val="00F31190"/>
    <w:rsid w:val="00F32692"/>
    <w:rsid w:val="00F33780"/>
    <w:rsid w:val="00F34725"/>
    <w:rsid w:val="00F34770"/>
    <w:rsid w:val="00F41809"/>
    <w:rsid w:val="00F45EAC"/>
    <w:rsid w:val="00F54BD1"/>
    <w:rsid w:val="00F5563C"/>
    <w:rsid w:val="00F55EF8"/>
    <w:rsid w:val="00F7271D"/>
    <w:rsid w:val="00F7625A"/>
    <w:rsid w:val="00F828F1"/>
    <w:rsid w:val="00FC0B61"/>
    <w:rsid w:val="00FD1AF7"/>
    <w:rsid w:val="00FD1B61"/>
    <w:rsid w:val="00FD3F6C"/>
    <w:rsid w:val="00FE518C"/>
    <w:rsid w:val="00FF36F0"/>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3C7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uiPriority w:val="99"/>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uiPriority w:val="99"/>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uiPriority w:val="99"/>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uiPriority w:val="99"/>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uiPriority w:val="99"/>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uiPriority w:val="99"/>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246">
      <w:marLeft w:val="0"/>
      <w:marRight w:val="0"/>
      <w:marTop w:val="0"/>
      <w:marBottom w:val="0"/>
      <w:divBdr>
        <w:top w:val="none" w:sz="0" w:space="0" w:color="auto"/>
        <w:left w:val="none" w:sz="0" w:space="0" w:color="auto"/>
        <w:bottom w:val="none" w:sz="0" w:space="0" w:color="auto"/>
        <w:right w:val="none" w:sz="0" w:space="0" w:color="auto"/>
      </w:divBdr>
    </w:div>
    <w:div w:id="356079247">
      <w:marLeft w:val="0"/>
      <w:marRight w:val="0"/>
      <w:marTop w:val="0"/>
      <w:marBottom w:val="0"/>
      <w:divBdr>
        <w:top w:val="none" w:sz="0" w:space="0" w:color="auto"/>
        <w:left w:val="none" w:sz="0" w:space="0" w:color="auto"/>
        <w:bottom w:val="none" w:sz="0" w:space="0" w:color="auto"/>
        <w:right w:val="none" w:sz="0" w:space="0" w:color="auto"/>
      </w:divBdr>
    </w:div>
    <w:div w:id="356079248">
      <w:marLeft w:val="0"/>
      <w:marRight w:val="0"/>
      <w:marTop w:val="0"/>
      <w:marBottom w:val="0"/>
      <w:divBdr>
        <w:top w:val="none" w:sz="0" w:space="0" w:color="auto"/>
        <w:left w:val="none" w:sz="0" w:space="0" w:color="auto"/>
        <w:bottom w:val="none" w:sz="0" w:space="0" w:color="auto"/>
        <w:right w:val="none" w:sz="0" w:space="0" w:color="auto"/>
      </w:divBdr>
    </w:div>
    <w:div w:id="356079249">
      <w:marLeft w:val="0"/>
      <w:marRight w:val="0"/>
      <w:marTop w:val="0"/>
      <w:marBottom w:val="0"/>
      <w:divBdr>
        <w:top w:val="none" w:sz="0" w:space="0" w:color="auto"/>
        <w:left w:val="none" w:sz="0" w:space="0" w:color="auto"/>
        <w:bottom w:val="none" w:sz="0" w:space="0" w:color="auto"/>
        <w:right w:val="none" w:sz="0" w:space="0" w:color="auto"/>
      </w:divBdr>
    </w:div>
    <w:div w:id="356079250">
      <w:marLeft w:val="0"/>
      <w:marRight w:val="0"/>
      <w:marTop w:val="0"/>
      <w:marBottom w:val="0"/>
      <w:divBdr>
        <w:top w:val="none" w:sz="0" w:space="0" w:color="auto"/>
        <w:left w:val="none" w:sz="0" w:space="0" w:color="auto"/>
        <w:bottom w:val="none" w:sz="0" w:space="0" w:color="auto"/>
        <w:right w:val="none" w:sz="0" w:space="0" w:color="auto"/>
      </w:divBdr>
    </w:div>
    <w:div w:id="356079252">
      <w:marLeft w:val="0"/>
      <w:marRight w:val="0"/>
      <w:marTop w:val="0"/>
      <w:marBottom w:val="0"/>
      <w:divBdr>
        <w:top w:val="none" w:sz="0" w:space="0" w:color="auto"/>
        <w:left w:val="none" w:sz="0" w:space="0" w:color="auto"/>
        <w:bottom w:val="none" w:sz="0" w:space="0" w:color="auto"/>
        <w:right w:val="none" w:sz="0" w:space="0" w:color="auto"/>
      </w:divBdr>
    </w:div>
    <w:div w:id="356079254">
      <w:marLeft w:val="0"/>
      <w:marRight w:val="0"/>
      <w:marTop w:val="0"/>
      <w:marBottom w:val="0"/>
      <w:divBdr>
        <w:top w:val="none" w:sz="0" w:space="0" w:color="auto"/>
        <w:left w:val="none" w:sz="0" w:space="0" w:color="auto"/>
        <w:bottom w:val="none" w:sz="0" w:space="0" w:color="auto"/>
        <w:right w:val="none" w:sz="0" w:space="0" w:color="auto"/>
      </w:divBdr>
    </w:div>
    <w:div w:id="356079256">
      <w:marLeft w:val="30"/>
      <w:marRight w:val="30"/>
      <w:marTop w:val="30"/>
      <w:marBottom w:val="30"/>
      <w:divBdr>
        <w:top w:val="none" w:sz="0" w:space="0" w:color="auto"/>
        <w:left w:val="none" w:sz="0" w:space="0" w:color="auto"/>
        <w:bottom w:val="none" w:sz="0" w:space="0" w:color="auto"/>
        <w:right w:val="none" w:sz="0" w:space="0" w:color="auto"/>
      </w:divBdr>
      <w:divsChild>
        <w:div w:id="356079251">
          <w:marLeft w:val="0"/>
          <w:marRight w:val="0"/>
          <w:marTop w:val="0"/>
          <w:marBottom w:val="0"/>
          <w:divBdr>
            <w:top w:val="none" w:sz="0" w:space="0" w:color="auto"/>
            <w:left w:val="none" w:sz="0" w:space="0" w:color="auto"/>
            <w:bottom w:val="none" w:sz="0" w:space="0" w:color="auto"/>
            <w:right w:val="none" w:sz="0" w:space="0" w:color="auto"/>
          </w:divBdr>
          <w:divsChild>
            <w:div w:id="356079259">
              <w:marLeft w:val="45"/>
              <w:marRight w:val="45"/>
              <w:marTop w:val="45"/>
              <w:marBottom w:val="45"/>
              <w:divBdr>
                <w:top w:val="none" w:sz="0" w:space="0" w:color="auto"/>
                <w:left w:val="none" w:sz="0" w:space="0" w:color="auto"/>
                <w:bottom w:val="none" w:sz="0" w:space="0" w:color="auto"/>
                <w:right w:val="none" w:sz="0" w:space="0" w:color="auto"/>
              </w:divBdr>
              <w:divsChild>
                <w:div w:id="356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257">
      <w:marLeft w:val="0"/>
      <w:marRight w:val="0"/>
      <w:marTop w:val="0"/>
      <w:marBottom w:val="0"/>
      <w:divBdr>
        <w:top w:val="none" w:sz="0" w:space="0" w:color="auto"/>
        <w:left w:val="none" w:sz="0" w:space="0" w:color="auto"/>
        <w:bottom w:val="none" w:sz="0" w:space="0" w:color="auto"/>
        <w:right w:val="none" w:sz="0" w:space="0" w:color="auto"/>
      </w:divBdr>
    </w:div>
    <w:div w:id="356079258">
      <w:marLeft w:val="0"/>
      <w:marRight w:val="0"/>
      <w:marTop w:val="0"/>
      <w:marBottom w:val="0"/>
      <w:divBdr>
        <w:top w:val="none" w:sz="0" w:space="0" w:color="auto"/>
        <w:left w:val="none" w:sz="0" w:space="0" w:color="auto"/>
        <w:bottom w:val="none" w:sz="0" w:space="0" w:color="auto"/>
        <w:right w:val="none" w:sz="0" w:space="0" w:color="auto"/>
      </w:divBdr>
      <w:divsChild>
        <w:div w:id="356079260">
          <w:marLeft w:val="0"/>
          <w:marRight w:val="0"/>
          <w:marTop w:val="0"/>
          <w:marBottom w:val="0"/>
          <w:divBdr>
            <w:top w:val="none" w:sz="0" w:space="0" w:color="auto"/>
            <w:left w:val="none" w:sz="0" w:space="0" w:color="auto"/>
            <w:bottom w:val="none" w:sz="0" w:space="0" w:color="auto"/>
            <w:right w:val="none" w:sz="0" w:space="0" w:color="auto"/>
          </w:divBdr>
          <w:divsChild>
            <w:div w:id="356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61">
      <w:marLeft w:val="0"/>
      <w:marRight w:val="0"/>
      <w:marTop w:val="0"/>
      <w:marBottom w:val="0"/>
      <w:divBdr>
        <w:top w:val="none" w:sz="0" w:space="0" w:color="auto"/>
        <w:left w:val="none" w:sz="0" w:space="0" w:color="auto"/>
        <w:bottom w:val="none" w:sz="0" w:space="0" w:color="auto"/>
        <w:right w:val="none" w:sz="0" w:space="0" w:color="auto"/>
      </w:divBdr>
    </w:div>
    <w:div w:id="356079262">
      <w:marLeft w:val="0"/>
      <w:marRight w:val="0"/>
      <w:marTop w:val="0"/>
      <w:marBottom w:val="0"/>
      <w:divBdr>
        <w:top w:val="none" w:sz="0" w:space="0" w:color="auto"/>
        <w:left w:val="none" w:sz="0" w:space="0" w:color="auto"/>
        <w:bottom w:val="none" w:sz="0" w:space="0" w:color="auto"/>
        <w:right w:val="none" w:sz="0" w:space="0" w:color="auto"/>
      </w:divBdr>
    </w:div>
    <w:div w:id="356079263">
      <w:marLeft w:val="0"/>
      <w:marRight w:val="0"/>
      <w:marTop w:val="0"/>
      <w:marBottom w:val="0"/>
      <w:divBdr>
        <w:top w:val="none" w:sz="0" w:space="0" w:color="auto"/>
        <w:left w:val="none" w:sz="0" w:space="0" w:color="auto"/>
        <w:bottom w:val="none" w:sz="0" w:space="0" w:color="auto"/>
        <w:right w:val="none" w:sz="0" w:space="0" w:color="auto"/>
      </w:divBdr>
    </w:div>
    <w:div w:id="791483277">
      <w:bodyDiv w:val="1"/>
      <w:marLeft w:val="0"/>
      <w:marRight w:val="0"/>
      <w:marTop w:val="0"/>
      <w:marBottom w:val="0"/>
      <w:divBdr>
        <w:top w:val="none" w:sz="0" w:space="0" w:color="auto"/>
        <w:left w:val="none" w:sz="0" w:space="0" w:color="auto"/>
        <w:bottom w:val="none" w:sz="0" w:space="0" w:color="auto"/>
        <w:right w:val="none" w:sz="0" w:space="0" w:color="auto"/>
      </w:divBdr>
    </w:div>
    <w:div w:id="1463770203">
      <w:bodyDiv w:val="1"/>
      <w:marLeft w:val="0"/>
      <w:marRight w:val="0"/>
      <w:marTop w:val="0"/>
      <w:marBottom w:val="0"/>
      <w:divBdr>
        <w:top w:val="none" w:sz="0" w:space="0" w:color="auto"/>
        <w:left w:val="none" w:sz="0" w:space="0" w:color="auto"/>
        <w:bottom w:val="none" w:sz="0" w:space="0" w:color="auto"/>
        <w:right w:val="none" w:sz="0" w:space="0" w:color="auto"/>
      </w:divBdr>
    </w:div>
    <w:div w:id="1648238890">
      <w:bodyDiv w:val="1"/>
      <w:marLeft w:val="0"/>
      <w:marRight w:val="0"/>
      <w:marTop w:val="0"/>
      <w:marBottom w:val="0"/>
      <w:divBdr>
        <w:top w:val="none" w:sz="0" w:space="0" w:color="auto"/>
        <w:left w:val="none" w:sz="0" w:space="0" w:color="auto"/>
        <w:bottom w:val="none" w:sz="0" w:space="0" w:color="auto"/>
        <w:right w:val="none" w:sz="0" w:space="0" w:color="auto"/>
      </w:divBdr>
    </w:div>
    <w:div w:id="20455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ignalboosterregistration.com/" TargetMode="External"/><Relationship Id="rId2" Type="http://schemas.openxmlformats.org/officeDocument/2006/relationships/hyperlink" Target="https://www.sprint.com/legal/fcc_boosters.html" TargetMode="External"/><Relationship Id="rId1" Type="http://schemas.openxmlformats.org/officeDocument/2006/relationships/hyperlink" Target="https://securec45.securewebsession.com/attsignalboost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6144</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2016-02-29T15:17:00Z</dcterms:created>
  <dcterms:modified xsi:type="dcterms:W3CDTF">2016-02-29T15:17:00Z</dcterms:modified>
  <cp:category> </cp:category>
  <cp:contentStatus> </cp:contentStatus>
</cp:coreProperties>
</file>