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E7E" w:rsidRDefault="00741E7E" w:rsidP="00B762BA">
      <w:pPr>
        <w:pStyle w:val="Title"/>
      </w:pPr>
      <w:bookmarkStart w:id="0" w:name="_GoBack"/>
      <w:bookmarkEnd w:id="0"/>
      <w:r>
        <w:t>Before the</w:t>
      </w:r>
    </w:p>
    <w:p w:rsidR="00B762BA" w:rsidRDefault="00B762BA" w:rsidP="00B762BA">
      <w:pPr>
        <w:pStyle w:val="Title"/>
      </w:pPr>
      <w:r>
        <w:t>Federal Communications Commission</w:t>
      </w:r>
    </w:p>
    <w:p w:rsidR="00B762BA" w:rsidRDefault="00B762BA" w:rsidP="00B762BA">
      <w:pPr>
        <w:pStyle w:val="Title"/>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p>
    <w:p w:rsidR="00B762BA" w:rsidRPr="009D6463" w:rsidRDefault="00B762BA" w:rsidP="00B762BA">
      <w:pPr>
        <w:tabs>
          <w:tab w:val="left" w:pos="-720"/>
        </w:tabs>
        <w:suppressAutoHyphens/>
        <w:spacing w:line="227" w:lineRule="auto"/>
        <w:rPr>
          <w:spacing w:val="-2"/>
        </w:rPr>
      </w:pPr>
    </w:p>
    <w:tbl>
      <w:tblPr>
        <w:tblW w:w="0" w:type="auto"/>
        <w:tblLayout w:type="fixed"/>
        <w:tblLook w:val="0000" w:firstRow="0" w:lastRow="0" w:firstColumn="0" w:lastColumn="0" w:noHBand="0" w:noVBand="0"/>
      </w:tblPr>
      <w:tblGrid>
        <w:gridCol w:w="4698"/>
        <w:gridCol w:w="630"/>
        <w:gridCol w:w="4248"/>
      </w:tblGrid>
      <w:tr w:rsidR="00B762BA" w:rsidRPr="009D6463">
        <w:tc>
          <w:tcPr>
            <w:tcW w:w="4698" w:type="dxa"/>
          </w:tcPr>
          <w:p w:rsidR="00B762BA" w:rsidRPr="009D6463" w:rsidRDefault="0030146C" w:rsidP="0064116A">
            <w:pPr>
              <w:tabs>
                <w:tab w:val="center" w:pos="4680"/>
              </w:tabs>
              <w:suppressAutoHyphens/>
              <w:rPr>
                <w:spacing w:val="-2"/>
              </w:rPr>
            </w:pPr>
            <w:r w:rsidRPr="009D6463">
              <w:rPr>
                <w:spacing w:val="-2"/>
              </w:rPr>
              <w:t>In the Matter of</w:t>
            </w:r>
          </w:p>
          <w:p w:rsidR="00B762BA" w:rsidRPr="009D6463" w:rsidRDefault="00B762BA" w:rsidP="0064116A">
            <w:pPr>
              <w:tabs>
                <w:tab w:val="center" w:pos="4680"/>
              </w:tabs>
              <w:suppressAutoHyphens/>
              <w:rPr>
                <w:spacing w:val="-2"/>
              </w:rPr>
            </w:pPr>
          </w:p>
          <w:p w:rsidR="000901AE" w:rsidRPr="009D6463" w:rsidRDefault="000901AE" w:rsidP="0064116A">
            <w:pPr>
              <w:pStyle w:val="BodyText"/>
              <w:numPr>
                <w:ilvl w:val="0"/>
                <w:numId w:val="0"/>
              </w:numPr>
            </w:pPr>
            <w:r w:rsidRPr="009D6463">
              <w:t xml:space="preserve">Comcast Cable Communications, LLC               </w:t>
            </w:r>
          </w:p>
          <w:p w:rsidR="00AE39AF" w:rsidRPr="009D6463" w:rsidRDefault="00AE39AF" w:rsidP="0064116A">
            <w:pPr>
              <w:pStyle w:val="BodyText"/>
              <w:numPr>
                <w:ilvl w:val="0"/>
                <w:numId w:val="0"/>
              </w:numPr>
            </w:pPr>
          </w:p>
          <w:p w:rsidR="00B762BA" w:rsidRPr="009D6463" w:rsidRDefault="00B762BA" w:rsidP="00A01D85">
            <w:pPr>
              <w:pStyle w:val="BodyText"/>
              <w:numPr>
                <w:ilvl w:val="0"/>
                <w:numId w:val="0"/>
              </w:numPr>
            </w:pPr>
            <w:r w:rsidRPr="009D6463">
              <w:t xml:space="preserve">Petition for Determination of Effective Competition in </w:t>
            </w:r>
            <w:r w:rsidR="00A01D85">
              <w:t>Communities in</w:t>
            </w:r>
            <w:r w:rsidR="00A55D3B">
              <w:t xml:space="preserve"> </w:t>
            </w:r>
            <w:r w:rsidR="000901AE" w:rsidRPr="009D6463">
              <w:t>Washington</w:t>
            </w:r>
          </w:p>
        </w:tc>
        <w:tc>
          <w:tcPr>
            <w:tcW w:w="630" w:type="dxa"/>
          </w:tcPr>
          <w:p w:rsidR="00B762BA" w:rsidRPr="009D6463" w:rsidRDefault="00B762BA" w:rsidP="0064116A">
            <w:pPr>
              <w:tabs>
                <w:tab w:val="center" w:pos="4680"/>
              </w:tabs>
              <w:suppressAutoHyphens/>
              <w:rPr>
                <w:b/>
                <w:spacing w:val="-2"/>
              </w:rPr>
            </w:pPr>
            <w:r w:rsidRPr="009D6463">
              <w:rPr>
                <w:b/>
                <w:spacing w:val="-2"/>
              </w:rPr>
              <w:t>)</w:t>
            </w:r>
          </w:p>
          <w:p w:rsidR="00B762BA" w:rsidRPr="009D6463" w:rsidRDefault="00B762BA" w:rsidP="0064116A">
            <w:pPr>
              <w:tabs>
                <w:tab w:val="center" w:pos="4680"/>
              </w:tabs>
              <w:suppressAutoHyphens/>
              <w:rPr>
                <w:b/>
                <w:spacing w:val="-2"/>
              </w:rPr>
            </w:pPr>
            <w:r w:rsidRPr="009D6463">
              <w:rPr>
                <w:b/>
                <w:spacing w:val="-2"/>
              </w:rPr>
              <w:t>)</w:t>
            </w:r>
          </w:p>
          <w:p w:rsidR="00B762BA" w:rsidRPr="009D6463" w:rsidRDefault="00B762BA" w:rsidP="0064116A">
            <w:pPr>
              <w:tabs>
                <w:tab w:val="center" w:pos="4680"/>
              </w:tabs>
              <w:suppressAutoHyphens/>
              <w:rPr>
                <w:b/>
                <w:spacing w:val="-2"/>
              </w:rPr>
            </w:pPr>
            <w:r w:rsidRPr="009D6463">
              <w:rPr>
                <w:b/>
                <w:spacing w:val="-2"/>
              </w:rPr>
              <w:t>)</w:t>
            </w:r>
          </w:p>
          <w:p w:rsidR="00B762BA" w:rsidRPr="009D6463" w:rsidRDefault="00B762BA" w:rsidP="0064116A">
            <w:pPr>
              <w:tabs>
                <w:tab w:val="center" w:pos="4680"/>
              </w:tabs>
              <w:suppressAutoHyphens/>
              <w:rPr>
                <w:b/>
                <w:spacing w:val="-2"/>
              </w:rPr>
            </w:pPr>
            <w:r w:rsidRPr="009D6463">
              <w:rPr>
                <w:b/>
                <w:spacing w:val="-2"/>
              </w:rPr>
              <w:t>)</w:t>
            </w:r>
          </w:p>
          <w:p w:rsidR="00B762BA" w:rsidRPr="009D6463" w:rsidRDefault="00B762BA" w:rsidP="0064116A">
            <w:pPr>
              <w:tabs>
                <w:tab w:val="center" w:pos="4680"/>
              </w:tabs>
              <w:suppressAutoHyphens/>
              <w:rPr>
                <w:b/>
                <w:spacing w:val="-2"/>
              </w:rPr>
            </w:pPr>
            <w:r w:rsidRPr="009D6463">
              <w:rPr>
                <w:b/>
                <w:spacing w:val="-2"/>
              </w:rPr>
              <w:t>)</w:t>
            </w:r>
          </w:p>
          <w:p w:rsidR="00AE39AF" w:rsidRPr="009D6463" w:rsidRDefault="00B762BA" w:rsidP="0064116A">
            <w:pPr>
              <w:tabs>
                <w:tab w:val="center" w:pos="4680"/>
              </w:tabs>
              <w:suppressAutoHyphens/>
              <w:rPr>
                <w:b/>
                <w:spacing w:val="-2"/>
              </w:rPr>
            </w:pPr>
            <w:r w:rsidRPr="009D6463">
              <w:rPr>
                <w:b/>
                <w:spacing w:val="-2"/>
              </w:rPr>
              <w:t>)</w:t>
            </w:r>
          </w:p>
        </w:tc>
        <w:tc>
          <w:tcPr>
            <w:tcW w:w="4248" w:type="dxa"/>
          </w:tcPr>
          <w:p w:rsidR="00B762BA" w:rsidRPr="009D6463" w:rsidRDefault="00B762BA" w:rsidP="0064116A">
            <w:pPr>
              <w:tabs>
                <w:tab w:val="center" w:pos="4680"/>
              </w:tabs>
              <w:suppressAutoHyphens/>
              <w:rPr>
                <w:spacing w:val="-2"/>
              </w:rPr>
            </w:pPr>
          </w:p>
          <w:p w:rsidR="00B762BA" w:rsidRPr="009D6463" w:rsidRDefault="00B762BA" w:rsidP="0064116A">
            <w:pPr>
              <w:tabs>
                <w:tab w:val="center" w:pos="4680"/>
              </w:tabs>
              <w:suppressAutoHyphens/>
              <w:rPr>
                <w:spacing w:val="-2"/>
              </w:rPr>
            </w:pPr>
          </w:p>
          <w:p w:rsidR="00B762BA" w:rsidRPr="009D6463" w:rsidRDefault="009D6463" w:rsidP="0064116A">
            <w:pPr>
              <w:tabs>
                <w:tab w:val="center" w:pos="4680"/>
              </w:tabs>
              <w:suppressAutoHyphens/>
              <w:rPr>
                <w:spacing w:val="-2"/>
              </w:rPr>
            </w:pPr>
            <w:r>
              <w:rPr>
                <w:spacing w:val="-2"/>
              </w:rPr>
              <w:t>MB Docket No. 13-</w:t>
            </w:r>
            <w:r w:rsidR="00EC54D6">
              <w:rPr>
                <w:spacing w:val="-2"/>
              </w:rPr>
              <w:t>198</w:t>
            </w:r>
            <w:r w:rsidR="009C08CA" w:rsidRPr="009D6463">
              <w:rPr>
                <w:spacing w:val="-2"/>
              </w:rPr>
              <w:t xml:space="preserve">, </w:t>
            </w:r>
            <w:r w:rsidR="006B37EA" w:rsidRPr="009D6463">
              <w:rPr>
                <w:spacing w:val="-2"/>
              </w:rPr>
              <w:t xml:space="preserve">CSR </w:t>
            </w:r>
            <w:r w:rsidR="00EC54D6">
              <w:rPr>
                <w:spacing w:val="-2"/>
              </w:rPr>
              <w:t>8821</w:t>
            </w:r>
            <w:r w:rsidR="009C08CA" w:rsidRPr="009D6463">
              <w:rPr>
                <w:spacing w:val="-2"/>
              </w:rPr>
              <w:t>-E</w:t>
            </w:r>
          </w:p>
          <w:p w:rsidR="00B762BA" w:rsidRPr="009D6463" w:rsidRDefault="00B762BA" w:rsidP="0064116A">
            <w:pPr>
              <w:tabs>
                <w:tab w:val="center" w:pos="4680"/>
              </w:tabs>
              <w:suppressAutoHyphens/>
              <w:rPr>
                <w:spacing w:val="-2"/>
              </w:rPr>
            </w:pPr>
          </w:p>
          <w:p w:rsidR="00B762BA" w:rsidRPr="009D6463" w:rsidRDefault="00B762BA" w:rsidP="0064116A">
            <w:pPr>
              <w:pStyle w:val="EndnoteText"/>
              <w:tabs>
                <w:tab w:val="center" w:pos="4680"/>
              </w:tabs>
              <w:suppressAutoHyphens/>
              <w:spacing w:after="0"/>
              <w:rPr>
                <w:spacing w:val="-2"/>
              </w:rPr>
            </w:pPr>
          </w:p>
        </w:tc>
      </w:tr>
    </w:tbl>
    <w:p w:rsidR="00B762BA" w:rsidRDefault="00B762BA" w:rsidP="00B762BA">
      <w:pPr>
        <w:tabs>
          <w:tab w:val="left" w:pos="-720"/>
        </w:tabs>
        <w:suppressAutoHyphens/>
        <w:spacing w:line="227" w:lineRule="auto"/>
        <w:rPr>
          <w:spacing w:val="-2"/>
        </w:rPr>
      </w:pPr>
    </w:p>
    <w:p w:rsidR="00B762BA" w:rsidRDefault="00B762BA" w:rsidP="00B762BA">
      <w:pPr>
        <w:pStyle w:val="Title"/>
      </w:pPr>
      <w:r>
        <w:fldChar w:fldCharType="begin"/>
      </w:r>
      <w:r>
        <w:instrText xml:space="preserve"> AUTOTEXTLIST  \* MERGEFORMAT </w:instrText>
      </w:r>
      <w:r>
        <w:fldChar w:fldCharType="separate"/>
      </w:r>
      <w:r>
        <w:t>MEMORANDUM OPINION AND ORDER</w:t>
      </w:r>
      <w:r>
        <w:fldChar w:fldCharType="end"/>
      </w:r>
    </w:p>
    <w:p w:rsidR="00B762BA" w:rsidRPr="009D6463" w:rsidRDefault="00B762BA" w:rsidP="00B762BA">
      <w:pPr>
        <w:pStyle w:val="FootnoteText"/>
      </w:pPr>
    </w:p>
    <w:p w:rsidR="00B762BA" w:rsidRPr="009D6463" w:rsidRDefault="00B762BA" w:rsidP="00B762BA">
      <w:pPr>
        <w:tabs>
          <w:tab w:val="left" w:pos="720"/>
          <w:tab w:val="left" w:pos="5760"/>
        </w:tabs>
        <w:suppressAutoHyphens/>
        <w:spacing w:line="227" w:lineRule="auto"/>
        <w:rPr>
          <w:b/>
          <w:spacing w:val="-2"/>
        </w:rPr>
      </w:pPr>
      <w:r w:rsidRPr="009D6463">
        <w:rPr>
          <w:b/>
          <w:spacing w:val="-2"/>
        </w:rPr>
        <w:t xml:space="preserve">Adopted:  </w:t>
      </w:r>
      <w:r w:rsidR="00F4723E">
        <w:rPr>
          <w:b/>
          <w:spacing w:val="-2"/>
        </w:rPr>
        <w:t>February 29</w:t>
      </w:r>
      <w:r w:rsidRPr="009D6463">
        <w:rPr>
          <w:b/>
          <w:spacing w:val="-2"/>
        </w:rPr>
        <w:t>, 20</w:t>
      </w:r>
      <w:r w:rsidR="00A31462" w:rsidRPr="009D6463">
        <w:rPr>
          <w:b/>
          <w:spacing w:val="-2"/>
        </w:rPr>
        <w:t>1</w:t>
      </w:r>
      <w:r w:rsidR="00C46C6A">
        <w:rPr>
          <w:b/>
          <w:spacing w:val="-2"/>
        </w:rPr>
        <w:t>6</w:t>
      </w:r>
      <w:r w:rsidR="002A4B5F" w:rsidRPr="009D6463">
        <w:rPr>
          <w:b/>
          <w:spacing w:val="-2"/>
        </w:rPr>
        <w:tab/>
      </w:r>
      <w:r w:rsidR="00A31462" w:rsidRPr="009D6463">
        <w:rPr>
          <w:b/>
          <w:spacing w:val="-2"/>
        </w:rPr>
        <w:t xml:space="preserve">                  </w:t>
      </w:r>
      <w:r w:rsidR="00F4723E">
        <w:rPr>
          <w:b/>
          <w:spacing w:val="-2"/>
        </w:rPr>
        <w:t xml:space="preserve">      </w:t>
      </w:r>
      <w:r w:rsidR="002A4B5F" w:rsidRPr="009D6463">
        <w:rPr>
          <w:b/>
          <w:spacing w:val="-2"/>
        </w:rPr>
        <w:t>Released:</w:t>
      </w:r>
      <w:r w:rsidR="00155B12" w:rsidRPr="009D6463">
        <w:rPr>
          <w:b/>
          <w:spacing w:val="-2"/>
        </w:rPr>
        <w:t xml:space="preserve"> </w:t>
      </w:r>
      <w:r w:rsidR="002A4B5F" w:rsidRPr="009D6463">
        <w:rPr>
          <w:b/>
          <w:spacing w:val="-2"/>
        </w:rPr>
        <w:t xml:space="preserve"> </w:t>
      </w:r>
      <w:r w:rsidR="00215B13">
        <w:rPr>
          <w:b/>
          <w:spacing w:val="-2"/>
        </w:rPr>
        <w:t>March 2</w:t>
      </w:r>
      <w:r w:rsidR="002A4B5F" w:rsidRPr="009D6463">
        <w:rPr>
          <w:b/>
          <w:spacing w:val="-2"/>
        </w:rPr>
        <w:t>, 20</w:t>
      </w:r>
      <w:r w:rsidR="00A31462" w:rsidRPr="009D6463">
        <w:rPr>
          <w:b/>
          <w:spacing w:val="-2"/>
        </w:rPr>
        <w:t>1</w:t>
      </w:r>
      <w:r w:rsidR="00C46C6A">
        <w:rPr>
          <w:b/>
          <w:spacing w:val="-2"/>
        </w:rPr>
        <w:t>6</w:t>
      </w:r>
    </w:p>
    <w:p w:rsidR="00B762BA" w:rsidRDefault="00606852" w:rsidP="00606852">
      <w:pPr>
        <w:tabs>
          <w:tab w:val="left" w:pos="6780"/>
        </w:tabs>
      </w:pPr>
      <w:r>
        <w:tab/>
      </w:r>
    </w:p>
    <w:p w:rsidR="00B762BA" w:rsidRDefault="00B762BA" w:rsidP="00B45439">
      <w:pPr>
        <w:rPr>
          <w:spacing w:val="-2"/>
        </w:rPr>
      </w:pPr>
      <w:r>
        <w:t xml:space="preserve">By the </w:t>
      </w:r>
      <w:r w:rsidR="002A4B5F">
        <w:t xml:space="preserve">Senior </w:t>
      </w:r>
      <w:r>
        <w:rPr>
          <w:spacing w:val="-2"/>
        </w:rPr>
        <w:t>Deputy Chief, Policy Division, Media Bureau:</w:t>
      </w:r>
    </w:p>
    <w:p w:rsidR="00B762BA" w:rsidRDefault="00B762BA" w:rsidP="00B45439">
      <w:pPr>
        <w:rPr>
          <w:spacing w:val="-2"/>
        </w:rPr>
      </w:pPr>
    </w:p>
    <w:p w:rsidR="00B762BA" w:rsidRDefault="00B762BA" w:rsidP="004D3B38">
      <w:pPr>
        <w:pStyle w:val="Heading1"/>
      </w:pPr>
      <w:r>
        <w:t>introduction</w:t>
      </w:r>
      <w:r w:rsidR="00252D6A">
        <w:t xml:space="preserve"> and Background</w:t>
      </w:r>
    </w:p>
    <w:p w:rsidR="00B762BA" w:rsidRDefault="009D6463" w:rsidP="004D5459">
      <w:pPr>
        <w:pStyle w:val="ParaNum"/>
        <w:jc w:val="left"/>
      </w:pPr>
      <w:r w:rsidRPr="009D6463">
        <w:t>Comcast Cable Communications, LLC</w:t>
      </w:r>
      <w:r w:rsidR="00461E36">
        <w:t>,</w:t>
      </w:r>
      <w:r w:rsidR="0081329B">
        <w:t xml:space="preserve"> </w:t>
      </w:r>
      <w:r w:rsidR="00A01D85">
        <w:t>(Comcast</w:t>
      </w:r>
      <w:r>
        <w:t xml:space="preserve"> or </w:t>
      </w:r>
      <w:r w:rsidR="0081329B">
        <w:t>Petitioner</w:t>
      </w:r>
      <w:r w:rsidR="00A01D85">
        <w:t>)</w:t>
      </w:r>
      <w:r w:rsidR="00B762BA">
        <w:t xml:space="preserve"> has filed with the Commission </w:t>
      </w:r>
      <w:r w:rsidR="00B762BA" w:rsidRPr="00C1697C">
        <w:t>a petition</w:t>
      </w:r>
      <w:r w:rsidR="00576D94">
        <w:rPr>
          <w:rStyle w:val="FootnoteReference"/>
        </w:rPr>
        <w:footnoteReference w:id="2"/>
      </w:r>
      <w:r w:rsidR="00B762BA" w:rsidRPr="00AC5824">
        <w:rPr>
          <w:color w:val="FF0000"/>
        </w:rPr>
        <w:t xml:space="preserve"> </w:t>
      </w:r>
      <w:r w:rsidR="00B762BA" w:rsidRPr="00C1697C">
        <w:t>pursuant</w:t>
      </w:r>
      <w:r w:rsidR="00B762BA">
        <w:t xml:space="preserve"> to </w:t>
      </w:r>
      <w:r w:rsidR="008000F3">
        <w:t>Sections 76.7</w:t>
      </w:r>
      <w:r w:rsidR="00AB462E">
        <w:t>,</w:t>
      </w:r>
      <w:r w:rsidR="008000F3">
        <w:t xml:space="preserve"> 76.905(b)(2) </w:t>
      </w:r>
      <w:r w:rsidR="002371D9">
        <w:t xml:space="preserve">and 76.907 </w:t>
      </w:r>
      <w:r w:rsidR="008000F3">
        <w:t>of the Commission</w:t>
      </w:r>
      <w:r w:rsidR="006E3388">
        <w:t>’</w:t>
      </w:r>
      <w:r w:rsidR="008000F3">
        <w:t xml:space="preserve">s rules </w:t>
      </w:r>
      <w:r w:rsidR="000D4EEB">
        <w:t xml:space="preserve">for a determination that </w:t>
      </w:r>
      <w:r w:rsidR="0081329B">
        <w:t>Petitioner</w:t>
      </w:r>
      <w:r w:rsidR="000D4EEB">
        <w:t xml:space="preserve"> is subject to </w:t>
      </w:r>
      <w:r w:rsidR="008000F3">
        <w:t xml:space="preserve">effective competition in </w:t>
      </w:r>
      <w:r w:rsidR="00A01D85">
        <w:t>th</w:t>
      </w:r>
      <w:r w:rsidR="00BC73F8">
        <w:t>e</w:t>
      </w:r>
      <w:r>
        <w:t xml:space="preserve"> communities </w:t>
      </w:r>
      <w:r w:rsidR="00BC73F8">
        <w:t>listed on Attachment A</w:t>
      </w:r>
      <w:r w:rsidR="00A01D85">
        <w:t xml:space="preserve"> (the </w:t>
      </w:r>
      <w:r w:rsidR="007E5AB8">
        <w:t xml:space="preserve">Attachment A </w:t>
      </w:r>
      <w:r w:rsidR="00F832F4">
        <w:t>Communities</w:t>
      </w:r>
      <w:r w:rsidR="00A01D85">
        <w:t>)</w:t>
      </w:r>
      <w:r w:rsidR="00F832F4">
        <w:t>.</w:t>
      </w:r>
      <w:r w:rsidR="00DF6D13">
        <w:t xml:space="preserve"> </w:t>
      </w:r>
      <w:r w:rsidR="00BC73F8">
        <w:t xml:space="preserve"> </w:t>
      </w:r>
      <w:r w:rsidR="005E6848" w:rsidRPr="0081329B">
        <w:t>Petitioner</w:t>
      </w:r>
      <w:r w:rsidR="007A42D7" w:rsidRPr="0081329B">
        <w:rPr>
          <w:b/>
          <w:color w:val="FF0000"/>
        </w:rPr>
        <w:t xml:space="preserve"> </w:t>
      </w:r>
      <w:r w:rsidR="008C0B9E">
        <w:t>alleges that its cable system serving the</w:t>
      </w:r>
      <w:r>
        <w:t xml:space="preserve"> </w:t>
      </w:r>
      <w:r w:rsidR="007E5AB8">
        <w:t xml:space="preserve">Attachment A </w:t>
      </w:r>
      <w:r>
        <w:t>Communities</w:t>
      </w:r>
      <w:r w:rsidR="008C0B9E">
        <w:t xml:space="preserve"> is subject to effective competition pursuant to Section</w:t>
      </w:r>
      <w:r w:rsidR="00B762BA">
        <w:t xml:space="preserve"> 623(</w:t>
      </w:r>
      <w:r w:rsidR="00D6746F">
        <w:t>l</w:t>
      </w:r>
      <w:r w:rsidR="00B762BA">
        <w:t>)</w:t>
      </w:r>
      <w:r w:rsidR="00C90BEE">
        <w:t>(1)(B)</w:t>
      </w:r>
      <w:r w:rsidR="00B762BA">
        <w:t xml:space="preserve"> of the Communications Act of 1934, as amended (Communications Act)</w:t>
      </w:r>
      <w:r w:rsidR="00892B88">
        <w:t>,</w:t>
      </w:r>
      <w:r w:rsidR="008C0B9E">
        <w:rPr>
          <w:rStyle w:val="FootnoteReference"/>
        </w:rPr>
        <w:footnoteReference w:id="3"/>
      </w:r>
      <w:r w:rsidR="00B762BA">
        <w:t xml:space="preserve"> </w:t>
      </w:r>
      <w:r w:rsidR="008C0B9E">
        <w:t xml:space="preserve">and </w:t>
      </w:r>
      <w:r w:rsidR="004E7B7D">
        <w:t>the Commission’s implementing rules,</w:t>
      </w:r>
      <w:r w:rsidR="004E7B7D">
        <w:rPr>
          <w:rStyle w:val="FootnoteReference"/>
        </w:rPr>
        <w:footnoteReference w:id="4"/>
      </w:r>
      <w:r w:rsidR="004E7B7D">
        <w:t xml:space="preserve"> and </w:t>
      </w:r>
      <w:r w:rsidR="00097016">
        <w:t xml:space="preserve">that it </w:t>
      </w:r>
      <w:r w:rsidR="004E7B7D">
        <w:t xml:space="preserve">is </w:t>
      </w:r>
      <w:r w:rsidR="00B762BA">
        <w:t xml:space="preserve">therefore exempt from cable rate regulation </w:t>
      </w:r>
      <w:r w:rsidR="004E7B7D">
        <w:t xml:space="preserve">in </w:t>
      </w:r>
      <w:r w:rsidR="00461E36">
        <w:t xml:space="preserve">the </w:t>
      </w:r>
      <w:r w:rsidR="00B221F7">
        <w:t xml:space="preserve">Attachment A </w:t>
      </w:r>
      <w:r w:rsidR="00461E36">
        <w:t xml:space="preserve">Communities </w:t>
      </w:r>
      <w:r w:rsidR="00B762BA">
        <w:t xml:space="preserve">because of </w:t>
      </w:r>
      <w:r w:rsidR="004E7B7D">
        <w:t xml:space="preserve">the </w:t>
      </w:r>
      <w:r w:rsidR="00B762BA">
        <w:t xml:space="preserve">competing service provided by two direct broadcast satellite (DBS) providers, </w:t>
      </w:r>
      <w:r w:rsidR="00AE3A55">
        <w:t>DIRECTV</w:t>
      </w:r>
      <w:r w:rsidR="00990497">
        <w:t>, Inc. (</w:t>
      </w:r>
      <w:r w:rsidR="00AE3A55">
        <w:t>DIRECTV</w:t>
      </w:r>
      <w:r w:rsidR="00B762BA">
        <w:t xml:space="preserve">) and </w:t>
      </w:r>
      <w:r w:rsidR="00AE3A55">
        <w:t>DISH</w:t>
      </w:r>
      <w:r w:rsidR="00AD4CA6">
        <w:t xml:space="preserve"> Network </w:t>
      </w:r>
      <w:r w:rsidR="00990497">
        <w:t>(</w:t>
      </w:r>
      <w:r w:rsidR="00AE3A55">
        <w:t>DISH</w:t>
      </w:r>
      <w:r w:rsidR="0022622B" w:rsidRPr="009A0733">
        <w:t>)</w:t>
      </w:r>
      <w:r w:rsidR="00B762BA">
        <w:t xml:space="preserve">.  </w:t>
      </w:r>
      <w:r w:rsidR="00F832F4">
        <w:t>The C</w:t>
      </w:r>
      <w:r w:rsidR="00EC54D6">
        <w:t>ommunities of Everett, Mountlake Terrace, and Mukilteo</w:t>
      </w:r>
      <w:r w:rsidR="00097016">
        <w:t>, Washington</w:t>
      </w:r>
      <w:r w:rsidR="00461E36">
        <w:t xml:space="preserve"> </w:t>
      </w:r>
      <w:r w:rsidR="00097016">
        <w:t>(the Three Washington Communities</w:t>
      </w:r>
      <w:r w:rsidR="00B221F7">
        <w:t xml:space="preserve"> or the </w:t>
      </w:r>
      <w:r w:rsidR="00EC54D6">
        <w:t>Communities</w:t>
      </w:r>
      <w:r w:rsidR="00097016">
        <w:t>)</w:t>
      </w:r>
      <w:r w:rsidR="00B221F7">
        <w:t xml:space="preserve"> </w:t>
      </w:r>
      <w:r w:rsidR="00BB6094">
        <w:t xml:space="preserve">each </w:t>
      </w:r>
      <w:r w:rsidR="00B221F7">
        <w:t xml:space="preserve">filed </w:t>
      </w:r>
      <w:r w:rsidR="00461E36">
        <w:t>opposition</w:t>
      </w:r>
      <w:r w:rsidR="00B221F7">
        <w:t>s</w:t>
      </w:r>
      <w:r w:rsidR="00461E36">
        <w:t xml:space="preserve"> to the </w:t>
      </w:r>
      <w:r w:rsidR="00AE1DF3">
        <w:t>P</w:t>
      </w:r>
      <w:r w:rsidR="00461E36">
        <w:t>etition,</w:t>
      </w:r>
      <w:r w:rsidR="00461E36">
        <w:rPr>
          <w:rStyle w:val="FootnoteReference"/>
        </w:rPr>
        <w:footnoteReference w:id="5"/>
      </w:r>
      <w:r w:rsidR="00461E36">
        <w:t xml:space="preserve"> to which Petitioner filed a </w:t>
      </w:r>
      <w:r w:rsidR="00883D57">
        <w:t xml:space="preserve">single </w:t>
      </w:r>
      <w:r w:rsidR="00461E36">
        <w:t>reply.</w:t>
      </w:r>
      <w:r w:rsidR="00461E36">
        <w:rPr>
          <w:rStyle w:val="FootnoteReference"/>
        </w:rPr>
        <w:footnoteReference w:id="6"/>
      </w:r>
      <w:r w:rsidR="00461E36">
        <w:t xml:space="preserve"> </w:t>
      </w:r>
      <w:r w:rsidR="007E5AB8">
        <w:t xml:space="preserve"> </w:t>
      </w:r>
      <w:r w:rsidR="00461E36">
        <w:t xml:space="preserve">The </w:t>
      </w:r>
      <w:r w:rsidR="00726C84">
        <w:t>C</w:t>
      </w:r>
      <w:r w:rsidR="00097016">
        <w:t>ity of Edmonds</w:t>
      </w:r>
      <w:r w:rsidR="00EC54D6">
        <w:t xml:space="preserve"> </w:t>
      </w:r>
      <w:r w:rsidR="00097016">
        <w:t>(Edmonds</w:t>
      </w:r>
      <w:r w:rsidR="00EC54D6">
        <w:t xml:space="preserve"> or </w:t>
      </w:r>
      <w:r w:rsidR="00B221F7">
        <w:t xml:space="preserve">the </w:t>
      </w:r>
      <w:r w:rsidR="00097016">
        <w:t>City)</w:t>
      </w:r>
      <w:r w:rsidR="00EC54D6">
        <w:t xml:space="preserve"> also filed an opposition to the </w:t>
      </w:r>
      <w:r w:rsidR="00AE1DF3">
        <w:t>P</w:t>
      </w:r>
      <w:r w:rsidR="00EC54D6">
        <w:t>etition,</w:t>
      </w:r>
      <w:r w:rsidR="00A03EFB">
        <w:rPr>
          <w:rStyle w:val="FootnoteReference"/>
        </w:rPr>
        <w:footnoteReference w:id="7"/>
      </w:r>
      <w:r w:rsidR="00EC54D6">
        <w:t xml:space="preserve"> to which Petitioner filed a </w:t>
      </w:r>
      <w:r w:rsidR="00BA620C">
        <w:t xml:space="preserve">separate </w:t>
      </w:r>
      <w:r w:rsidR="00EC54D6">
        <w:t>reply.</w:t>
      </w:r>
      <w:r w:rsidR="00FB7CE8">
        <w:rPr>
          <w:rStyle w:val="FootnoteReference"/>
        </w:rPr>
        <w:footnoteReference w:id="8"/>
      </w:r>
      <w:r w:rsidR="008710E9">
        <w:t xml:space="preserve"> </w:t>
      </w:r>
    </w:p>
    <w:p w:rsidR="004E7B7D" w:rsidRDefault="00097016" w:rsidP="004D5459">
      <w:pPr>
        <w:pStyle w:val="ParaNum"/>
        <w:tabs>
          <w:tab w:val="left" w:pos="8280"/>
        </w:tabs>
        <w:jc w:val="left"/>
      </w:pPr>
      <w:r>
        <w:t xml:space="preserve">In June 2015, a Commission order adopted a rebuttable presumption that cable operators are subject to one type of effective competition, commonly referred to as competing provider effective </w:t>
      </w:r>
      <w:r>
        <w:lastRenderedPageBreak/>
        <w:t>competition.</w:t>
      </w:r>
      <w:r>
        <w:rPr>
          <w:rStyle w:val="FootnoteReference"/>
        </w:rPr>
        <w:footnoteReference w:id="9"/>
      </w:r>
      <w:r>
        <w:t xml:space="preserve">  Accordingly, in the absence of a demonstration to the contrary, the Commission now presumes that cable systems are subject to competing provider effective competition, and it continues to presume that cable systems are not subject to any of the other three types of effective competition, as </w:t>
      </w:r>
      <w:r w:rsidR="004E7B7D">
        <w:t>defined by Section 623(l) of the Communications Act and Section 76.905 of the Commission</w:t>
      </w:r>
      <w:r w:rsidR="00E254E5">
        <w:t>’</w:t>
      </w:r>
      <w:r w:rsidR="004E7B7D">
        <w:t>s rules.</w:t>
      </w:r>
      <w:r w:rsidR="004E7B7D">
        <w:rPr>
          <w:sz w:val="20"/>
          <w:vertAlign w:val="superscript"/>
        </w:rPr>
        <w:footnoteReference w:id="10"/>
      </w:r>
      <w:r w:rsidR="004E7B7D">
        <w:t xml:space="preserve">  </w:t>
      </w:r>
      <w:r w:rsidR="006E3388">
        <w:t xml:space="preserve">For </w:t>
      </w:r>
      <w:r w:rsidR="00461E36">
        <w:t>the reasons set forth below, we grant</w:t>
      </w:r>
      <w:r w:rsidR="006E3388">
        <w:t xml:space="preserve"> </w:t>
      </w:r>
      <w:r>
        <w:t>Comcast’s</w:t>
      </w:r>
      <w:r w:rsidR="006E3388">
        <w:t xml:space="preserve"> </w:t>
      </w:r>
      <w:r w:rsidR="00AE1DF3">
        <w:t>P</w:t>
      </w:r>
      <w:r w:rsidR="006E3388">
        <w:t>etition</w:t>
      </w:r>
      <w:r w:rsidR="00252D6A">
        <w:t>.</w:t>
      </w:r>
      <w:r w:rsidR="004E7B7D">
        <w:t xml:space="preserve">  </w:t>
      </w:r>
    </w:p>
    <w:p w:rsidR="00097016" w:rsidRDefault="00097016" w:rsidP="00097016">
      <w:pPr>
        <w:pStyle w:val="Heading1"/>
        <w:jc w:val="left"/>
        <w:rPr>
          <w:szCs w:val="22"/>
        </w:rPr>
      </w:pPr>
      <w:r>
        <w:rPr>
          <w:caps w:val="0"/>
          <w:szCs w:val="22"/>
        </w:rPr>
        <w:t>T</w:t>
      </w:r>
      <w:r>
        <w:rPr>
          <w:szCs w:val="22"/>
        </w:rPr>
        <w:t>he COMPETING PROVIDER TEST</w:t>
      </w:r>
    </w:p>
    <w:p w:rsidR="001C025D" w:rsidRDefault="00B762BA" w:rsidP="004D5459">
      <w:pPr>
        <w:pStyle w:val="ParaNum"/>
        <w:jc w:val="left"/>
      </w:pPr>
      <w:r>
        <w:t xml:space="preserve">Section 623(l)(1)(B) of the Communications Act provides that a cable operator is subject to effective competition if the franchise area is (a) served by </w:t>
      </w:r>
      <w:r w:rsidR="00732869">
        <w:t>at least two unaffiliated multi</w:t>
      </w:r>
      <w:r>
        <w:t>channel v</w:t>
      </w:r>
      <w:r w:rsidR="00990497">
        <w:t>ideo programming distributors (</w:t>
      </w:r>
      <w:r>
        <w:t>MVPD</w:t>
      </w:r>
      <w:r w:rsidR="00E4720A">
        <w:t>s</w:t>
      </w:r>
      <w:r>
        <w:t>)</w:t>
      </w:r>
      <w:r w:rsidR="006E3388">
        <w:t>,</w:t>
      </w:r>
      <w:r>
        <w:t xml:space="preserve"> each of which offers comparable video programming to at least 50 percent of the households in the franchise area; and (b) the number of households subscribing to programming services offered by MVPDs</w:t>
      </w:r>
      <w:r w:rsidR="00A12542">
        <w:t>,</w:t>
      </w:r>
      <w:r>
        <w:t xml:space="preserve"> other than the largest MVPD</w:t>
      </w:r>
      <w:r w:rsidR="00A12542">
        <w:t>,</w:t>
      </w:r>
      <w:r>
        <w:t xml:space="preserve"> exceeds </w:t>
      </w:r>
      <w:r w:rsidR="000D4EEB">
        <w:t>15</w:t>
      </w:r>
      <w:r>
        <w:t xml:space="preserve"> percent of the households in the franchise area</w:t>
      </w:r>
      <w:r w:rsidR="00FD40A3">
        <w:t>.</w:t>
      </w:r>
      <w:r>
        <w:rPr>
          <w:rStyle w:val="FootnoteReference"/>
        </w:rPr>
        <w:footnoteReference w:id="11"/>
      </w:r>
      <w:r w:rsidR="00CF2991">
        <w:t xml:space="preserve"> </w:t>
      </w:r>
      <w:r w:rsidR="00FD40A3">
        <w:t xml:space="preserve"> T</w:t>
      </w:r>
      <w:r w:rsidR="000A24A4">
        <w:t xml:space="preserve">his test is </w:t>
      </w:r>
      <w:r w:rsidR="00CF2991">
        <w:t>referred to as the “competing provider” test.</w:t>
      </w:r>
      <w:r w:rsidR="00097016">
        <w:t xml:space="preserve">  Pursuant to the </w:t>
      </w:r>
      <w:r w:rsidR="00097016">
        <w:rPr>
          <w:i/>
        </w:rPr>
        <w:t>Effective Competition Order</w:t>
      </w:r>
      <w:r w:rsidR="00097016">
        <w:t>, absent evidence to the contrary, the Commission presumes that the competing provider test is met.</w:t>
      </w:r>
    </w:p>
    <w:p w:rsidR="0083242C" w:rsidRDefault="0083242C" w:rsidP="004D5459">
      <w:pPr>
        <w:pStyle w:val="Heading2"/>
        <w:jc w:val="left"/>
      </w:pPr>
      <w:r>
        <w:t xml:space="preserve">The First </w:t>
      </w:r>
      <w:r w:rsidR="00097016">
        <w:t>Part</w:t>
      </w:r>
    </w:p>
    <w:p w:rsidR="0083242C" w:rsidRDefault="00097016" w:rsidP="004D5459">
      <w:pPr>
        <w:pStyle w:val="ParaNum"/>
        <w:jc w:val="left"/>
      </w:pPr>
      <w:r>
        <w:t>The first part</w:t>
      </w:r>
      <w:r w:rsidR="00B762BA">
        <w:t xml:space="preserve"> of th</w:t>
      </w:r>
      <w:r w:rsidR="004E7B7D">
        <w:t xml:space="preserve">is </w:t>
      </w:r>
      <w:r w:rsidR="00B762BA">
        <w:t>test</w:t>
      </w:r>
      <w:r w:rsidR="0094548C">
        <w:t xml:space="preserve"> has three elements: </w:t>
      </w:r>
      <w:r w:rsidR="00FA6128">
        <w:t xml:space="preserve"> </w:t>
      </w:r>
      <w:r w:rsidR="001C025D">
        <w:t xml:space="preserve">the franchise area must be </w:t>
      </w:r>
      <w:r w:rsidR="0094548C">
        <w:t xml:space="preserve">“served by” </w:t>
      </w:r>
      <w:r w:rsidR="001C025D">
        <w:t xml:space="preserve">at least two unaffiliated MVPDs who offer </w:t>
      </w:r>
      <w:r w:rsidR="0094548C">
        <w:t xml:space="preserve">“comparable programming” </w:t>
      </w:r>
      <w:r w:rsidR="001C025D">
        <w:t>to at least</w:t>
      </w:r>
      <w:r w:rsidR="0094548C">
        <w:t xml:space="preserve"> “50 percent</w:t>
      </w:r>
      <w:r w:rsidR="002643D1">
        <w:t>”</w:t>
      </w:r>
      <w:r w:rsidR="0094548C">
        <w:t xml:space="preserve"> of the households in the franchise area</w:t>
      </w:r>
      <w:r w:rsidR="008357CE">
        <w:t>.</w:t>
      </w:r>
      <w:r w:rsidR="0094548C">
        <w:rPr>
          <w:rStyle w:val="FootnoteReference"/>
        </w:rPr>
        <w:footnoteReference w:id="12"/>
      </w:r>
      <w:r w:rsidR="00FD40A3">
        <w:rPr>
          <w:b/>
        </w:rPr>
        <w:t xml:space="preserve"> </w:t>
      </w:r>
      <w:r w:rsidR="0088289F">
        <w:rPr>
          <w:b/>
        </w:rPr>
        <w:t xml:space="preserve"> </w:t>
      </w:r>
      <w:r>
        <w:t xml:space="preserve">As explained in the </w:t>
      </w:r>
      <w:r>
        <w:rPr>
          <w:i/>
        </w:rPr>
        <w:t>Effective Competition Order</w:t>
      </w:r>
      <w:r>
        <w:t xml:space="preserve">, “we find that the ubiquitous nationwide presence of </w:t>
      </w:r>
      <w:r w:rsidR="001C025D">
        <w:t xml:space="preserve">DBS providers, </w:t>
      </w:r>
      <w:r w:rsidR="00AE3A55">
        <w:t>DIRECTV</w:t>
      </w:r>
      <w:r w:rsidR="00786157">
        <w:t xml:space="preserve"> </w:t>
      </w:r>
      <w:r w:rsidR="001C025D">
        <w:t xml:space="preserve">and </w:t>
      </w:r>
      <w:r w:rsidR="00AE3A55">
        <w:t>DISH</w:t>
      </w:r>
      <w:r w:rsidR="00576D94">
        <w:t>, presumptively satisfies the” first part of the test for</w:t>
      </w:r>
      <w:r w:rsidR="00F36773">
        <w:t xml:space="preserve"> competing provider</w:t>
      </w:r>
      <w:r w:rsidR="00576D94">
        <w:t xml:space="preserve"> competition, absent evidence to the contrary.</w:t>
      </w:r>
      <w:r w:rsidR="00576D94">
        <w:rPr>
          <w:rStyle w:val="FootnoteReference"/>
        </w:rPr>
        <w:footnoteReference w:id="13"/>
      </w:r>
      <w:r w:rsidR="00576D94">
        <w:t xml:space="preserve">  </w:t>
      </w:r>
      <w:r w:rsidR="001C025D">
        <w:t xml:space="preserve"> </w:t>
      </w:r>
      <w:r w:rsidR="008431F8">
        <w:t xml:space="preserve"> </w:t>
      </w:r>
    </w:p>
    <w:p w:rsidR="0083242C" w:rsidRPr="0083242C" w:rsidRDefault="0083242C" w:rsidP="004D5459">
      <w:pPr>
        <w:pStyle w:val="ParaNum"/>
        <w:jc w:val="left"/>
      </w:pPr>
      <w:r>
        <w:t>The “comparable programming” element is met if a competing MVPD provider offers at least 12 channels of video programming, including at least one channel of nonbroadcast service programming.</w:t>
      </w:r>
      <w:r>
        <w:rPr>
          <w:rStyle w:val="FootnoteReference"/>
        </w:rPr>
        <w:footnoteReference w:id="14"/>
      </w:r>
      <w:r>
        <w:t xml:space="preserve"> </w:t>
      </w:r>
      <w:r w:rsidR="00CA561F">
        <w:t xml:space="preserve"> </w:t>
      </w:r>
      <w:r>
        <w:t xml:space="preserve">The </w:t>
      </w:r>
      <w:r w:rsidR="00B221F7">
        <w:t xml:space="preserve">Three Washington </w:t>
      </w:r>
      <w:r w:rsidR="0036475E">
        <w:t>Communities</w:t>
      </w:r>
      <w:r>
        <w:t xml:space="preserve"> a</w:t>
      </w:r>
      <w:r w:rsidR="0036475E">
        <w:t>rgue</w:t>
      </w:r>
      <w:r>
        <w:t xml:space="preserve"> that neither DBS provider offers comparable programming, and specifically, that neither DISH nor DIRECTV offers public</w:t>
      </w:r>
      <w:r w:rsidR="00990497">
        <w:t>, educational, and government (PEG</w:t>
      </w:r>
      <w:r>
        <w:t>) access programming</w:t>
      </w:r>
      <w:r w:rsidR="00406208">
        <w:t xml:space="preserve"> by which the local government informs citizens of local events and activities in the community and surrounding communities</w:t>
      </w:r>
      <w:r>
        <w:t>.</w:t>
      </w:r>
      <w:r>
        <w:rPr>
          <w:rStyle w:val="FootnoteReference"/>
        </w:rPr>
        <w:footnoteReference w:id="15"/>
      </w:r>
      <w:r>
        <w:t xml:space="preserve"> </w:t>
      </w:r>
      <w:r w:rsidR="00726C84">
        <w:t xml:space="preserve"> </w:t>
      </w:r>
      <w:r w:rsidR="00B221F7">
        <w:t>The Communities contend</w:t>
      </w:r>
      <w:r>
        <w:t xml:space="preserve"> that in spite of the definition </w:t>
      </w:r>
      <w:r w:rsidRPr="004F67C1">
        <w:t xml:space="preserve">found in 47 C.F.R. </w:t>
      </w:r>
      <w:r w:rsidRPr="004F67C1">
        <w:rPr>
          <w:color w:val="000000"/>
        </w:rPr>
        <w:t>§ 76.905(g)</w:t>
      </w:r>
      <w:r>
        <w:rPr>
          <w:color w:val="000000"/>
        </w:rPr>
        <w:t>, the co</w:t>
      </w:r>
      <w:r w:rsidR="00CA561F">
        <w:rPr>
          <w:color w:val="000000"/>
        </w:rPr>
        <w:t xml:space="preserve">mmon sense definition </w:t>
      </w:r>
      <w:r w:rsidR="00905C05">
        <w:rPr>
          <w:color w:val="000000"/>
        </w:rPr>
        <w:t xml:space="preserve">of “comparable programming” indicates </w:t>
      </w:r>
      <w:r>
        <w:rPr>
          <w:color w:val="000000"/>
        </w:rPr>
        <w:t>a comparable</w:t>
      </w:r>
      <w:r w:rsidR="00CA561F">
        <w:rPr>
          <w:color w:val="000000"/>
        </w:rPr>
        <w:t xml:space="preserve"> channel lineup, not just 12</w:t>
      </w:r>
      <w:r>
        <w:rPr>
          <w:color w:val="000000"/>
        </w:rPr>
        <w:t xml:space="preserve"> channels</w:t>
      </w:r>
      <w:r w:rsidR="00905C05">
        <w:rPr>
          <w:color w:val="000000"/>
        </w:rPr>
        <w:t xml:space="preserve"> of video programming</w:t>
      </w:r>
      <w:r>
        <w:rPr>
          <w:color w:val="000000"/>
        </w:rPr>
        <w:t>.</w:t>
      </w:r>
      <w:r>
        <w:rPr>
          <w:rStyle w:val="FootnoteReference"/>
          <w:color w:val="000000"/>
        </w:rPr>
        <w:footnoteReference w:id="16"/>
      </w:r>
      <w:r>
        <w:rPr>
          <w:color w:val="000000"/>
        </w:rPr>
        <w:t xml:space="preserve"> </w:t>
      </w:r>
      <w:r w:rsidR="00726C84">
        <w:rPr>
          <w:color w:val="000000"/>
        </w:rPr>
        <w:t xml:space="preserve"> </w:t>
      </w:r>
      <w:r>
        <w:rPr>
          <w:color w:val="000000"/>
        </w:rPr>
        <w:t>For these reasons, the C</w:t>
      </w:r>
      <w:r w:rsidR="0036475E">
        <w:rPr>
          <w:color w:val="000000"/>
        </w:rPr>
        <w:t>ommunities argue</w:t>
      </w:r>
      <w:r>
        <w:rPr>
          <w:color w:val="000000"/>
        </w:rPr>
        <w:t xml:space="preserve"> </w:t>
      </w:r>
      <w:r w:rsidR="00E6185E">
        <w:rPr>
          <w:color w:val="000000"/>
        </w:rPr>
        <w:t xml:space="preserve">the </w:t>
      </w:r>
      <w:r>
        <w:rPr>
          <w:color w:val="000000"/>
        </w:rPr>
        <w:t>DBS providers do n</w:t>
      </w:r>
      <w:r w:rsidR="00E6185E">
        <w:rPr>
          <w:color w:val="000000"/>
        </w:rPr>
        <w:t>ot offer comparable programming</w:t>
      </w:r>
      <w:r>
        <w:rPr>
          <w:color w:val="000000"/>
        </w:rPr>
        <w:t>.</w:t>
      </w:r>
    </w:p>
    <w:p w:rsidR="00E024EC" w:rsidRDefault="00E6185E" w:rsidP="004D5459">
      <w:pPr>
        <w:pStyle w:val="ParaNum"/>
        <w:jc w:val="left"/>
      </w:pPr>
      <w:r>
        <w:t xml:space="preserve">Petitioner responds, and we agree, that </w:t>
      </w:r>
      <w:r w:rsidR="00576D94">
        <w:t>the Three Washington Communities’</w:t>
      </w:r>
      <w:r w:rsidR="00576D94">
        <w:rPr>
          <w:b/>
        </w:rPr>
        <w:t xml:space="preserve"> </w:t>
      </w:r>
      <w:r w:rsidR="00576D94">
        <w:t xml:space="preserve">arguments </w:t>
      </w:r>
      <w:r w:rsidR="00406208">
        <w:t>do not demonstrate that the first part of the test for competing provider effective competition is not met.</w:t>
      </w:r>
      <w:r w:rsidR="00406208">
        <w:rPr>
          <w:rStyle w:val="FootnoteReference"/>
        </w:rPr>
        <w:footnoteReference w:id="17"/>
      </w:r>
      <w:r w:rsidR="00406208">
        <w:t xml:space="preserve">  </w:t>
      </w:r>
      <w:r w:rsidR="00BA620C">
        <w:lastRenderedPageBreak/>
        <w:t>Section 76.905(g) of the Commission’s rules does not grant discretion in determining what constitutes comparable programming for purposes of determining effective competition.  Moreover</w:t>
      </w:r>
      <w:r w:rsidR="00406208">
        <w:t xml:space="preserve">, the Communities’ </w:t>
      </w:r>
      <w:r w:rsidR="00970C49">
        <w:t>arguments</w:t>
      </w:r>
      <w:r w:rsidR="00406208">
        <w:t xml:space="preserve"> </w:t>
      </w:r>
      <w:r w:rsidR="00576D94">
        <w:t xml:space="preserve">fail to rebut the </w:t>
      </w:r>
      <w:r w:rsidR="00406208">
        <w:t xml:space="preserve">new </w:t>
      </w:r>
      <w:r w:rsidR="00576D94">
        <w:t>presumption of competing provider effective competition because</w:t>
      </w:r>
      <w:r w:rsidR="00406208">
        <w:t xml:space="preserve"> we now</w:t>
      </w:r>
      <w:r w:rsidR="00576D94">
        <w:t xml:space="preserve"> presume that </w:t>
      </w:r>
      <w:r w:rsidR="00621D27">
        <w:t>DBS providers</w:t>
      </w:r>
      <w:r w:rsidR="00105001">
        <w:t>, DIRECTV and DISH,</w:t>
      </w:r>
      <w:r w:rsidR="00621D27">
        <w:t xml:space="preserve"> </w:t>
      </w:r>
      <w:r w:rsidR="00576D94">
        <w:t>provide comparable programming.</w:t>
      </w:r>
      <w:r>
        <w:rPr>
          <w:rStyle w:val="FootnoteReference"/>
        </w:rPr>
        <w:footnoteReference w:id="18"/>
      </w:r>
      <w:r w:rsidR="00576D94">
        <w:t xml:space="preserve">  Furthermore, we have repeatedly held that determining whether competing service is comparable for effective </w:t>
      </w:r>
      <w:r w:rsidR="00576D94" w:rsidRPr="00544501">
        <w:rPr>
          <w:szCs w:val="22"/>
        </w:rPr>
        <w:t>competition purposes does not depend on whether</w:t>
      </w:r>
      <w:r w:rsidR="00576D94">
        <w:rPr>
          <w:szCs w:val="22"/>
        </w:rPr>
        <w:t xml:space="preserve"> a </w:t>
      </w:r>
      <w:r w:rsidR="00576D94">
        <w:t>competing service</w:t>
      </w:r>
      <w:r w:rsidR="00576D94" w:rsidRPr="00544501">
        <w:rPr>
          <w:szCs w:val="22"/>
        </w:rPr>
        <w:t xml:space="preserve"> includes PEG access programming.</w:t>
      </w:r>
      <w:r w:rsidR="00576D94" w:rsidRPr="00544501">
        <w:rPr>
          <w:rStyle w:val="FootnoteReference"/>
          <w:szCs w:val="22"/>
        </w:rPr>
        <w:footnoteReference w:id="19"/>
      </w:r>
      <w:r w:rsidR="00576D94" w:rsidRPr="00544501">
        <w:rPr>
          <w:szCs w:val="22"/>
        </w:rPr>
        <w:t xml:space="preserve">  </w:t>
      </w:r>
      <w:r w:rsidR="00576D94">
        <w:t xml:space="preserve">In accordance with the presumption of competing provider effective competition, and based on the information submitted by </w:t>
      </w:r>
      <w:r w:rsidR="004E37BB">
        <w:t>Petitioner</w:t>
      </w:r>
      <w:r w:rsidR="00576D94">
        <w:t xml:space="preserve"> and the Communities</w:t>
      </w:r>
      <w:r w:rsidR="00A12542">
        <w:t>,</w:t>
      </w:r>
      <w:r w:rsidR="00576D94">
        <w:t xml:space="preserve"> we thus find that the first part of the test is satisfied.  </w:t>
      </w:r>
    </w:p>
    <w:p w:rsidR="00E50370" w:rsidRPr="00E50370" w:rsidRDefault="00E50370" w:rsidP="004D5459">
      <w:pPr>
        <w:pStyle w:val="Heading2"/>
        <w:jc w:val="left"/>
      </w:pPr>
      <w:r>
        <w:t xml:space="preserve">The Second </w:t>
      </w:r>
      <w:r w:rsidR="00105001">
        <w:t>Part</w:t>
      </w:r>
      <w:r>
        <w:t xml:space="preserve"> </w:t>
      </w:r>
    </w:p>
    <w:p w:rsidR="00323483" w:rsidRPr="00323483" w:rsidRDefault="00B762BA" w:rsidP="00544584">
      <w:pPr>
        <w:pStyle w:val="ParaNum"/>
        <w:widowControl/>
        <w:jc w:val="left"/>
        <w:rPr>
          <w:color w:val="000000"/>
          <w:szCs w:val="22"/>
        </w:rPr>
      </w:pPr>
      <w:r>
        <w:t>The second p</w:t>
      </w:r>
      <w:r w:rsidR="00A70DAF">
        <w:t>art</w:t>
      </w:r>
      <w:r>
        <w:t xml:space="preserve"> of the competing provider test requires that the number of households subscribing to MVPDs, other than the largest MVPD, exceed</w:t>
      </w:r>
      <w:r w:rsidR="0028176B">
        <w:t>s</w:t>
      </w:r>
      <w:r>
        <w:t xml:space="preserve"> 15 percent of the hou</w:t>
      </w:r>
      <w:r w:rsidR="005024D4">
        <w:t>seholds in a franchise area.</w:t>
      </w:r>
      <w:r w:rsidR="005024D4">
        <w:rPr>
          <w:rStyle w:val="FootnoteReference"/>
        </w:rPr>
        <w:footnoteReference w:id="20"/>
      </w:r>
      <w:r w:rsidR="005024D4">
        <w:t xml:space="preserve">  As explained in the </w:t>
      </w:r>
      <w:r w:rsidR="005024D4">
        <w:rPr>
          <w:i/>
        </w:rPr>
        <w:t>Effective Competition Order</w:t>
      </w:r>
      <w:r w:rsidR="005024D4">
        <w:t xml:space="preserve">, “[w]ith regard to </w:t>
      </w:r>
      <w:r w:rsidR="002F583B">
        <w:t xml:space="preserve">the </w:t>
      </w:r>
      <w:r w:rsidR="005024D4">
        <w:t xml:space="preserve">second prong of the test, we will presume </w:t>
      </w:r>
      <w:r w:rsidR="002F583B">
        <w:t xml:space="preserve">that </w:t>
      </w:r>
      <w:r w:rsidR="005024D4">
        <w:t>more than 15 percent of the households in a franchise area subscribe to programming services offered by MVPDs other than the largest MVPD.”</w:t>
      </w:r>
      <w:r w:rsidR="005024D4">
        <w:rPr>
          <w:rStyle w:val="FootnoteReference"/>
        </w:rPr>
        <w:footnoteReference w:id="21"/>
      </w:r>
      <w:r w:rsidR="00D63247">
        <w:t xml:space="preserve">  Petitioner notes that the competing provider penetration figures for the </w:t>
      </w:r>
      <w:r w:rsidR="00E17DAE">
        <w:t xml:space="preserve">Attachment A </w:t>
      </w:r>
      <w:r w:rsidR="00D63247">
        <w:t>Communities include subscribers from Frontier Communications Northwest Inc. (Frontier) as well as from the two DBS providers.</w:t>
      </w:r>
      <w:r w:rsidR="00D63247">
        <w:rPr>
          <w:rStyle w:val="FootnoteReference"/>
        </w:rPr>
        <w:footnoteReference w:id="22"/>
      </w:r>
      <w:r w:rsidR="00D63247">
        <w:t xml:space="preserve">  </w:t>
      </w:r>
      <w:r w:rsidR="00AF01CC" w:rsidRPr="009A7863">
        <w:t xml:space="preserve">Petitioner first obtained from SNL Kagan </w:t>
      </w:r>
      <w:r w:rsidR="00AF01CC">
        <w:t xml:space="preserve">a list </w:t>
      </w:r>
      <w:r w:rsidR="00AF01CC" w:rsidRPr="009A7863">
        <w:t xml:space="preserve">of zip codes that corresponds with the political boundaries of </w:t>
      </w:r>
      <w:r w:rsidR="00AF01CC">
        <w:t>a particular community</w:t>
      </w:r>
      <w:r w:rsidR="00AF01CC" w:rsidRPr="009A7863">
        <w:t>.</w:t>
      </w:r>
      <w:r w:rsidR="00AF01CC" w:rsidRPr="009A7863">
        <w:rPr>
          <w:rStyle w:val="FootnoteReference"/>
          <w:color w:val="000000"/>
        </w:rPr>
        <w:footnoteReference w:id="23"/>
      </w:r>
      <w:r w:rsidR="00AF01CC" w:rsidRPr="009A7863">
        <w:t xml:space="preserve">  </w:t>
      </w:r>
      <w:r w:rsidR="00D63247" w:rsidRPr="009A7863">
        <w:t xml:space="preserve">Petitioner </w:t>
      </w:r>
      <w:r w:rsidR="00AF01CC">
        <w:t xml:space="preserve">then </w:t>
      </w:r>
      <w:r w:rsidR="00D63247">
        <w:t>purchased a subscriber tracking report from the</w:t>
      </w:r>
      <w:r w:rsidR="00D63247" w:rsidRPr="009A7863">
        <w:t xml:space="preserve"> Satellite Broadcasting a</w:t>
      </w:r>
      <w:r w:rsidR="00D63247">
        <w:t>nd Communications Association (SBCA)</w:t>
      </w:r>
      <w:r w:rsidR="00D63247" w:rsidRPr="009A7863">
        <w:t xml:space="preserve">, which reported the number of DBS subscribers in </w:t>
      </w:r>
      <w:r w:rsidR="00D63247">
        <w:t>each of the Attachment A Communities</w:t>
      </w:r>
      <w:r w:rsidR="00D63247" w:rsidRPr="009A7863">
        <w:t>.</w:t>
      </w:r>
      <w:r w:rsidR="00D63247" w:rsidRPr="009A7863">
        <w:rPr>
          <w:rStyle w:val="FootnoteReference"/>
          <w:color w:val="000000"/>
        </w:rPr>
        <w:footnoteReference w:id="24"/>
      </w:r>
      <w:r w:rsidR="00D63247" w:rsidRPr="009A7863">
        <w:t xml:space="preserve"> </w:t>
      </w:r>
      <w:r w:rsidR="00D63247">
        <w:t xml:space="preserve"> Petitioner obtained subscriber numbers for Frontier directly from that company.</w:t>
      </w:r>
      <w:r w:rsidR="00D63247">
        <w:rPr>
          <w:rStyle w:val="FootnoteReference"/>
        </w:rPr>
        <w:footnoteReference w:id="25"/>
      </w:r>
      <w:r w:rsidR="00D63247">
        <w:t xml:space="preserve">  </w:t>
      </w:r>
      <w:r w:rsidR="00D63247" w:rsidRPr="009A7863">
        <w:t xml:space="preserve">Petitioner compared the </w:t>
      </w:r>
      <w:r w:rsidR="00080721">
        <w:t>MVPD</w:t>
      </w:r>
      <w:r w:rsidR="00D63247" w:rsidRPr="009A7863">
        <w:t xml:space="preserve"> subscribership </w:t>
      </w:r>
      <w:r w:rsidR="00A30F2F">
        <w:t xml:space="preserve">data </w:t>
      </w:r>
      <w:r w:rsidR="00D63247" w:rsidRPr="009A7863">
        <w:t>to the 2010 U.S. Cens</w:t>
      </w:r>
      <w:r w:rsidR="00D63247">
        <w:t>us household numbers for each of the Attachment A Communities.</w:t>
      </w:r>
      <w:r w:rsidR="00D63247" w:rsidRPr="009A7863">
        <w:t xml:space="preserve"> </w:t>
      </w:r>
      <w:r w:rsidR="00D63247">
        <w:t xml:space="preserve"> </w:t>
      </w:r>
      <w:r w:rsidR="00D63247" w:rsidRPr="009A7863">
        <w:t xml:space="preserve">Petitioner asserts that </w:t>
      </w:r>
      <w:r w:rsidR="00D63247">
        <w:t>the resulting ratios demonstrate</w:t>
      </w:r>
      <w:r w:rsidR="00D63247" w:rsidRPr="009A7863">
        <w:t xml:space="preserve"> that the number of households subscribing to MVPDs, other than the largest MVPD, exceeds </w:t>
      </w:r>
      <w:r w:rsidR="00D63247">
        <w:t>15 percent of the households in</w:t>
      </w:r>
      <w:r w:rsidR="00D63247" w:rsidRPr="009A7863">
        <w:t xml:space="preserve"> </w:t>
      </w:r>
      <w:r w:rsidR="00D63247">
        <w:t>each of the Attachment A Communities.</w:t>
      </w:r>
      <w:r w:rsidR="00D63247">
        <w:rPr>
          <w:rStyle w:val="FootnoteReference"/>
        </w:rPr>
        <w:footnoteReference w:id="26"/>
      </w:r>
      <w:r w:rsidR="005024D4">
        <w:t xml:space="preserve">  </w:t>
      </w:r>
      <w:r w:rsidR="00066473">
        <w:t xml:space="preserve"> </w:t>
      </w:r>
      <w:r w:rsidR="00A2520B">
        <w:t xml:space="preserve"> </w:t>
      </w:r>
      <w:r w:rsidR="00DA7A4D" w:rsidRPr="00D2591F">
        <w:t xml:space="preserve">  </w:t>
      </w:r>
    </w:p>
    <w:p w:rsidR="00D63247" w:rsidRPr="005315EE" w:rsidRDefault="00D63247" w:rsidP="004D5459">
      <w:pPr>
        <w:pStyle w:val="Heading3"/>
        <w:jc w:val="left"/>
      </w:pPr>
      <w:r>
        <w:t xml:space="preserve">The Communities’ Oppositions </w:t>
      </w:r>
    </w:p>
    <w:p w:rsidR="00ED0F6A" w:rsidRPr="00A12542" w:rsidRDefault="00323483" w:rsidP="004D5459">
      <w:pPr>
        <w:pStyle w:val="ParaNum"/>
        <w:jc w:val="left"/>
        <w:rPr>
          <w:color w:val="000000"/>
          <w:szCs w:val="22"/>
        </w:rPr>
      </w:pPr>
      <w:r>
        <w:t xml:space="preserve">The Three Washington Communities argue Petitioner has not satisfied the second part of the competing provider effective competition test for several reasons.  First, the Communities argue that more accurate census data </w:t>
      </w:r>
      <w:r w:rsidR="0023049C">
        <w:t>and more accurate MVPD subscribership data are</w:t>
      </w:r>
      <w:r>
        <w:t xml:space="preserve"> available and that </w:t>
      </w:r>
      <w:r w:rsidR="004E37BB">
        <w:t>Petitioner</w:t>
      </w:r>
      <w:r>
        <w:t xml:space="preserve"> should </w:t>
      </w:r>
      <w:r w:rsidR="0023049C">
        <w:t xml:space="preserve">be required to use more current data sources in its </w:t>
      </w:r>
      <w:r w:rsidR="00700108">
        <w:t>P</w:t>
      </w:r>
      <w:r w:rsidR="0023049C">
        <w:t>etition</w:t>
      </w:r>
      <w:r>
        <w:t>.</w:t>
      </w:r>
      <w:r>
        <w:rPr>
          <w:rStyle w:val="FootnoteReference"/>
        </w:rPr>
        <w:footnoteReference w:id="27"/>
      </w:r>
      <w:r>
        <w:t xml:space="preserve">  </w:t>
      </w:r>
      <w:r w:rsidR="00E6185E">
        <w:t>Petitioner</w:t>
      </w:r>
      <w:r>
        <w:t xml:space="preserve"> responds, and we agree, that its use of census household figures </w:t>
      </w:r>
      <w:r w:rsidR="00D63247">
        <w:t xml:space="preserve">and </w:t>
      </w:r>
      <w:r w:rsidR="00080721">
        <w:t>MVPD</w:t>
      </w:r>
      <w:r w:rsidR="00D63247">
        <w:t xml:space="preserve"> subscribership data </w:t>
      </w:r>
      <w:r>
        <w:t>for each community was proper and fully consistent with Commission precedent.</w:t>
      </w:r>
      <w:r>
        <w:rPr>
          <w:rStyle w:val="FootnoteReference"/>
        </w:rPr>
        <w:footnoteReference w:id="28"/>
      </w:r>
      <w:r w:rsidR="00E6185E">
        <w:t xml:space="preserve">  Second, the Communities assert that the </w:t>
      </w:r>
      <w:r w:rsidR="00A12542">
        <w:t xml:space="preserve">SBCA </w:t>
      </w:r>
      <w:r w:rsidR="00E6185E">
        <w:t xml:space="preserve">subscriber tracking reports referenced in Comcast’s </w:t>
      </w:r>
      <w:r w:rsidR="00AE1DF3">
        <w:t>P</w:t>
      </w:r>
      <w:r w:rsidR="00E6185E">
        <w:t xml:space="preserve">etition do not take into account any cancellations that occurred between the time the reports were purchased and the date </w:t>
      </w:r>
      <w:r w:rsidR="004E37BB">
        <w:t>the</w:t>
      </w:r>
      <w:r w:rsidR="00E6185E">
        <w:t xml:space="preserve"> </w:t>
      </w:r>
      <w:r w:rsidR="00AE1DF3">
        <w:t>P</w:t>
      </w:r>
      <w:r w:rsidR="00E6185E">
        <w:t>etition was filed.</w:t>
      </w:r>
      <w:r w:rsidR="00E6185E">
        <w:rPr>
          <w:rStyle w:val="FootnoteReference"/>
        </w:rPr>
        <w:footnoteReference w:id="29"/>
      </w:r>
      <w:r w:rsidR="00E6185E">
        <w:t xml:space="preserve">  Petitioner responds, and we agree, that the Communities provide no evidence that any cancellations were significant enough in </w:t>
      </w:r>
      <w:r w:rsidR="004D2BD9">
        <w:t xml:space="preserve">number </w:t>
      </w:r>
      <w:r w:rsidR="004D2BD9" w:rsidRPr="00051F7B">
        <w:rPr>
          <w:color w:val="000000"/>
          <w:szCs w:val="22"/>
        </w:rPr>
        <w:t>in the Communities of Everett, Mountlake Terrace, and Mukilteo</w:t>
      </w:r>
      <w:r w:rsidR="00E6185E">
        <w:t xml:space="preserve"> to undermine the </w:t>
      </w:r>
      <w:r w:rsidR="00E6185E" w:rsidRPr="00080721">
        <w:t>DBS</w:t>
      </w:r>
      <w:r w:rsidR="00E6185E">
        <w:t xml:space="preserve"> penetration figures provided in the </w:t>
      </w:r>
      <w:r w:rsidR="00AE1DF3">
        <w:t>P</w:t>
      </w:r>
      <w:r w:rsidR="00E6185E">
        <w:t>etition.</w:t>
      </w:r>
      <w:r w:rsidR="00D63247">
        <w:rPr>
          <w:rStyle w:val="FootnoteReference"/>
        </w:rPr>
        <w:footnoteReference w:id="30"/>
      </w:r>
      <w:r w:rsidR="000329BC">
        <w:t xml:space="preserve">  </w:t>
      </w:r>
      <w:r w:rsidR="00D63247">
        <w:t>Third, the Communities object to the inclusion of DBS service in effective competition determinations.</w:t>
      </w:r>
      <w:r w:rsidR="00D63247">
        <w:rPr>
          <w:rStyle w:val="FootnoteReference"/>
        </w:rPr>
        <w:footnoteReference w:id="31"/>
      </w:r>
      <w:r w:rsidR="00D63247">
        <w:t xml:space="preserve">  </w:t>
      </w:r>
      <w:r w:rsidR="00A30F2F">
        <w:t>Petitioner responds, and we agree, that t</w:t>
      </w:r>
      <w:r w:rsidR="00D63247" w:rsidRPr="00A12542">
        <w:t>his argument is irrelevant</w:t>
      </w:r>
      <w:r w:rsidR="004D2BD9" w:rsidRPr="00A12542">
        <w:t xml:space="preserve"> because</w:t>
      </w:r>
      <w:r w:rsidR="004D2BD9">
        <w:t xml:space="preserve"> Section 602(13) of the Communications Act defines “multichannel video programming distributors” (MVPDs) specifically to include “direct broadcast satellite service,”</w:t>
      </w:r>
      <w:r w:rsidR="004D2BD9">
        <w:rPr>
          <w:rStyle w:val="FootnoteReference"/>
        </w:rPr>
        <w:footnoteReference w:id="32"/>
      </w:r>
      <w:r w:rsidR="004D2BD9">
        <w:t xml:space="preserve"> and therefore, Congress did not leave open to Commission discretion whether DBS service should be counted under the </w:t>
      </w:r>
      <w:r w:rsidR="001E4C24">
        <w:t xml:space="preserve">statutory </w:t>
      </w:r>
      <w:r w:rsidR="004D2BD9">
        <w:t>competing provider test.</w:t>
      </w:r>
      <w:r w:rsidR="00631A36">
        <w:rPr>
          <w:rStyle w:val="FootnoteReference"/>
        </w:rPr>
        <w:footnoteReference w:id="33"/>
      </w:r>
      <w:r w:rsidR="00A12542">
        <w:t xml:space="preserve">  </w:t>
      </w:r>
      <w:r w:rsidR="001E4C24">
        <w:rPr>
          <w:szCs w:val="22"/>
        </w:rPr>
        <w:t>Finally, w</w:t>
      </w:r>
      <w:r w:rsidR="00A12542" w:rsidRPr="005C4176">
        <w:rPr>
          <w:szCs w:val="22"/>
        </w:rPr>
        <w:t xml:space="preserve">e also reject the Communities’ objections to the </w:t>
      </w:r>
      <w:r w:rsidR="001E4C24">
        <w:rPr>
          <w:szCs w:val="22"/>
        </w:rPr>
        <w:t>P</w:t>
      </w:r>
      <w:r w:rsidR="00A12542" w:rsidRPr="005C4176">
        <w:rPr>
          <w:szCs w:val="22"/>
        </w:rPr>
        <w:t>etition arguing that deregulation of basic service rates would be against consumers</w:t>
      </w:r>
      <w:r w:rsidR="001E4C24">
        <w:rPr>
          <w:szCs w:val="22"/>
        </w:rPr>
        <w:t>’</w:t>
      </w:r>
      <w:r w:rsidR="00A12542" w:rsidRPr="005C4176">
        <w:rPr>
          <w:szCs w:val="22"/>
        </w:rPr>
        <w:t xml:space="preserve"> public interest because it might lead to an increase in cable </w:t>
      </w:r>
      <w:r w:rsidR="00A12542" w:rsidRPr="00F915F7">
        <w:rPr>
          <w:szCs w:val="22"/>
        </w:rPr>
        <w:t>prices.</w:t>
      </w:r>
      <w:r w:rsidR="00A12542" w:rsidRPr="00F915F7">
        <w:rPr>
          <w:rStyle w:val="FootnoteReference"/>
          <w:szCs w:val="22"/>
        </w:rPr>
        <w:footnoteReference w:id="34"/>
      </w:r>
      <w:r w:rsidR="00A12542" w:rsidRPr="005C4176">
        <w:rPr>
          <w:szCs w:val="22"/>
        </w:rPr>
        <w:t xml:space="preserve">  Indeed, Section 623(b)(1) of the Act sets the standard for basic cable rates not at perfect competition, but at the level no higher than would be charged if there were effective competition.</w:t>
      </w:r>
      <w:r w:rsidR="00A12542" w:rsidRPr="005C4176">
        <w:rPr>
          <w:rStyle w:val="FootnoteReference"/>
          <w:szCs w:val="22"/>
        </w:rPr>
        <w:footnoteReference w:id="35"/>
      </w:r>
      <w:r w:rsidR="00A12542" w:rsidRPr="005C4176">
        <w:rPr>
          <w:szCs w:val="22"/>
        </w:rPr>
        <w:t xml:space="preserve"> </w:t>
      </w:r>
      <w:r w:rsidR="00D63247">
        <w:t xml:space="preserve">  </w:t>
      </w:r>
    </w:p>
    <w:p w:rsidR="00A12542" w:rsidRDefault="00A12542" w:rsidP="004D5459">
      <w:pPr>
        <w:pStyle w:val="Heading3"/>
        <w:jc w:val="left"/>
      </w:pPr>
      <w:r w:rsidRPr="005C4176">
        <w:t>The City of Edmonds’</w:t>
      </w:r>
      <w:r>
        <w:t xml:space="preserve"> Opposition</w:t>
      </w:r>
    </w:p>
    <w:p w:rsidR="00F700E1" w:rsidRPr="006D3B69" w:rsidRDefault="00A12542" w:rsidP="004D5459">
      <w:pPr>
        <w:pStyle w:val="ParaNum"/>
        <w:jc w:val="left"/>
      </w:pPr>
      <w:r>
        <w:t xml:space="preserve">The City of Edmonds argues Petitioner has not satisfied the second part of the competing provider effective competition test </w:t>
      </w:r>
      <w:r w:rsidR="001E4C24">
        <w:t xml:space="preserve">because </w:t>
      </w:r>
      <w:r>
        <w:t xml:space="preserve">Petitioner relies on data from SNL Kagan and Frontier but does not provide the methodology used by SNL Kagan or Frontier, and, without the underlying methodology, the City argues it cannot confirm the accuracy of the data used to support the </w:t>
      </w:r>
      <w:r w:rsidR="00AE1DF3">
        <w:t>P</w:t>
      </w:r>
      <w:r>
        <w:t>etition.</w:t>
      </w:r>
      <w:r>
        <w:rPr>
          <w:rStyle w:val="FootnoteReference"/>
        </w:rPr>
        <w:footnoteReference w:id="36"/>
      </w:r>
      <w:r>
        <w:t xml:space="preserve">  Petitioner responds, and we agree, that </w:t>
      </w:r>
      <w:r w:rsidR="00232460">
        <w:t xml:space="preserve">the </w:t>
      </w:r>
      <w:r w:rsidRPr="005C4176">
        <w:t>Commission has relied upon SNL Kagan’s zip plus four methodology</w:t>
      </w:r>
      <w:r>
        <w:t xml:space="preserve"> </w:t>
      </w:r>
      <w:r w:rsidRPr="005C4176">
        <w:t>and SBCA’s subscriber numbers as sufficiently accurate to calculate effective competition percentages in numerous previous decisions.</w:t>
      </w:r>
      <w:r w:rsidRPr="005C4176">
        <w:rPr>
          <w:rStyle w:val="FootnoteReference"/>
        </w:rPr>
        <w:footnoteReference w:id="37"/>
      </w:r>
      <w:r w:rsidRPr="005C4176">
        <w:t xml:space="preserve">  </w:t>
      </w:r>
      <w:r w:rsidRPr="006D3B69">
        <w:rPr>
          <w:rStyle w:val="apple-converted-space"/>
          <w:color w:val="000000"/>
          <w:szCs w:val="22"/>
        </w:rPr>
        <w:t>T</w:t>
      </w:r>
      <w:r w:rsidRPr="006D3B69">
        <w:rPr>
          <w:color w:val="000000"/>
          <w:szCs w:val="22"/>
        </w:rPr>
        <w:t xml:space="preserve">he City did not submit other data that would provide more accurate </w:t>
      </w:r>
      <w:r w:rsidR="00371620">
        <w:rPr>
          <w:color w:val="000000"/>
          <w:szCs w:val="22"/>
        </w:rPr>
        <w:t>MVPD</w:t>
      </w:r>
      <w:r w:rsidRPr="006D3B69">
        <w:rPr>
          <w:color w:val="000000"/>
          <w:szCs w:val="22"/>
        </w:rPr>
        <w:t xml:space="preserve"> subscriber counts.</w:t>
      </w:r>
      <w:r w:rsidRPr="005C4176">
        <w:rPr>
          <w:rStyle w:val="FootnoteReference"/>
          <w:color w:val="000000"/>
        </w:rPr>
        <w:footnoteReference w:id="38"/>
      </w:r>
      <w:r w:rsidRPr="006D3B69">
        <w:rPr>
          <w:color w:val="000000"/>
          <w:szCs w:val="22"/>
        </w:rPr>
        <w:t xml:space="preserve"> </w:t>
      </w:r>
      <w:r>
        <w:t xml:space="preserve"> </w:t>
      </w:r>
    </w:p>
    <w:p w:rsidR="00342998" w:rsidRDefault="006D3B69" w:rsidP="004D5459">
      <w:pPr>
        <w:pStyle w:val="Heading3"/>
        <w:jc w:val="left"/>
      </w:pPr>
      <w:r>
        <w:t>Objections to Use of Confidential Data</w:t>
      </w:r>
    </w:p>
    <w:p w:rsidR="006D3B69" w:rsidRPr="00051F7B" w:rsidRDefault="006D3B69" w:rsidP="004D5459">
      <w:pPr>
        <w:pStyle w:val="ParaNum"/>
        <w:jc w:val="left"/>
        <w:rPr>
          <w:color w:val="000000"/>
          <w:szCs w:val="22"/>
        </w:rPr>
      </w:pPr>
      <w:r>
        <w:t xml:space="preserve">The Three Washington Communities and </w:t>
      </w:r>
      <w:r w:rsidR="00342998">
        <w:t>the City</w:t>
      </w:r>
      <w:r w:rsidR="000278D4">
        <w:t xml:space="preserve"> of Edmonds</w:t>
      </w:r>
      <w:r w:rsidR="00342998">
        <w:t xml:space="preserve"> </w:t>
      </w:r>
      <w:r>
        <w:t>object</w:t>
      </w:r>
      <w:r w:rsidR="00342998">
        <w:t xml:space="preserve"> </w:t>
      </w:r>
      <w:r w:rsidR="00146E79">
        <w:t xml:space="preserve">to </w:t>
      </w:r>
      <w:r w:rsidR="00342998">
        <w:t>Petitioner</w:t>
      </w:r>
      <w:r w:rsidR="00146E79">
        <w:t>’s</w:t>
      </w:r>
      <w:r w:rsidR="00342998">
        <w:t xml:space="preserve"> </w:t>
      </w:r>
      <w:r w:rsidR="00146E79">
        <w:t>use of confidential subscriber data</w:t>
      </w:r>
      <w:r w:rsidR="000278D4">
        <w:t xml:space="preserve"> </w:t>
      </w:r>
      <w:r>
        <w:t>from Frontier</w:t>
      </w:r>
      <w:r w:rsidR="00342998">
        <w:t>.</w:t>
      </w:r>
      <w:r w:rsidR="00146E79">
        <w:rPr>
          <w:rStyle w:val="FootnoteReference"/>
        </w:rPr>
        <w:footnoteReference w:id="39"/>
      </w:r>
      <w:r w:rsidR="00342998">
        <w:t xml:space="preserve"> </w:t>
      </w:r>
      <w:r w:rsidR="00146E79">
        <w:t xml:space="preserve"> Petitioner responds, and we agree, that the </w:t>
      </w:r>
      <w:r>
        <w:t xml:space="preserve">Three Washington Communities and the </w:t>
      </w:r>
      <w:r w:rsidR="00146E79">
        <w:t xml:space="preserve">City </w:t>
      </w:r>
      <w:r>
        <w:t>of Edmonds have</w:t>
      </w:r>
      <w:r w:rsidR="00146E79">
        <w:t xml:space="preserve"> failed to pursue existing Commission processes designed to allow access to confidential information.</w:t>
      </w:r>
      <w:r w:rsidR="00146E79">
        <w:rPr>
          <w:rStyle w:val="FootnoteReference"/>
        </w:rPr>
        <w:footnoteReference w:id="40"/>
      </w:r>
      <w:r w:rsidR="00146E79">
        <w:t xml:space="preserve">  </w:t>
      </w:r>
      <w:r>
        <w:t>I</w:t>
      </w:r>
      <w:r w:rsidR="004C30F7">
        <w:t>n past proceedings, we have accepted effective competition filings containing confidential subscriber information.</w:t>
      </w:r>
      <w:r>
        <w:rPr>
          <w:rStyle w:val="FootnoteReference"/>
        </w:rPr>
        <w:footnoteReference w:id="41"/>
      </w:r>
      <w:r w:rsidR="004C30F7">
        <w:t xml:space="preserve">  </w:t>
      </w:r>
      <w:r>
        <w:t>As a party</w:t>
      </w:r>
      <w:r w:rsidR="00BA620C">
        <w:t xml:space="preserve"> to this proceeding</w:t>
      </w:r>
      <w:r>
        <w:t>, the Three Washington Communities and t</w:t>
      </w:r>
      <w:r w:rsidR="004C30F7">
        <w:t xml:space="preserve">he City of Edmonds may gain access to confidential data </w:t>
      </w:r>
      <w:r>
        <w:t>under a protective order</w:t>
      </w:r>
      <w:r w:rsidR="00BA620C">
        <w:t>.  The Communities and the City of Edmonds</w:t>
      </w:r>
      <w:r w:rsidR="004C30F7">
        <w:t xml:space="preserve"> failed to </w:t>
      </w:r>
      <w:r w:rsidR="00BA620C">
        <w:t>pursue such access in accordance with the Commission’s confidentiality procedures</w:t>
      </w:r>
      <w:r w:rsidR="004C30F7">
        <w:t xml:space="preserve">.  Accordingly, we reject the </w:t>
      </w:r>
      <w:r>
        <w:t xml:space="preserve">Communities’ and </w:t>
      </w:r>
      <w:r w:rsidR="004C30F7">
        <w:t>City’s objection</w:t>
      </w:r>
      <w:r>
        <w:t>s</w:t>
      </w:r>
      <w:r w:rsidR="004C30F7">
        <w:t xml:space="preserve"> that the </w:t>
      </w:r>
      <w:r w:rsidR="00AE1DF3">
        <w:t>P</w:t>
      </w:r>
      <w:r w:rsidR="004C30F7">
        <w:t xml:space="preserve">etition should be denied because </w:t>
      </w:r>
      <w:r w:rsidR="004869E1">
        <w:t>they</w:t>
      </w:r>
      <w:r w:rsidR="004C30F7" w:rsidRPr="005C4176">
        <w:t xml:space="preserve"> could </w:t>
      </w:r>
      <w:r w:rsidR="00232460">
        <w:t xml:space="preserve">not </w:t>
      </w:r>
      <w:r w:rsidR="004869E1">
        <w:t>validate the data submitted by Petitioner</w:t>
      </w:r>
      <w:r w:rsidR="004C30F7" w:rsidRPr="005C4176">
        <w:t>.</w:t>
      </w:r>
      <w:r w:rsidR="004C30F7" w:rsidRPr="005C4176">
        <w:rPr>
          <w:rStyle w:val="FootnoteReference"/>
        </w:rPr>
        <w:footnoteReference w:id="42"/>
      </w:r>
      <w:r>
        <w:t xml:space="preserve">  </w:t>
      </w:r>
    </w:p>
    <w:p w:rsidR="00051F7B" w:rsidRDefault="00051F7B" w:rsidP="004D5459">
      <w:pPr>
        <w:pStyle w:val="Heading3"/>
        <w:jc w:val="left"/>
      </w:pPr>
      <w:r>
        <w:t>Conclusion</w:t>
      </w:r>
    </w:p>
    <w:p w:rsidR="00E65484" w:rsidRPr="00A801EC" w:rsidRDefault="00E65484" w:rsidP="004D5459">
      <w:pPr>
        <w:pStyle w:val="ParaNum"/>
        <w:tabs>
          <w:tab w:val="num" w:pos="1440"/>
        </w:tabs>
        <w:jc w:val="left"/>
      </w:pPr>
      <w:r w:rsidRPr="005C4176">
        <w:t xml:space="preserve">Despite the </w:t>
      </w:r>
      <w:r w:rsidR="007073C4" w:rsidRPr="005C4176">
        <w:t xml:space="preserve">specific and general </w:t>
      </w:r>
      <w:r w:rsidRPr="005C4176">
        <w:t>objections</w:t>
      </w:r>
      <w:r w:rsidRPr="00A801EC">
        <w:t xml:space="preserve"> of </w:t>
      </w:r>
      <w:r w:rsidR="00FB2C53">
        <w:t xml:space="preserve">the </w:t>
      </w:r>
      <w:r w:rsidR="00F6726B">
        <w:t xml:space="preserve">Three Washington </w:t>
      </w:r>
      <w:r w:rsidR="00FB2C53">
        <w:t>Communities</w:t>
      </w:r>
      <w:r w:rsidR="00A2122F">
        <w:t xml:space="preserve"> and the City</w:t>
      </w:r>
      <w:r w:rsidR="00F6726B">
        <w:t xml:space="preserve"> of Edmonds</w:t>
      </w:r>
      <w:r w:rsidR="00232460">
        <w:t>, the second part</w:t>
      </w:r>
      <w:r w:rsidRPr="00A801EC">
        <w:t xml:space="preserve"> of the competing provider test is satisfied for </w:t>
      </w:r>
      <w:r w:rsidR="008C2E48">
        <w:t>the Communities</w:t>
      </w:r>
      <w:r w:rsidR="00FB2C53">
        <w:t xml:space="preserve"> of </w:t>
      </w:r>
      <w:r w:rsidR="00A2122F">
        <w:t xml:space="preserve">Edmonds, </w:t>
      </w:r>
      <w:r w:rsidR="00FB2C53">
        <w:t>Everett, Mountlake Terrace, and Mukilteo</w:t>
      </w:r>
      <w:r w:rsidR="000F1B15">
        <w:t xml:space="preserve">.  </w:t>
      </w:r>
      <w:r w:rsidRPr="00A801EC">
        <w:t>Based on the foregoing</w:t>
      </w:r>
      <w:r>
        <w:t xml:space="preserve"> reasons</w:t>
      </w:r>
      <w:r w:rsidR="00232460">
        <w:t xml:space="preserve">, </w:t>
      </w:r>
      <w:r w:rsidR="00A44615">
        <w:t xml:space="preserve">and in accordance with the presumption of competing provider effective competition, </w:t>
      </w:r>
      <w:r w:rsidR="00232460">
        <w:t>we conclude that both parts</w:t>
      </w:r>
      <w:r w:rsidRPr="00A801EC">
        <w:t xml:space="preserve"> of the competing provider test are satisfied and Petitioner is subject </w:t>
      </w:r>
      <w:r>
        <w:t xml:space="preserve">to effective competition in </w:t>
      </w:r>
      <w:r w:rsidR="00817B6B">
        <w:t xml:space="preserve">all of </w:t>
      </w:r>
      <w:r>
        <w:t xml:space="preserve">the </w:t>
      </w:r>
      <w:r w:rsidR="00817B6B">
        <w:t>Attachment A Communities</w:t>
      </w:r>
      <w:r>
        <w:rPr>
          <w:color w:val="000000"/>
          <w:szCs w:val="22"/>
        </w:rPr>
        <w:t xml:space="preserve">. </w:t>
      </w:r>
    </w:p>
    <w:p w:rsidR="00E65484" w:rsidRPr="00010B17" w:rsidRDefault="007868D4" w:rsidP="004D5459">
      <w:pPr>
        <w:pStyle w:val="Heading1"/>
        <w:jc w:val="left"/>
      </w:pPr>
      <w:r>
        <w:t>O</w:t>
      </w:r>
      <w:r w:rsidR="00E65484" w:rsidRPr="00010B17">
        <w:t xml:space="preserve">rdering clauses </w:t>
      </w:r>
    </w:p>
    <w:p w:rsidR="00E65484" w:rsidRPr="00010B17" w:rsidRDefault="00E65484" w:rsidP="004D5459">
      <w:pPr>
        <w:pStyle w:val="ParaNum"/>
        <w:tabs>
          <w:tab w:val="num" w:pos="1440"/>
        </w:tabs>
        <w:ind w:left="90"/>
        <w:jc w:val="left"/>
        <w:rPr>
          <w:color w:val="000000"/>
          <w:szCs w:val="22"/>
        </w:rPr>
      </w:pPr>
      <w:r w:rsidRPr="00010B17">
        <w:rPr>
          <w:color w:val="000000"/>
          <w:szCs w:val="22"/>
        </w:rPr>
        <w:t xml:space="preserve">Accordingly, </w:t>
      </w:r>
      <w:r w:rsidRPr="00010B17">
        <w:rPr>
          <w:b/>
          <w:color w:val="000000"/>
          <w:szCs w:val="22"/>
        </w:rPr>
        <w:t>IT IS ORDERED</w:t>
      </w:r>
      <w:r w:rsidRPr="00010B17">
        <w:rPr>
          <w:color w:val="000000"/>
          <w:szCs w:val="22"/>
        </w:rPr>
        <w:t xml:space="preserve"> that the petition for a determination of effective competition filed in the captioned proceeding by </w:t>
      </w:r>
      <w:r>
        <w:rPr>
          <w:color w:val="000000"/>
          <w:szCs w:val="22"/>
        </w:rPr>
        <w:t>Comcast Cable Communications</w:t>
      </w:r>
      <w:r w:rsidR="009760B9">
        <w:rPr>
          <w:color w:val="000000"/>
          <w:szCs w:val="22"/>
        </w:rPr>
        <w:t>, LLC</w:t>
      </w:r>
      <w:r>
        <w:rPr>
          <w:color w:val="000000"/>
          <w:szCs w:val="22"/>
        </w:rPr>
        <w:t xml:space="preserve"> </w:t>
      </w:r>
      <w:r w:rsidRPr="00010B17">
        <w:rPr>
          <w:b/>
          <w:color w:val="000000"/>
          <w:szCs w:val="22"/>
        </w:rPr>
        <w:t xml:space="preserve">IS GRANTED </w:t>
      </w:r>
      <w:r w:rsidR="000558F8">
        <w:rPr>
          <w:color w:val="000000"/>
          <w:szCs w:val="22"/>
        </w:rPr>
        <w:t>as to the</w:t>
      </w:r>
      <w:r w:rsidRPr="00010B17">
        <w:rPr>
          <w:color w:val="000000"/>
          <w:szCs w:val="22"/>
        </w:rPr>
        <w:t xml:space="preserve"> </w:t>
      </w:r>
      <w:r>
        <w:rPr>
          <w:color w:val="000000"/>
          <w:szCs w:val="22"/>
        </w:rPr>
        <w:t xml:space="preserve">Communities </w:t>
      </w:r>
      <w:r w:rsidR="000558F8">
        <w:t>listed on Attachment A hereto</w:t>
      </w:r>
      <w:r w:rsidR="007073C4">
        <w:t>.</w:t>
      </w:r>
    </w:p>
    <w:p w:rsidR="00E65484" w:rsidRPr="00010B17" w:rsidRDefault="00E65484" w:rsidP="004D5459">
      <w:pPr>
        <w:pStyle w:val="ParaNum"/>
        <w:tabs>
          <w:tab w:val="num" w:pos="1440"/>
        </w:tabs>
        <w:ind w:left="90"/>
        <w:jc w:val="left"/>
        <w:rPr>
          <w:color w:val="000000"/>
          <w:szCs w:val="22"/>
        </w:rPr>
      </w:pPr>
      <w:r w:rsidRPr="00010B17">
        <w:rPr>
          <w:b/>
          <w:color w:val="000000"/>
          <w:szCs w:val="22"/>
        </w:rPr>
        <w:t>IT IS FURTHER ORDERED</w:t>
      </w:r>
      <w:r w:rsidRPr="00010B17">
        <w:rPr>
          <w:color w:val="000000"/>
          <w:szCs w:val="22"/>
        </w:rPr>
        <w:t xml:space="preserve"> that the certification to regulate basic cable service rates granted to </w:t>
      </w:r>
      <w:r w:rsidR="000558F8">
        <w:t xml:space="preserve">or on behalf of any of </w:t>
      </w:r>
      <w:r w:rsidRPr="00010B17">
        <w:rPr>
          <w:color w:val="000000"/>
          <w:szCs w:val="22"/>
        </w:rPr>
        <w:t xml:space="preserve">the </w:t>
      </w:r>
      <w:r>
        <w:rPr>
          <w:color w:val="000000"/>
          <w:szCs w:val="22"/>
        </w:rPr>
        <w:t xml:space="preserve">Communities </w:t>
      </w:r>
      <w:r w:rsidR="000558F8">
        <w:t>set forth on Attachment A</w:t>
      </w:r>
      <w:r w:rsidR="00E769E4" w:rsidRPr="00A801EC">
        <w:rPr>
          <w:b/>
          <w:color w:val="000000"/>
          <w:szCs w:val="22"/>
        </w:rPr>
        <w:t xml:space="preserve"> </w:t>
      </w:r>
      <w:r w:rsidR="00E01EF1">
        <w:rPr>
          <w:b/>
          <w:color w:val="000000"/>
          <w:szCs w:val="22"/>
        </w:rPr>
        <w:t>IS</w:t>
      </w:r>
      <w:r w:rsidRPr="00010B17">
        <w:rPr>
          <w:b/>
          <w:color w:val="000000"/>
          <w:szCs w:val="22"/>
        </w:rPr>
        <w:t xml:space="preserve"> REVOKED</w:t>
      </w:r>
      <w:r w:rsidRPr="00010B17">
        <w:rPr>
          <w:color w:val="000000"/>
          <w:szCs w:val="22"/>
        </w:rPr>
        <w:t xml:space="preserve">. </w:t>
      </w:r>
    </w:p>
    <w:p w:rsidR="00E65484" w:rsidRPr="00010B17" w:rsidRDefault="00E65484" w:rsidP="004D5459">
      <w:pPr>
        <w:pStyle w:val="ParaNum"/>
        <w:tabs>
          <w:tab w:val="num" w:pos="1440"/>
        </w:tabs>
        <w:ind w:left="90"/>
        <w:jc w:val="left"/>
        <w:rPr>
          <w:color w:val="000000"/>
          <w:szCs w:val="22"/>
        </w:rPr>
      </w:pPr>
      <w:r w:rsidRPr="00010B17">
        <w:rPr>
          <w:color w:val="000000"/>
          <w:szCs w:val="22"/>
        </w:rPr>
        <w:t>This action is taken pursuant to delegated authority pursuant to Section 0.283 of the Commission’s rules.</w:t>
      </w:r>
      <w:r w:rsidRPr="00010B17">
        <w:rPr>
          <w:color w:val="000000"/>
          <w:szCs w:val="22"/>
          <w:vertAlign w:val="superscript"/>
        </w:rPr>
        <w:footnoteReference w:id="43"/>
      </w:r>
    </w:p>
    <w:p w:rsidR="00E65484" w:rsidRPr="00010B17" w:rsidRDefault="00E65484" w:rsidP="00E65484">
      <w:pPr>
        <w:pStyle w:val="ParaNum"/>
        <w:numPr>
          <w:ilvl w:val="0"/>
          <w:numId w:val="0"/>
        </w:numPr>
        <w:jc w:val="left"/>
        <w:rPr>
          <w:color w:val="000000"/>
          <w:szCs w:val="22"/>
        </w:rPr>
      </w:pPr>
      <w:r w:rsidRPr="00010B17">
        <w:rPr>
          <w:color w:val="000000"/>
          <w:szCs w:val="22"/>
        </w:rPr>
        <w:tab/>
      </w:r>
      <w:r w:rsidRPr="00010B17">
        <w:rPr>
          <w:color w:val="000000"/>
          <w:szCs w:val="22"/>
        </w:rPr>
        <w:tab/>
      </w:r>
      <w:r w:rsidRPr="00010B17">
        <w:rPr>
          <w:color w:val="000000"/>
          <w:szCs w:val="22"/>
        </w:rPr>
        <w:tab/>
      </w:r>
    </w:p>
    <w:p w:rsidR="00E65484" w:rsidRPr="00010B17" w:rsidRDefault="00E65484" w:rsidP="00E65484">
      <w:pPr>
        <w:pStyle w:val="ParaNum"/>
        <w:numPr>
          <w:ilvl w:val="0"/>
          <w:numId w:val="0"/>
        </w:numPr>
        <w:jc w:val="left"/>
        <w:rPr>
          <w:color w:val="000000"/>
          <w:szCs w:val="22"/>
        </w:rPr>
      </w:pPr>
      <w:r w:rsidRPr="00010B17">
        <w:rPr>
          <w:color w:val="000000"/>
          <w:szCs w:val="22"/>
        </w:rPr>
        <w:tab/>
      </w:r>
      <w:r w:rsidRPr="00010B17">
        <w:rPr>
          <w:color w:val="000000"/>
          <w:szCs w:val="22"/>
        </w:rPr>
        <w:tab/>
      </w:r>
      <w:r w:rsidRPr="00010B17">
        <w:rPr>
          <w:color w:val="000000"/>
          <w:szCs w:val="22"/>
        </w:rPr>
        <w:tab/>
      </w:r>
      <w:r w:rsidRPr="00010B17">
        <w:rPr>
          <w:color w:val="000000"/>
          <w:szCs w:val="22"/>
        </w:rPr>
        <w:tab/>
        <w:t>FEDERAL COMMUNICATIONS COMMISSION</w:t>
      </w:r>
    </w:p>
    <w:p w:rsidR="00E65484" w:rsidRPr="00010B17" w:rsidRDefault="00E65484" w:rsidP="00E65484">
      <w:pPr>
        <w:pStyle w:val="DocText"/>
        <w:jc w:val="left"/>
        <w:rPr>
          <w:color w:val="000000"/>
          <w:sz w:val="22"/>
          <w:szCs w:val="22"/>
        </w:rPr>
      </w:pPr>
    </w:p>
    <w:p w:rsidR="00E65484" w:rsidRPr="00010B17" w:rsidRDefault="00E65484" w:rsidP="00E65484">
      <w:pPr>
        <w:pStyle w:val="DocText"/>
        <w:ind w:left="0"/>
        <w:jc w:val="left"/>
        <w:rPr>
          <w:color w:val="000000"/>
          <w:sz w:val="22"/>
          <w:szCs w:val="22"/>
        </w:rPr>
      </w:pPr>
    </w:p>
    <w:p w:rsidR="00E65484" w:rsidRPr="00010B17" w:rsidRDefault="00E65484" w:rsidP="00E65484">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Steven A. Broeckaert</w:t>
      </w:r>
    </w:p>
    <w:p w:rsidR="00E65484" w:rsidRPr="00010B17" w:rsidRDefault="00E65484" w:rsidP="00E65484">
      <w:pPr>
        <w:pStyle w:val="DocText"/>
        <w:jc w:val="left"/>
        <w:rPr>
          <w:color w:val="000000"/>
          <w:sz w:val="22"/>
          <w:szCs w:val="22"/>
        </w:rPr>
      </w:pPr>
      <w:r w:rsidRPr="00010B17">
        <w:rPr>
          <w:color w:val="000000"/>
          <w:sz w:val="22"/>
          <w:szCs w:val="22"/>
        </w:rPr>
        <w:tab/>
      </w:r>
      <w:r w:rsidRPr="00010B17">
        <w:rPr>
          <w:color w:val="000000"/>
          <w:sz w:val="22"/>
          <w:szCs w:val="22"/>
        </w:rPr>
        <w:tab/>
      </w:r>
      <w:r w:rsidRPr="00010B17">
        <w:rPr>
          <w:color w:val="000000"/>
          <w:sz w:val="22"/>
          <w:szCs w:val="22"/>
        </w:rPr>
        <w:tab/>
      </w:r>
      <w:r w:rsidRPr="00010B17">
        <w:rPr>
          <w:color w:val="000000"/>
          <w:sz w:val="22"/>
          <w:szCs w:val="22"/>
        </w:rPr>
        <w:tab/>
        <w:t>Senior Deputy Chief, Policy Division, Media Bureau</w:t>
      </w:r>
    </w:p>
    <w:p w:rsidR="00462FBC" w:rsidRPr="002D1382" w:rsidRDefault="00B762BA" w:rsidP="00B762BA">
      <w:pPr>
        <w:pStyle w:val="ParaNum"/>
        <w:numPr>
          <w:ilvl w:val="0"/>
          <w:numId w:val="0"/>
        </w:numPr>
        <w:jc w:val="center"/>
        <w:rPr>
          <w:b/>
        </w:rPr>
      </w:pPr>
      <w:r>
        <w:br w:type="page"/>
      </w:r>
      <w:r w:rsidR="00C90BEE" w:rsidRPr="002D1382">
        <w:rPr>
          <w:b/>
        </w:rPr>
        <w:t>ATTACHMENT A</w:t>
      </w:r>
    </w:p>
    <w:p w:rsidR="00B762BA" w:rsidRPr="00204D09" w:rsidRDefault="0064334D" w:rsidP="00B762BA">
      <w:pPr>
        <w:pStyle w:val="ParaNum"/>
        <w:numPr>
          <w:ilvl w:val="0"/>
          <w:numId w:val="0"/>
        </w:numPr>
        <w:jc w:val="center"/>
        <w:rPr>
          <w:b/>
          <w:color w:val="000000"/>
        </w:rPr>
      </w:pPr>
      <w:r w:rsidRPr="00204D09">
        <w:rPr>
          <w:b/>
          <w:color w:val="000000"/>
        </w:rPr>
        <w:t xml:space="preserve">MB Docket No. </w:t>
      </w:r>
      <w:r w:rsidRPr="002036CA">
        <w:rPr>
          <w:b/>
          <w:color w:val="000000"/>
        </w:rPr>
        <w:t>13-198</w:t>
      </w:r>
      <w:r w:rsidR="009C08CA" w:rsidRPr="002036CA">
        <w:rPr>
          <w:b/>
          <w:color w:val="000000"/>
        </w:rPr>
        <w:t>,</w:t>
      </w:r>
      <w:r w:rsidR="009C08CA" w:rsidRPr="00204D09">
        <w:rPr>
          <w:b/>
          <w:color w:val="000000"/>
        </w:rPr>
        <w:t xml:space="preserve"> </w:t>
      </w:r>
      <w:r w:rsidR="00B762BA" w:rsidRPr="00204D09">
        <w:rPr>
          <w:b/>
          <w:color w:val="000000"/>
        </w:rPr>
        <w:t>CSR</w:t>
      </w:r>
      <w:r w:rsidR="006C2AE6" w:rsidRPr="00204D09">
        <w:rPr>
          <w:b/>
          <w:color w:val="000000"/>
        </w:rPr>
        <w:t xml:space="preserve"> </w:t>
      </w:r>
      <w:r w:rsidRPr="002036CA">
        <w:rPr>
          <w:b/>
          <w:color w:val="000000"/>
        </w:rPr>
        <w:t>8821</w:t>
      </w:r>
      <w:r w:rsidR="009C08CA" w:rsidRPr="002036CA">
        <w:rPr>
          <w:b/>
          <w:color w:val="000000"/>
        </w:rPr>
        <w:t>-</w:t>
      </w:r>
      <w:r w:rsidR="009C08CA" w:rsidRPr="00204D09">
        <w:rPr>
          <w:b/>
          <w:color w:val="000000"/>
        </w:rPr>
        <w:t>E</w:t>
      </w:r>
    </w:p>
    <w:p w:rsidR="00B762BA" w:rsidRDefault="00182D6E" w:rsidP="009F2DBF">
      <w:pPr>
        <w:pStyle w:val="ParaNum"/>
        <w:numPr>
          <w:ilvl w:val="0"/>
          <w:numId w:val="0"/>
        </w:numPr>
        <w:spacing w:after="0"/>
        <w:jc w:val="center"/>
      </w:pPr>
      <w:r>
        <w:rPr>
          <w:b/>
        </w:rPr>
        <w:t>C</w:t>
      </w:r>
      <w:r w:rsidRPr="002036CA">
        <w:rPr>
          <w:b/>
          <w:color w:val="000000"/>
        </w:rPr>
        <w:t>OMMUNITIES</w:t>
      </w:r>
      <w:r w:rsidR="00B762BA" w:rsidRPr="00204D09">
        <w:rPr>
          <w:b/>
          <w:color w:val="000000"/>
        </w:rPr>
        <w:t xml:space="preserve"> SERVED BY </w:t>
      </w:r>
      <w:r w:rsidR="0064334D" w:rsidRPr="002036CA">
        <w:rPr>
          <w:b/>
          <w:color w:val="000000"/>
        </w:rPr>
        <w:t>COMCAST CABLE COMMUNICATIONS, LLC</w:t>
      </w:r>
      <w:r w:rsidR="00B762BA" w:rsidRPr="00204D09">
        <w:rPr>
          <w:color w:val="000000"/>
        </w:rPr>
        <w:tab/>
      </w:r>
    </w:p>
    <w:p w:rsidR="00B762BA" w:rsidRDefault="00B762BA" w:rsidP="00B762BA">
      <w:pPr>
        <w:pStyle w:val="EndnoteText"/>
        <w:spacing w:after="0"/>
        <w:rPr>
          <w:sz w:val="20"/>
        </w:rPr>
      </w:pPr>
      <w:r>
        <w:rPr>
          <w:b/>
          <w:sz w:val="20"/>
        </w:rPr>
        <w:t xml:space="preserve"> </w:t>
      </w:r>
    </w:p>
    <w:tbl>
      <w:tblPr>
        <w:tblW w:w="879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75"/>
        <w:gridCol w:w="1404"/>
        <w:gridCol w:w="1573"/>
        <w:gridCol w:w="1790"/>
        <w:gridCol w:w="2348"/>
      </w:tblGrid>
      <w:tr w:rsidR="0019354C" w:rsidRPr="00054B97" w:rsidTr="0019354C">
        <w:trPr>
          <w:trHeight w:val="42"/>
        </w:trPr>
        <w:tc>
          <w:tcPr>
            <w:tcW w:w="1675" w:type="dxa"/>
            <w:tcMar>
              <w:top w:w="28" w:type="dxa"/>
              <w:left w:w="28" w:type="dxa"/>
              <w:bottom w:w="28" w:type="dxa"/>
              <w:right w:w="28" w:type="dxa"/>
            </w:tcMar>
          </w:tcPr>
          <w:p w:rsidR="0019354C" w:rsidRPr="009F57C8" w:rsidRDefault="0019354C" w:rsidP="00C24536">
            <w:pPr>
              <w:autoSpaceDE w:val="0"/>
              <w:autoSpaceDN w:val="0"/>
              <w:adjustRightInd w:val="0"/>
              <w:jc w:val="center"/>
              <w:rPr>
                <w:b/>
                <w:color w:val="FF0000"/>
                <w:szCs w:val="22"/>
              </w:rPr>
            </w:pPr>
          </w:p>
          <w:p w:rsidR="0019354C" w:rsidRPr="009F57C8" w:rsidRDefault="0019354C" w:rsidP="00C24536">
            <w:pPr>
              <w:autoSpaceDE w:val="0"/>
              <w:autoSpaceDN w:val="0"/>
              <w:adjustRightInd w:val="0"/>
              <w:jc w:val="center"/>
              <w:rPr>
                <w:b/>
                <w:szCs w:val="22"/>
              </w:rPr>
            </w:pPr>
            <w:r w:rsidRPr="00204D09">
              <w:rPr>
                <w:b/>
              </w:rPr>
              <w:t>Commun</w:t>
            </w:r>
            <w:r w:rsidRPr="00204D09">
              <w:rPr>
                <w:b/>
                <w:color w:val="000000"/>
              </w:rPr>
              <w:t>it</w:t>
            </w:r>
            <w:r w:rsidRPr="00204D09">
              <w:rPr>
                <w:rFonts w:ascii="Times New Roman Bold" w:hAnsi="Times New Roman Bold"/>
                <w:b/>
                <w:color w:val="000000"/>
              </w:rPr>
              <w:t>ies</w:t>
            </w:r>
          </w:p>
        </w:tc>
        <w:tc>
          <w:tcPr>
            <w:tcW w:w="1404" w:type="dxa"/>
            <w:tcMar>
              <w:top w:w="28" w:type="dxa"/>
              <w:left w:w="28" w:type="dxa"/>
              <w:bottom w:w="28" w:type="dxa"/>
              <w:right w:w="28" w:type="dxa"/>
            </w:tcMar>
          </w:tcPr>
          <w:p w:rsidR="0019354C" w:rsidRPr="009F57C8" w:rsidRDefault="0019354C" w:rsidP="00C24536">
            <w:pPr>
              <w:autoSpaceDE w:val="0"/>
              <w:autoSpaceDN w:val="0"/>
              <w:adjustRightInd w:val="0"/>
              <w:jc w:val="center"/>
              <w:rPr>
                <w:b/>
                <w:szCs w:val="22"/>
              </w:rPr>
            </w:pPr>
          </w:p>
          <w:p w:rsidR="0019354C" w:rsidRPr="009F57C8" w:rsidRDefault="0019354C" w:rsidP="00C24536">
            <w:pPr>
              <w:autoSpaceDE w:val="0"/>
              <w:autoSpaceDN w:val="0"/>
              <w:adjustRightInd w:val="0"/>
              <w:jc w:val="center"/>
              <w:rPr>
                <w:b/>
                <w:color w:val="000000"/>
                <w:szCs w:val="22"/>
              </w:rPr>
            </w:pPr>
            <w:r w:rsidRPr="009F57C8">
              <w:rPr>
                <w:b/>
                <w:szCs w:val="22"/>
              </w:rPr>
              <w:t xml:space="preserve">CUID  </w:t>
            </w:r>
          </w:p>
        </w:tc>
        <w:tc>
          <w:tcPr>
            <w:tcW w:w="1573" w:type="dxa"/>
            <w:tcMar>
              <w:top w:w="28" w:type="dxa"/>
              <w:left w:w="28" w:type="dxa"/>
              <w:bottom w:w="28" w:type="dxa"/>
              <w:right w:w="28" w:type="dxa"/>
            </w:tcMar>
          </w:tcPr>
          <w:p w:rsidR="0019354C" w:rsidRPr="009F57C8" w:rsidRDefault="0019354C" w:rsidP="00C24536">
            <w:pPr>
              <w:autoSpaceDE w:val="0"/>
              <w:autoSpaceDN w:val="0"/>
              <w:adjustRightInd w:val="0"/>
              <w:jc w:val="center"/>
              <w:rPr>
                <w:b/>
                <w:szCs w:val="22"/>
              </w:rPr>
            </w:pPr>
          </w:p>
          <w:p w:rsidR="0019354C" w:rsidRPr="009F57C8" w:rsidRDefault="0019354C" w:rsidP="00C24536">
            <w:pPr>
              <w:autoSpaceDE w:val="0"/>
              <w:autoSpaceDN w:val="0"/>
              <w:adjustRightInd w:val="0"/>
              <w:jc w:val="center"/>
              <w:rPr>
                <w:b/>
                <w:color w:val="000000"/>
                <w:szCs w:val="22"/>
              </w:rPr>
            </w:pPr>
            <w:r w:rsidRPr="009F57C8">
              <w:rPr>
                <w:b/>
                <w:szCs w:val="22"/>
              </w:rPr>
              <w:t>CPR*</w:t>
            </w:r>
          </w:p>
        </w:tc>
        <w:tc>
          <w:tcPr>
            <w:tcW w:w="1790" w:type="dxa"/>
            <w:tcMar>
              <w:top w:w="28" w:type="dxa"/>
              <w:left w:w="28" w:type="dxa"/>
              <w:bottom w:w="28" w:type="dxa"/>
              <w:right w:w="28" w:type="dxa"/>
            </w:tcMar>
          </w:tcPr>
          <w:p w:rsidR="0019354C" w:rsidRPr="009F57C8" w:rsidRDefault="0019354C" w:rsidP="00C24536">
            <w:pPr>
              <w:autoSpaceDE w:val="0"/>
              <w:autoSpaceDN w:val="0"/>
              <w:adjustRightInd w:val="0"/>
              <w:jc w:val="center"/>
              <w:rPr>
                <w:b/>
                <w:color w:val="000000"/>
                <w:szCs w:val="22"/>
              </w:rPr>
            </w:pPr>
            <w:r w:rsidRPr="009F57C8">
              <w:rPr>
                <w:b/>
                <w:color w:val="000000"/>
                <w:szCs w:val="22"/>
              </w:rPr>
              <w:t>20</w:t>
            </w:r>
            <w:r w:rsidR="00B5347A">
              <w:rPr>
                <w:b/>
                <w:color w:val="000000"/>
                <w:szCs w:val="22"/>
              </w:rPr>
              <w:t>1</w:t>
            </w:r>
            <w:r w:rsidRPr="009F57C8">
              <w:rPr>
                <w:b/>
                <w:color w:val="000000"/>
                <w:szCs w:val="22"/>
              </w:rPr>
              <w:t>0 Census</w:t>
            </w:r>
          </w:p>
          <w:p w:rsidR="0019354C" w:rsidRPr="009F57C8" w:rsidRDefault="0019354C" w:rsidP="00C24536">
            <w:pPr>
              <w:autoSpaceDE w:val="0"/>
              <w:autoSpaceDN w:val="0"/>
              <w:adjustRightInd w:val="0"/>
              <w:jc w:val="center"/>
              <w:rPr>
                <w:b/>
                <w:color w:val="000000"/>
                <w:szCs w:val="22"/>
              </w:rPr>
            </w:pPr>
            <w:r w:rsidRPr="009F57C8">
              <w:rPr>
                <w:b/>
                <w:color w:val="000000"/>
                <w:szCs w:val="22"/>
              </w:rPr>
              <w:t>Households</w:t>
            </w:r>
          </w:p>
        </w:tc>
        <w:tc>
          <w:tcPr>
            <w:tcW w:w="2348" w:type="dxa"/>
            <w:tcMar>
              <w:top w:w="28" w:type="dxa"/>
              <w:left w:w="28" w:type="dxa"/>
              <w:bottom w:w="28" w:type="dxa"/>
              <w:right w:w="28" w:type="dxa"/>
            </w:tcMar>
          </w:tcPr>
          <w:p w:rsidR="0019354C" w:rsidRPr="00DC3D4B" w:rsidRDefault="004C60F6" w:rsidP="00A2062D">
            <w:pPr>
              <w:autoSpaceDE w:val="0"/>
              <w:autoSpaceDN w:val="0"/>
              <w:adjustRightInd w:val="0"/>
              <w:jc w:val="center"/>
              <w:rPr>
                <w:b/>
                <w:color w:val="000000"/>
                <w:szCs w:val="22"/>
              </w:rPr>
            </w:pPr>
            <w:r w:rsidRPr="00DC3D4B">
              <w:rPr>
                <w:b/>
                <w:color w:val="000000"/>
                <w:szCs w:val="22"/>
              </w:rPr>
              <w:t xml:space="preserve">Estimated </w:t>
            </w:r>
            <w:r w:rsidRPr="00204D09">
              <w:rPr>
                <w:b/>
                <w:color w:val="000000"/>
              </w:rPr>
              <w:t>Non</w:t>
            </w:r>
            <w:r w:rsidRPr="00DC3D4B">
              <w:rPr>
                <w:b/>
                <w:color w:val="000000"/>
                <w:szCs w:val="22"/>
              </w:rPr>
              <w:t>-</w:t>
            </w:r>
            <w:r w:rsidR="00A2062D" w:rsidRPr="00DC3D4B">
              <w:rPr>
                <w:b/>
                <w:color w:val="000000"/>
                <w:szCs w:val="22"/>
              </w:rPr>
              <w:t>Comcast</w:t>
            </w:r>
            <w:r w:rsidR="002F552A" w:rsidRPr="00DC3D4B">
              <w:rPr>
                <w:b/>
                <w:color w:val="000000"/>
                <w:szCs w:val="22"/>
              </w:rPr>
              <w:t xml:space="preserve"> </w:t>
            </w:r>
            <w:r w:rsidRPr="00DC3D4B">
              <w:rPr>
                <w:b/>
                <w:color w:val="000000"/>
                <w:szCs w:val="22"/>
              </w:rPr>
              <w:t>MVPD Subscribers</w:t>
            </w:r>
          </w:p>
        </w:tc>
      </w:tr>
      <w:tr w:rsidR="0019354C" w:rsidRPr="00054B97" w:rsidTr="00204D09">
        <w:trPr>
          <w:trHeight w:val="252"/>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Brier</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WA0325</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22.86%</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2,165</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495</w:t>
            </w:r>
          </w:p>
        </w:tc>
      </w:tr>
      <w:tr w:rsidR="0019354C" w:rsidRPr="00054B97" w:rsidTr="00204D09">
        <w:trPr>
          <w:trHeight w:val="268"/>
        </w:trPr>
        <w:tc>
          <w:tcPr>
            <w:tcW w:w="1675" w:type="dxa"/>
            <w:vAlign w:val="center"/>
          </w:tcPr>
          <w:p w:rsidR="0019354C" w:rsidRPr="00F60112" w:rsidRDefault="00A2062D" w:rsidP="00A2062D">
            <w:pPr>
              <w:autoSpaceDE w:val="0"/>
              <w:autoSpaceDN w:val="0"/>
              <w:adjustRightInd w:val="0"/>
              <w:jc w:val="center"/>
              <w:rPr>
                <w:color w:val="000000"/>
                <w:sz w:val="20"/>
              </w:rPr>
            </w:pPr>
            <w:r>
              <w:rPr>
                <w:color w:val="000000"/>
                <w:sz w:val="20"/>
              </w:rPr>
              <w:t>Edmonds</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WA0099</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16.21%</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17,381</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2,818</w:t>
            </w:r>
          </w:p>
        </w:tc>
      </w:tr>
      <w:tr w:rsidR="0019354C" w:rsidRPr="00054B97" w:rsidTr="00204D09">
        <w:trPr>
          <w:trHeight w:val="284"/>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Everett</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WA0091</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15.98%</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41,312</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6,601</w:t>
            </w:r>
          </w:p>
        </w:tc>
      </w:tr>
      <w:tr w:rsidR="0019354C" w:rsidRPr="00054B97" w:rsidTr="00204D09">
        <w:trPr>
          <w:trHeight w:val="268"/>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Lynnwood</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WA0204</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17.88%</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14,107</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2,523</w:t>
            </w:r>
          </w:p>
        </w:tc>
      </w:tr>
      <w:tr w:rsidR="0019354C" w:rsidRPr="00054B97" w:rsidTr="00204D09">
        <w:trPr>
          <w:trHeight w:val="268"/>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Mill Creek</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WA0396</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16.81%</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7,551</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1,269</w:t>
            </w:r>
          </w:p>
        </w:tc>
      </w:tr>
      <w:tr w:rsidR="0019354C" w:rsidRPr="00054B97" w:rsidTr="00204D09">
        <w:trPr>
          <w:trHeight w:val="268"/>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Mountlake Terrace</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WA0228</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17.88%</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8,192</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1,465</w:t>
            </w:r>
          </w:p>
        </w:tc>
      </w:tr>
      <w:tr w:rsidR="0019354C" w:rsidRPr="00054B97" w:rsidTr="00204D09">
        <w:trPr>
          <w:trHeight w:val="284"/>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Mukilteo</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WA0013</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15.24%</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8,057</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1,228</w:t>
            </w:r>
          </w:p>
        </w:tc>
      </w:tr>
      <w:tr w:rsidR="0019354C" w:rsidRPr="00054B97" w:rsidTr="00204D09">
        <w:trPr>
          <w:trHeight w:val="268"/>
        </w:trPr>
        <w:tc>
          <w:tcPr>
            <w:tcW w:w="1675" w:type="dxa"/>
            <w:vAlign w:val="center"/>
          </w:tcPr>
          <w:p w:rsidR="0019354C" w:rsidRPr="00F60112" w:rsidRDefault="00A2062D" w:rsidP="00A2062D">
            <w:pPr>
              <w:autoSpaceDE w:val="0"/>
              <w:autoSpaceDN w:val="0"/>
              <w:adjustRightInd w:val="0"/>
              <w:jc w:val="center"/>
              <w:rPr>
                <w:color w:val="000000"/>
                <w:sz w:val="20"/>
              </w:rPr>
            </w:pPr>
            <w:r w:rsidRPr="00204D09">
              <w:rPr>
                <w:color w:val="000000"/>
                <w:sz w:val="20"/>
              </w:rPr>
              <w:t>Woodway</w:t>
            </w:r>
          </w:p>
        </w:tc>
        <w:tc>
          <w:tcPr>
            <w:tcW w:w="1404" w:type="dxa"/>
            <w:vAlign w:val="center"/>
          </w:tcPr>
          <w:p w:rsidR="0019354C" w:rsidRPr="00F60112" w:rsidRDefault="00A2062D" w:rsidP="00A2062D">
            <w:pPr>
              <w:autoSpaceDE w:val="0"/>
              <w:autoSpaceDN w:val="0"/>
              <w:adjustRightInd w:val="0"/>
              <w:jc w:val="center"/>
              <w:rPr>
                <w:color w:val="000000"/>
                <w:sz w:val="20"/>
              </w:rPr>
            </w:pPr>
            <w:r>
              <w:rPr>
                <w:color w:val="000000"/>
                <w:sz w:val="20"/>
              </w:rPr>
              <w:t>WA0550</w:t>
            </w:r>
          </w:p>
        </w:tc>
        <w:tc>
          <w:tcPr>
            <w:tcW w:w="1573" w:type="dxa"/>
            <w:vAlign w:val="center"/>
          </w:tcPr>
          <w:p w:rsidR="0019354C" w:rsidRPr="00F60112" w:rsidRDefault="00A2062D" w:rsidP="00A2062D">
            <w:pPr>
              <w:autoSpaceDE w:val="0"/>
              <w:autoSpaceDN w:val="0"/>
              <w:adjustRightInd w:val="0"/>
              <w:jc w:val="center"/>
              <w:rPr>
                <w:color w:val="000000"/>
                <w:sz w:val="20"/>
              </w:rPr>
            </w:pPr>
            <w:r>
              <w:rPr>
                <w:color w:val="000000"/>
                <w:sz w:val="20"/>
              </w:rPr>
              <w:t>19.87%</w:t>
            </w:r>
          </w:p>
        </w:tc>
        <w:tc>
          <w:tcPr>
            <w:tcW w:w="1790" w:type="dxa"/>
            <w:vAlign w:val="center"/>
          </w:tcPr>
          <w:p w:rsidR="0019354C" w:rsidRPr="00F60112" w:rsidRDefault="00A2062D" w:rsidP="00A2062D">
            <w:pPr>
              <w:autoSpaceDE w:val="0"/>
              <w:autoSpaceDN w:val="0"/>
              <w:adjustRightInd w:val="0"/>
              <w:jc w:val="center"/>
              <w:rPr>
                <w:color w:val="000000"/>
                <w:sz w:val="20"/>
              </w:rPr>
            </w:pPr>
            <w:r>
              <w:rPr>
                <w:color w:val="000000"/>
                <w:sz w:val="20"/>
              </w:rPr>
              <w:t>448</w:t>
            </w:r>
          </w:p>
        </w:tc>
        <w:tc>
          <w:tcPr>
            <w:tcW w:w="2348" w:type="dxa"/>
            <w:vAlign w:val="center"/>
          </w:tcPr>
          <w:p w:rsidR="0019354C" w:rsidRPr="00F60112" w:rsidRDefault="00A2062D" w:rsidP="00A2062D">
            <w:pPr>
              <w:autoSpaceDE w:val="0"/>
              <w:autoSpaceDN w:val="0"/>
              <w:adjustRightInd w:val="0"/>
              <w:jc w:val="center"/>
              <w:rPr>
                <w:color w:val="000000"/>
                <w:sz w:val="20"/>
              </w:rPr>
            </w:pPr>
            <w:r>
              <w:rPr>
                <w:color w:val="000000"/>
                <w:sz w:val="20"/>
              </w:rPr>
              <w:t>89</w:t>
            </w:r>
          </w:p>
        </w:tc>
      </w:tr>
    </w:tbl>
    <w:p w:rsidR="00B762BA" w:rsidRDefault="00B762BA" w:rsidP="00B762BA">
      <w:pPr>
        <w:pStyle w:val="EndnoteText"/>
        <w:spacing w:after="0"/>
        <w:rPr>
          <w:sz w:val="20"/>
        </w:rPr>
      </w:pPr>
    </w:p>
    <w:p w:rsidR="003E1E55" w:rsidRDefault="003E1E55" w:rsidP="00B762BA">
      <w:pPr>
        <w:pStyle w:val="EndnoteText"/>
        <w:spacing w:after="0"/>
        <w:rPr>
          <w:sz w:val="20"/>
        </w:rPr>
      </w:pPr>
    </w:p>
    <w:p w:rsidR="00B762BA" w:rsidRDefault="00B762BA" w:rsidP="00B762BA">
      <w:pPr>
        <w:pStyle w:val="EndnoteText"/>
        <w:spacing w:after="0"/>
        <w:rPr>
          <w:sz w:val="20"/>
        </w:rPr>
      </w:pPr>
      <w:r>
        <w:rPr>
          <w:sz w:val="20"/>
        </w:rPr>
        <w:t xml:space="preserve">      </w:t>
      </w:r>
    </w:p>
    <w:p w:rsidR="004C60F6" w:rsidRPr="00204D09" w:rsidRDefault="004C60F6" w:rsidP="004C60F6">
      <w:pPr>
        <w:rPr>
          <w:color w:val="000000"/>
          <w:sz w:val="20"/>
        </w:rPr>
      </w:pPr>
      <w:r w:rsidRPr="0097473B">
        <w:rPr>
          <w:sz w:val="20"/>
        </w:rPr>
        <w:t xml:space="preserve">*CPR = Percent </w:t>
      </w:r>
      <w:r>
        <w:rPr>
          <w:sz w:val="20"/>
        </w:rPr>
        <w:t xml:space="preserve">of competitive </w:t>
      </w:r>
      <w:r w:rsidRPr="0097473B">
        <w:rPr>
          <w:sz w:val="20"/>
        </w:rPr>
        <w:t>penetration rate</w:t>
      </w:r>
      <w:r>
        <w:rPr>
          <w:sz w:val="20"/>
        </w:rPr>
        <w:t xml:space="preserve"> of both </w:t>
      </w:r>
      <w:r w:rsidR="00A2062D" w:rsidRPr="00204D09">
        <w:rPr>
          <w:color w:val="000000"/>
          <w:sz w:val="20"/>
        </w:rPr>
        <w:t>DBS and</w:t>
      </w:r>
      <w:r w:rsidRPr="00DC3D4B">
        <w:rPr>
          <w:color w:val="000000"/>
          <w:sz w:val="20"/>
        </w:rPr>
        <w:t xml:space="preserve"> </w:t>
      </w:r>
      <w:r w:rsidR="00F6726B" w:rsidRPr="00DC3D4B">
        <w:rPr>
          <w:color w:val="000000"/>
          <w:sz w:val="20"/>
        </w:rPr>
        <w:t>Frontier</w:t>
      </w:r>
      <w:r w:rsidR="00DB643E">
        <w:rPr>
          <w:color w:val="000000"/>
          <w:sz w:val="20"/>
        </w:rPr>
        <w:t xml:space="preserve"> subscribers</w:t>
      </w:r>
      <w:r w:rsidRPr="00DC3D4B">
        <w:rPr>
          <w:color w:val="000000"/>
          <w:sz w:val="20"/>
        </w:rPr>
        <w:t>.</w:t>
      </w:r>
    </w:p>
    <w:p w:rsidR="00B762BA" w:rsidRPr="0097473B" w:rsidRDefault="00B762BA" w:rsidP="004C60F6">
      <w:pPr>
        <w:rPr>
          <w:sz w:val="20"/>
        </w:rPr>
      </w:pPr>
    </w:p>
    <w:sectPr w:rsidR="00B762BA" w:rsidRPr="0097473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102" w:rsidRDefault="00807102">
      <w:r>
        <w:separator/>
      </w:r>
    </w:p>
  </w:endnote>
  <w:endnote w:type="continuationSeparator" w:id="0">
    <w:p w:rsidR="00807102" w:rsidRDefault="00807102">
      <w:r>
        <w:continuationSeparator/>
      </w:r>
    </w:p>
  </w:endnote>
  <w:endnote w:type="continuationNotice" w:id="1">
    <w:p w:rsidR="00807102" w:rsidRDefault="00807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77" w:rsidRDefault="00F24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77" w:rsidRDefault="00E15D77">
    <w:pPr>
      <w:pStyle w:val="Footer"/>
      <w:jc w:val="center"/>
    </w:pPr>
    <w:r>
      <w:rPr>
        <w:rStyle w:val="PageNumber"/>
      </w:rPr>
      <w:fldChar w:fldCharType="begin"/>
    </w:r>
    <w:r>
      <w:rPr>
        <w:rStyle w:val="PageNumber"/>
      </w:rPr>
      <w:instrText xml:space="preserve"> PAGE </w:instrText>
    </w:r>
    <w:r>
      <w:rPr>
        <w:rStyle w:val="PageNumber"/>
      </w:rPr>
      <w:fldChar w:fldCharType="separate"/>
    </w:r>
    <w:r w:rsidR="00326CD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77" w:rsidRDefault="00F24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102" w:rsidRDefault="00807102">
      <w:pPr>
        <w:rPr>
          <w:sz w:val="20"/>
        </w:rPr>
      </w:pPr>
      <w:r>
        <w:rPr>
          <w:sz w:val="20"/>
        </w:rPr>
        <w:separator/>
      </w:r>
    </w:p>
  </w:footnote>
  <w:footnote w:type="continuationSeparator" w:id="0">
    <w:p w:rsidR="00807102" w:rsidRDefault="00807102">
      <w:pPr>
        <w:rPr>
          <w:sz w:val="20"/>
        </w:rPr>
      </w:pPr>
      <w:r>
        <w:rPr>
          <w:sz w:val="20"/>
        </w:rPr>
        <w:separator/>
      </w:r>
    </w:p>
    <w:p w:rsidR="00807102" w:rsidRDefault="00807102">
      <w:pPr>
        <w:rPr>
          <w:sz w:val="20"/>
        </w:rPr>
      </w:pPr>
      <w:r>
        <w:rPr>
          <w:sz w:val="20"/>
        </w:rPr>
        <w:t>(...continued from previous page)</w:t>
      </w:r>
    </w:p>
  </w:footnote>
  <w:footnote w:type="continuationNotice" w:id="1">
    <w:p w:rsidR="00807102" w:rsidRDefault="00807102">
      <w:pPr>
        <w:jc w:val="right"/>
        <w:rPr>
          <w:sz w:val="20"/>
        </w:rPr>
      </w:pPr>
      <w:r>
        <w:rPr>
          <w:sz w:val="20"/>
        </w:rPr>
        <w:t>(continued....)</w:t>
      </w:r>
    </w:p>
  </w:footnote>
  <w:footnote w:id="2">
    <w:p w:rsidR="00576D94" w:rsidRPr="004D5459" w:rsidRDefault="00576D94" w:rsidP="004D5459">
      <w:pPr>
        <w:pStyle w:val="FootnoteText"/>
        <w:jc w:val="left"/>
      </w:pPr>
      <w:r w:rsidRPr="004D5459">
        <w:rPr>
          <w:rStyle w:val="FootnoteReference"/>
        </w:rPr>
        <w:footnoteRef/>
      </w:r>
      <w:r w:rsidRPr="004D5459">
        <w:t xml:space="preserve"> Comcast Cable Commc’ns, LLC, </w:t>
      </w:r>
      <w:r w:rsidRPr="004D5459">
        <w:rPr>
          <w:iCs/>
        </w:rPr>
        <w:t>Petition for Special Relief (Petition).</w:t>
      </w:r>
    </w:p>
  </w:footnote>
  <w:footnote w:id="3">
    <w:p w:rsidR="00E15D77" w:rsidRPr="004D5459" w:rsidRDefault="00E15D77" w:rsidP="004D5459">
      <w:pPr>
        <w:pStyle w:val="FootnoteText"/>
        <w:jc w:val="left"/>
      </w:pPr>
      <w:r w:rsidRPr="004D5459">
        <w:rPr>
          <w:rStyle w:val="FootnoteReference"/>
        </w:rPr>
        <w:footnoteRef/>
      </w:r>
      <w:r w:rsidRPr="004D5459">
        <w:rPr>
          <w:i/>
        </w:rPr>
        <w:t xml:space="preserve"> See</w:t>
      </w:r>
      <w:r w:rsidRPr="004D5459">
        <w:t xml:space="preserve"> 47 U.S.C. § 543(l)(1)(B).</w:t>
      </w:r>
    </w:p>
  </w:footnote>
  <w:footnote w:id="4">
    <w:p w:rsidR="00E15D77" w:rsidRPr="004D5459" w:rsidRDefault="00E15D77" w:rsidP="004D5459">
      <w:pPr>
        <w:pStyle w:val="FootnoteText"/>
        <w:jc w:val="left"/>
      </w:pPr>
      <w:r w:rsidRPr="004D5459">
        <w:rPr>
          <w:rStyle w:val="FootnoteReference"/>
        </w:rPr>
        <w:footnoteRef/>
      </w:r>
      <w:r w:rsidRPr="004D5459">
        <w:t xml:space="preserve"> 47 C.F.R. § 76.905(b)(2).</w:t>
      </w:r>
    </w:p>
  </w:footnote>
  <w:footnote w:id="5">
    <w:p w:rsidR="00E15D77" w:rsidRPr="004D5459" w:rsidRDefault="00E15D77" w:rsidP="004D5459">
      <w:pPr>
        <w:pStyle w:val="FootnoteText"/>
        <w:jc w:val="left"/>
      </w:pPr>
      <w:r w:rsidRPr="004D5459">
        <w:rPr>
          <w:rStyle w:val="FootnoteReference"/>
        </w:rPr>
        <w:footnoteRef/>
      </w:r>
      <w:r w:rsidRPr="004D5459">
        <w:t xml:space="preserve"> Opposition to Petition for Special Relief on Behalf of th</w:t>
      </w:r>
      <w:r w:rsidR="00990497" w:rsidRPr="004D5459">
        <w:t>e City of Everett, Washington (Everett’s Opposition</w:t>
      </w:r>
      <w:r w:rsidRPr="004D5459">
        <w:t xml:space="preserve">); Opposition to Petition for Special Relief on Behalf of the City of </w:t>
      </w:r>
      <w:r w:rsidR="00990497" w:rsidRPr="004D5459">
        <w:t>Mountlake Terrace, Washington (Mountlake Terrace’s Opposition</w:t>
      </w:r>
      <w:r w:rsidRPr="004D5459">
        <w:t>); Opposition to Petition for Special Relief on Behalf of the City of Mukilteo, W</w:t>
      </w:r>
      <w:r w:rsidR="00990497" w:rsidRPr="004D5459">
        <w:t>ashington (Mukilteo Opposition</w:t>
      </w:r>
      <w:r w:rsidRPr="004D5459">
        <w:t>).  Each opposition is only on behalf of the relevant city filing the opposition.  No oppositions were filed on behalf of the Communities of Brier, Lynnwood, Mill Creek, or Woodway.</w:t>
      </w:r>
    </w:p>
  </w:footnote>
  <w:footnote w:id="6">
    <w:p w:rsidR="00E15D77" w:rsidRPr="004D5459" w:rsidRDefault="00E15D77" w:rsidP="004D5459">
      <w:pPr>
        <w:pStyle w:val="FootnoteText"/>
        <w:jc w:val="left"/>
      </w:pPr>
      <w:r w:rsidRPr="004D5459">
        <w:rPr>
          <w:rStyle w:val="FootnoteReference"/>
        </w:rPr>
        <w:footnoteRef/>
      </w:r>
      <w:r w:rsidRPr="004D5459">
        <w:t xml:space="preserve"> Comcast Cable Commc’ns, LLC, Reply to Oppositions to Petition for Special Relief of the Communities of Everett, Mountlake Terr</w:t>
      </w:r>
      <w:r w:rsidR="00990497" w:rsidRPr="004D5459">
        <w:t>ace, and Mukilteo, Washington (</w:t>
      </w:r>
      <w:r w:rsidRPr="004D5459">
        <w:t>Com</w:t>
      </w:r>
      <w:r w:rsidR="00990497" w:rsidRPr="004D5459">
        <w:t>cast’s Reply to the Communities</w:t>
      </w:r>
      <w:r w:rsidRPr="004D5459">
        <w:t>).</w:t>
      </w:r>
    </w:p>
  </w:footnote>
  <w:footnote w:id="7">
    <w:p w:rsidR="00E15D77" w:rsidRPr="004D5459" w:rsidRDefault="00E15D77" w:rsidP="004D5459">
      <w:pPr>
        <w:pStyle w:val="FootnoteText"/>
        <w:jc w:val="left"/>
      </w:pPr>
      <w:r w:rsidRPr="004D5459">
        <w:rPr>
          <w:rStyle w:val="FootnoteReference"/>
        </w:rPr>
        <w:footnoteRef/>
      </w:r>
      <w:r w:rsidRPr="004D5459">
        <w:t xml:space="preserve"> Opposition of the City of Edmonds, Washington to Comcast’</w:t>
      </w:r>
      <w:r w:rsidR="00990497" w:rsidRPr="004D5459">
        <w:t>s Petition for Special Relief (Edmonds</w:t>
      </w:r>
      <w:r w:rsidR="005903FE">
        <w:t>’s</w:t>
      </w:r>
      <w:r w:rsidR="00990497" w:rsidRPr="004D5459">
        <w:t xml:space="preserve"> Opposition</w:t>
      </w:r>
      <w:r w:rsidRPr="004D5459">
        <w:t>).</w:t>
      </w:r>
    </w:p>
  </w:footnote>
  <w:footnote w:id="8">
    <w:p w:rsidR="00E15D77" w:rsidRPr="004D5459" w:rsidRDefault="00E15D77" w:rsidP="004D5459">
      <w:pPr>
        <w:pStyle w:val="FootnoteText"/>
        <w:jc w:val="left"/>
      </w:pPr>
      <w:r w:rsidRPr="004D5459">
        <w:rPr>
          <w:rStyle w:val="FootnoteReference"/>
        </w:rPr>
        <w:footnoteRef/>
      </w:r>
      <w:r w:rsidRPr="004D5459">
        <w:t xml:space="preserve"> Comcast Cable Commc’ns, LLC, Reply to Opposition to Petition for Special Relief of th</w:t>
      </w:r>
      <w:r w:rsidR="00990497" w:rsidRPr="004D5459">
        <w:t>e City of Edmonds, Washington (Comcast’s Reply to the City</w:t>
      </w:r>
      <w:r w:rsidRPr="004D5459">
        <w:t>).</w:t>
      </w:r>
    </w:p>
  </w:footnote>
  <w:footnote w:id="9">
    <w:p w:rsidR="00097016" w:rsidRPr="004D5459" w:rsidRDefault="00097016" w:rsidP="004D5459">
      <w:pPr>
        <w:pStyle w:val="FootnoteText"/>
        <w:jc w:val="left"/>
      </w:pPr>
      <w:r w:rsidRPr="004D5459">
        <w:rPr>
          <w:rStyle w:val="FootnoteReference"/>
        </w:rPr>
        <w:footnoteRef/>
      </w:r>
      <w:r w:rsidRPr="004D5459">
        <w:t xml:space="preserve"> </w:t>
      </w:r>
      <w:r w:rsidRPr="004D5459">
        <w:rPr>
          <w:i/>
          <w:spacing w:val="-2"/>
        </w:rPr>
        <w:t>See Amendment to the Commission’s Rules Concerning Effective Competition; Implementation of Section 111 of the STELA Reauthorization Act</w:t>
      </w:r>
      <w:r w:rsidRPr="004D5459">
        <w:rPr>
          <w:spacing w:val="-2"/>
        </w:rPr>
        <w:t>, Report and Order, 30 FCC Rcd 6574 (2015) (</w:t>
      </w:r>
      <w:r w:rsidRPr="004D5459">
        <w:rPr>
          <w:i/>
          <w:spacing w:val="-2"/>
        </w:rPr>
        <w:t>Effective Competition Order</w:t>
      </w:r>
      <w:r w:rsidRPr="004D5459">
        <w:rPr>
          <w:spacing w:val="-2"/>
        </w:rPr>
        <w:t>).</w:t>
      </w:r>
    </w:p>
  </w:footnote>
  <w:footnote w:id="10">
    <w:p w:rsidR="00E15D77" w:rsidRPr="004D5459" w:rsidRDefault="00E15D77" w:rsidP="004D5459">
      <w:pPr>
        <w:pStyle w:val="FootnoteText"/>
        <w:tabs>
          <w:tab w:val="left" w:pos="-720"/>
        </w:tabs>
        <w:jc w:val="left"/>
        <w:rPr>
          <w:spacing w:val="-2"/>
        </w:rPr>
      </w:pPr>
      <w:r w:rsidRPr="004D5459">
        <w:rPr>
          <w:rStyle w:val="FootnoteReference"/>
          <w:spacing w:val="-2"/>
        </w:rPr>
        <w:footnoteRef/>
      </w:r>
      <w:r w:rsidRPr="004D5459">
        <w:rPr>
          <w:i/>
          <w:spacing w:val="-2"/>
        </w:rPr>
        <w:t xml:space="preserve"> See</w:t>
      </w:r>
      <w:r w:rsidRPr="004D5459">
        <w:rPr>
          <w:spacing w:val="-2"/>
        </w:rPr>
        <w:t xml:space="preserve"> 47 U.S.C. § 543(l)(1); 47 C.F.R. § 76.905(b).</w:t>
      </w:r>
    </w:p>
  </w:footnote>
  <w:footnote w:id="11">
    <w:p w:rsidR="00E15D77" w:rsidRPr="004D5459" w:rsidRDefault="00E15D77" w:rsidP="004D5459">
      <w:pPr>
        <w:pStyle w:val="FootnoteText"/>
        <w:jc w:val="left"/>
      </w:pPr>
      <w:r w:rsidRPr="004D5459">
        <w:rPr>
          <w:rStyle w:val="FootnoteReference"/>
        </w:rPr>
        <w:footnoteRef/>
      </w:r>
      <w:r w:rsidRPr="004D5459">
        <w:t xml:space="preserve"> 47 U.S.C. § 543(l)(1)(B); 47 C.F.R. § 76.905(b)(2).</w:t>
      </w:r>
    </w:p>
  </w:footnote>
  <w:footnote w:id="12">
    <w:p w:rsidR="00E15D77" w:rsidRPr="004D5459" w:rsidRDefault="00E15D77" w:rsidP="004D5459">
      <w:pPr>
        <w:pStyle w:val="FootnoteText"/>
        <w:jc w:val="left"/>
      </w:pPr>
      <w:r w:rsidRPr="004D5459">
        <w:rPr>
          <w:rStyle w:val="FootnoteReference"/>
        </w:rPr>
        <w:footnoteRef/>
      </w:r>
      <w:r w:rsidRPr="004D5459">
        <w:t xml:space="preserve"> 47 U.S.C. § 543(l)(1)(B)(i); 47 C.F.R. § 76.905(b)(2)(i).</w:t>
      </w:r>
    </w:p>
  </w:footnote>
  <w:footnote w:id="13">
    <w:p w:rsidR="00576D94" w:rsidRPr="004D5459" w:rsidRDefault="00576D94" w:rsidP="004D5459">
      <w:pPr>
        <w:pStyle w:val="FootnoteText"/>
        <w:jc w:val="left"/>
      </w:pPr>
      <w:r w:rsidRPr="004D5459">
        <w:rPr>
          <w:rStyle w:val="FootnoteReference"/>
        </w:rPr>
        <w:footnoteRef/>
      </w:r>
      <w:r w:rsidRPr="004D5459">
        <w:t xml:space="preserve"> </w:t>
      </w:r>
      <w:r w:rsidRPr="004D5459">
        <w:rPr>
          <w:i/>
        </w:rPr>
        <w:t>Effective Competition Order</w:t>
      </w:r>
      <w:r w:rsidRPr="004D5459">
        <w:t xml:space="preserve">, 30 FCC Rcd at 6580-81, </w:t>
      </w:r>
      <w:r w:rsidR="00BA620C">
        <w:t>¶</w:t>
      </w:r>
      <w:r w:rsidRPr="004D5459">
        <w:t xml:space="preserve"> 8.</w:t>
      </w:r>
    </w:p>
  </w:footnote>
  <w:footnote w:id="14">
    <w:p w:rsidR="00E15D77" w:rsidRPr="004D5459" w:rsidRDefault="00E15D77" w:rsidP="004D5459">
      <w:pPr>
        <w:spacing w:after="120"/>
        <w:rPr>
          <w:sz w:val="20"/>
        </w:rPr>
      </w:pPr>
      <w:r w:rsidRPr="004D5459">
        <w:rPr>
          <w:rStyle w:val="FootnoteReference"/>
          <w:sz w:val="20"/>
        </w:rPr>
        <w:footnoteRef/>
      </w:r>
      <w:r w:rsidRPr="004D5459">
        <w:rPr>
          <w:sz w:val="20"/>
        </w:rPr>
        <w:t xml:space="preserve"> </w:t>
      </w:r>
      <w:r w:rsidRPr="004D5459">
        <w:rPr>
          <w:i/>
          <w:sz w:val="20"/>
        </w:rPr>
        <w:t>See</w:t>
      </w:r>
      <w:r w:rsidRPr="004D5459">
        <w:rPr>
          <w:sz w:val="20"/>
        </w:rPr>
        <w:t xml:space="preserve"> 47 C.F.R. § 76.905(g);</w:t>
      </w:r>
      <w:r w:rsidRPr="004D5459">
        <w:rPr>
          <w:i/>
          <w:sz w:val="20"/>
        </w:rPr>
        <w:t xml:space="preserve"> see also</w:t>
      </w:r>
      <w:r w:rsidRPr="004D5459">
        <w:rPr>
          <w:i/>
          <w:iCs/>
          <w:color w:val="FF0000"/>
          <w:sz w:val="20"/>
        </w:rPr>
        <w:t xml:space="preserve"> </w:t>
      </w:r>
      <w:r w:rsidRPr="004D5459">
        <w:rPr>
          <w:iCs/>
          <w:sz w:val="20"/>
        </w:rPr>
        <w:t xml:space="preserve">Petition at 5. </w:t>
      </w:r>
    </w:p>
  </w:footnote>
  <w:footnote w:id="15">
    <w:p w:rsidR="00E15D77" w:rsidRPr="004D5459" w:rsidRDefault="00E15D77" w:rsidP="004D5459">
      <w:pPr>
        <w:pStyle w:val="FootnoteText"/>
        <w:jc w:val="left"/>
      </w:pPr>
      <w:r w:rsidRPr="004D5459">
        <w:rPr>
          <w:rStyle w:val="FootnoteReference"/>
        </w:rPr>
        <w:footnoteRef/>
      </w:r>
      <w:r w:rsidRPr="004D5459">
        <w:t xml:space="preserve"> Everett’s Opposition at 2; Mountlake Terrace’s Opposition at 2; Mukilteo’s Opposition at 2.  The City of Edmonds does not raise </w:t>
      </w:r>
      <w:r w:rsidR="00232460" w:rsidRPr="004D5459">
        <w:t>objections under the first part</w:t>
      </w:r>
      <w:r w:rsidRPr="004D5459">
        <w:t xml:space="preserve"> of the competing provider test.  </w:t>
      </w:r>
      <w:r w:rsidRPr="004D5459">
        <w:rPr>
          <w:i/>
        </w:rPr>
        <w:t>See generally</w:t>
      </w:r>
      <w:r w:rsidRPr="004D5459">
        <w:t>, Edmonds</w:t>
      </w:r>
      <w:r w:rsidR="005903FE">
        <w:t>’s</w:t>
      </w:r>
      <w:r w:rsidRPr="004D5459">
        <w:t xml:space="preserve"> Opposition.  </w:t>
      </w:r>
    </w:p>
  </w:footnote>
  <w:footnote w:id="16">
    <w:p w:rsidR="00E15D77" w:rsidRPr="004D5459" w:rsidRDefault="00E15D77" w:rsidP="004D5459">
      <w:pPr>
        <w:pStyle w:val="FootnoteText"/>
        <w:jc w:val="left"/>
      </w:pPr>
      <w:r w:rsidRPr="004D5459">
        <w:rPr>
          <w:rStyle w:val="FootnoteReference"/>
        </w:rPr>
        <w:footnoteRef/>
      </w:r>
      <w:r w:rsidRPr="004D5459">
        <w:t xml:space="preserve"> </w:t>
      </w:r>
      <w:r w:rsidR="00406208" w:rsidRPr="004D5459">
        <w:t xml:space="preserve">Everett’s Opposition at 2; Mountlake Terrace’s Opposition at 2; Mukilteo’s Opposition at 2.  </w:t>
      </w:r>
    </w:p>
  </w:footnote>
  <w:footnote w:id="17">
    <w:p w:rsidR="00406208" w:rsidRDefault="00406208">
      <w:pPr>
        <w:pStyle w:val="FootnoteText"/>
      </w:pPr>
      <w:r>
        <w:rPr>
          <w:rStyle w:val="FootnoteReference"/>
        </w:rPr>
        <w:footnoteRef/>
      </w:r>
      <w:r>
        <w:t xml:space="preserve"> </w:t>
      </w:r>
      <w:r w:rsidRPr="004D5459">
        <w:t>Comcast’s Reply to the Communities at 1-2</w:t>
      </w:r>
      <w:r>
        <w:t>.</w:t>
      </w:r>
    </w:p>
  </w:footnote>
  <w:footnote w:id="18">
    <w:p w:rsidR="00E6185E" w:rsidRPr="004D5459" w:rsidRDefault="00E6185E" w:rsidP="004D5459">
      <w:pPr>
        <w:pStyle w:val="FootnoteText"/>
        <w:jc w:val="left"/>
      </w:pPr>
      <w:r w:rsidRPr="004D5459">
        <w:rPr>
          <w:rStyle w:val="FootnoteReference"/>
        </w:rPr>
        <w:footnoteRef/>
      </w:r>
      <w:r w:rsidRPr="004D5459">
        <w:t xml:space="preserve"> </w:t>
      </w:r>
      <w:r w:rsidR="0023049C" w:rsidRPr="004D5459">
        <w:rPr>
          <w:i/>
        </w:rPr>
        <w:t>Effective Competition Order</w:t>
      </w:r>
      <w:r w:rsidR="0023049C" w:rsidRPr="004D5459">
        <w:t xml:space="preserve">, 30 FCC Rcd at 6580-81, </w:t>
      </w:r>
      <w:r w:rsidR="00BA620C">
        <w:t>¶</w:t>
      </w:r>
      <w:r w:rsidR="0023049C" w:rsidRPr="004D5459">
        <w:t xml:space="preserve"> 8</w:t>
      </w:r>
      <w:r w:rsidRPr="004D5459">
        <w:t>.</w:t>
      </w:r>
    </w:p>
  </w:footnote>
  <w:footnote w:id="19">
    <w:p w:rsidR="00576D94" w:rsidRPr="004D5459" w:rsidRDefault="00576D94" w:rsidP="004D5459">
      <w:pPr>
        <w:spacing w:after="120"/>
        <w:rPr>
          <w:color w:val="000000"/>
          <w:sz w:val="20"/>
        </w:rPr>
      </w:pPr>
      <w:r w:rsidRPr="004D5459">
        <w:rPr>
          <w:rStyle w:val="FootnoteReference"/>
          <w:sz w:val="20"/>
        </w:rPr>
        <w:footnoteRef/>
      </w:r>
      <w:r w:rsidRPr="004D5459">
        <w:rPr>
          <w:color w:val="000000"/>
          <w:sz w:val="20"/>
        </w:rPr>
        <w:t xml:space="preserve"> </w:t>
      </w:r>
      <w:r w:rsidRPr="004D5459">
        <w:rPr>
          <w:i/>
          <w:color w:val="000000"/>
          <w:sz w:val="20"/>
        </w:rPr>
        <w:t>See</w:t>
      </w:r>
      <w:r w:rsidRPr="004D5459">
        <w:rPr>
          <w:color w:val="000000"/>
          <w:sz w:val="20"/>
        </w:rPr>
        <w:t xml:space="preserve"> </w:t>
      </w:r>
      <w:r w:rsidRPr="004D5459">
        <w:rPr>
          <w:i/>
          <w:color w:val="000000"/>
          <w:sz w:val="20"/>
        </w:rPr>
        <w:t xml:space="preserve">Charter </w:t>
      </w:r>
      <w:r w:rsidRPr="004D5459">
        <w:rPr>
          <w:i/>
          <w:iCs/>
          <w:color w:val="000000"/>
          <w:sz w:val="20"/>
        </w:rPr>
        <w:t>Commc’ns</w:t>
      </w:r>
      <w:r w:rsidR="00621D27" w:rsidRPr="004D5459">
        <w:rPr>
          <w:color w:val="000000"/>
          <w:sz w:val="20"/>
        </w:rPr>
        <w:t xml:space="preserve">, 28 FCC Rcd 13989, 13991, </w:t>
      </w:r>
      <w:r w:rsidR="00BA620C">
        <w:rPr>
          <w:color w:val="000000"/>
          <w:sz w:val="20"/>
        </w:rPr>
        <w:t>¶</w:t>
      </w:r>
      <w:r w:rsidRPr="004D5459">
        <w:rPr>
          <w:color w:val="000000"/>
          <w:sz w:val="20"/>
        </w:rPr>
        <w:t xml:space="preserve"> 7 (2013) (“Our rule does not make PEG channels a necessary element of comparable programming.”); s</w:t>
      </w:r>
      <w:r w:rsidRPr="004D5459">
        <w:rPr>
          <w:i/>
          <w:color w:val="000000"/>
          <w:sz w:val="20"/>
        </w:rPr>
        <w:t>ee also</w:t>
      </w:r>
      <w:r w:rsidRPr="004D5459">
        <w:rPr>
          <w:color w:val="000000"/>
          <w:sz w:val="20"/>
        </w:rPr>
        <w:t xml:space="preserve"> </w:t>
      </w:r>
      <w:r w:rsidRPr="004D5459">
        <w:rPr>
          <w:i/>
          <w:iCs/>
          <w:color w:val="000000"/>
          <w:sz w:val="20"/>
        </w:rPr>
        <w:t>Comcast Cable Commc’ns, LLC</w:t>
      </w:r>
      <w:r w:rsidR="00621D27" w:rsidRPr="004D5459">
        <w:rPr>
          <w:color w:val="000000"/>
          <w:sz w:val="20"/>
        </w:rPr>
        <w:t xml:space="preserve">, 26 FCC Rcd 3993, 3994-95, </w:t>
      </w:r>
      <w:r w:rsidR="00BA620C">
        <w:rPr>
          <w:color w:val="000000"/>
          <w:sz w:val="20"/>
        </w:rPr>
        <w:t>¶</w:t>
      </w:r>
      <w:r w:rsidRPr="004D5459">
        <w:rPr>
          <w:color w:val="000000"/>
          <w:sz w:val="20"/>
        </w:rPr>
        <w:t xml:space="preserve"> 5 (2011) (“The rule does not mention PEG channels, and we have repeatedly held that the absence of PEG channels from competing service does not disqualify its programming from being ‘comparable’ to cable operators’ for purposes of determining effective completion.”); </w:t>
      </w:r>
      <w:r w:rsidRPr="004D5459">
        <w:rPr>
          <w:i/>
          <w:color w:val="000000"/>
          <w:sz w:val="20"/>
        </w:rPr>
        <w:t>Cablevision of Oakland, Inc., and CSC TKR, Inc.</w:t>
      </w:r>
      <w:r w:rsidR="00621D27" w:rsidRPr="004D5459">
        <w:rPr>
          <w:color w:val="000000"/>
          <w:sz w:val="20"/>
        </w:rPr>
        <w:t xml:space="preserve">, 24 FCC Rcd 1801, 1803, </w:t>
      </w:r>
      <w:r w:rsidR="00BA620C">
        <w:rPr>
          <w:color w:val="000000"/>
          <w:sz w:val="20"/>
        </w:rPr>
        <w:t>¶</w:t>
      </w:r>
      <w:r w:rsidRPr="004D5459">
        <w:rPr>
          <w:color w:val="000000"/>
          <w:sz w:val="20"/>
        </w:rPr>
        <w:t xml:space="preserve"> 6 (2009).</w:t>
      </w:r>
    </w:p>
  </w:footnote>
  <w:footnote w:id="20">
    <w:p w:rsidR="005024D4" w:rsidRPr="004D5459" w:rsidRDefault="005024D4" w:rsidP="004D5459">
      <w:pPr>
        <w:pStyle w:val="FootnoteText"/>
        <w:jc w:val="left"/>
      </w:pPr>
      <w:r w:rsidRPr="004D5459">
        <w:rPr>
          <w:rStyle w:val="FootnoteReference"/>
        </w:rPr>
        <w:footnoteRef/>
      </w:r>
      <w:r w:rsidRPr="004D5459">
        <w:t xml:space="preserve"> 47 C.F.R. § 76.905(b)(2)(ii).</w:t>
      </w:r>
    </w:p>
  </w:footnote>
  <w:footnote w:id="21">
    <w:p w:rsidR="005024D4" w:rsidRPr="004D5459" w:rsidRDefault="005024D4" w:rsidP="004D5459">
      <w:pPr>
        <w:pStyle w:val="FootnoteText"/>
        <w:jc w:val="left"/>
      </w:pPr>
      <w:r w:rsidRPr="004D5459">
        <w:rPr>
          <w:rStyle w:val="FootnoteReference"/>
        </w:rPr>
        <w:footnoteRef/>
      </w:r>
      <w:r w:rsidRPr="004D5459">
        <w:t xml:space="preserve"> </w:t>
      </w:r>
      <w:r w:rsidRPr="004D5459">
        <w:rPr>
          <w:i/>
        </w:rPr>
        <w:t>Effective Competition Order</w:t>
      </w:r>
      <w:r w:rsidR="00232460" w:rsidRPr="004D5459">
        <w:t>, 30 FCC Rcd at 6581</w:t>
      </w:r>
      <w:r w:rsidRPr="004D5459">
        <w:t xml:space="preserve">, </w:t>
      </w:r>
      <w:r w:rsidR="00BA620C">
        <w:t>¶</w:t>
      </w:r>
      <w:r w:rsidRPr="004D5459">
        <w:t xml:space="preserve"> 9.</w:t>
      </w:r>
    </w:p>
  </w:footnote>
  <w:footnote w:id="22">
    <w:p w:rsidR="00D63247" w:rsidRPr="004D5459" w:rsidRDefault="00D63247" w:rsidP="004D5459">
      <w:pPr>
        <w:pStyle w:val="FootnoteText"/>
        <w:jc w:val="left"/>
      </w:pPr>
      <w:r w:rsidRPr="004D5459">
        <w:rPr>
          <w:rStyle w:val="FootnoteReference"/>
        </w:rPr>
        <w:footnoteRef/>
      </w:r>
      <w:r w:rsidRPr="004D5459">
        <w:t xml:space="preserve"> </w:t>
      </w:r>
      <w:r w:rsidRPr="004D5459">
        <w:rPr>
          <w:i/>
        </w:rPr>
        <w:t xml:space="preserve">See </w:t>
      </w:r>
      <w:r w:rsidRPr="004D5459">
        <w:t>Petition at 6.</w:t>
      </w:r>
    </w:p>
  </w:footnote>
  <w:footnote w:id="23">
    <w:p w:rsidR="00AF01CC" w:rsidRPr="004D5459" w:rsidRDefault="00AF01CC" w:rsidP="004D5459">
      <w:pPr>
        <w:pStyle w:val="FootnoteText"/>
        <w:jc w:val="left"/>
        <w:rPr>
          <w:color w:val="000000"/>
        </w:rPr>
      </w:pPr>
      <w:r w:rsidRPr="004D5459">
        <w:rPr>
          <w:rStyle w:val="FootnoteReference"/>
          <w:color w:val="000000"/>
        </w:rPr>
        <w:footnoteRef/>
      </w:r>
      <w:r w:rsidRPr="004D5459">
        <w:rPr>
          <w:i/>
          <w:color w:val="000000"/>
        </w:rPr>
        <w:t xml:space="preserve"> See </w:t>
      </w:r>
      <w:r w:rsidRPr="004D5459">
        <w:rPr>
          <w:iCs/>
          <w:color w:val="000000"/>
        </w:rPr>
        <w:t>Petition at 7 &amp; Exh. 5.</w:t>
      </w:r>
    </w:p>
  </w:footnote>
  <w:footnote w:id="24">
    <w:p w:rsidR="00D63247" w:rsidRPr="004D5459" w:rsidRDefault="00D63247" w:rsidP="004D5459">
      <w:pPr>
        <w:pStyle w:val="FootnoteText"/>
        <w:jc w:val="left"/>
        <w:rPr>
          <w:color w:val="000000"/>
        </w:rPr>
      </w:pPr>
      <w:r w:rsidRPr="004D5459">
        <w:rPr>
          <w:rStyle w:val="FootnoteReference"/>
          <w:color w:val="000000"/>
        </w:rPr>
        <w:footnoteRef/>
      </w:r>
      <w:r w:rsidRPr="004D5459">
        <w:rPr>
          <w:color w:val="000000"/>
        </w:rPr>
        <w:t xml:space="preserve"> </w:t>
      </w:r>
      <w:r w:rsidR="00FF6CEF" w:rsidRPr="004D5459">
        <w:rPr>
          <w:i/>
          <w:iCs/>
          <w:color w:val="000000"/>
        </w:rPr>
        <w:t>Id.</w:t>
      </w:r>
      <w:r w:rsidR="00AF01CC" w:rsidRPr="004D5459">
        <w:rPr>
          <w:color w:val="000000"/>
        </w:rPr>
        <w:t xml:space="preserve"> </w:t>
      </w:r>
      <w:r w:rsidRPr="004D5459">
        <w:rPr>
          <w:color w:val="000000"/>
        </w:rPr>
        <w:t>at 7-8.</w:t>
      </w:r>
    </w:p>
  </w:footnote>
  <w:footnote w:id="25">
    <w:p w:rsidR="00D63247" w:rsidRPr="004D5459" w:rsidRDefault="00D63247" w:rsidP="004D5459">
      <w:pPr>
        <w:pStyle w:val="FootnoteText"/>
        <w:jc w:val="left"/>
      </w:pPr>
      <w:r w:rsidRPr="004D5459">
        <w:rPr>
          <w:rStyle w:val="FootnoteReference"/>
        </w:rPr>
        <w:footnoteRef/>
      </w:r>
      <w:r w:rsidRPr="004D5459">
        <w:t xml:space="preserve"> </w:t>
      </w:r>
      <w:r w:rsidRPr="004D5459">
        <w:rPr>
          <w:i/>
        </w:rPr>
        <w:t>See</w:t>
      </w:r>
      <w:r w:rsidRPr="004D5459">
        <w:t xml:space="preserve"> </w:t>
      </w:r>
      <w:r w:rsidRPr="004D5459">
        <w:rPr>
          <w:i/>
        </w:rPr>
        <w:t>id</w:t>
      </w:r>
      <w:r w:rsidRPr="004D5459">
        <w:t xml:space="preserve">. at 6; Comcast’s Reply to the Communities at 4.  Petitioner has requested that we treat as confidential certain data that was supplied by its competitor Frontier and that shows Frontier’s </w:t>
      </w:r>
      <w:r w:rsidR="00BA620C">
        <w:t>subscribership</w:t>
      </w:r>
      <w:r w:rsidRPr="004D5459">
        <w:t xml:space="preserve"> in the Attachment A Communities.  Petition at 6, 8, &amp; Exh. 4.  Businesses typically protect such data from disclosure.  Accordingly we grant the Petitioner’s request. </w:t>
      </w:r>
      <w:r w:rsidR="003C50CB">
        <w:t xml:space="preserve"> </w:t>
      </w:r>
      <w:r w:rsidRPr="004D5459">
        <w:t xml:space="preserve">We believe that by combining Frontier’s subscriber figures in the relevant Communities with the direct broadcast satellite figures provided by the SBCA, we will sufficiently protect the confidentiality of Frontier’s subscriber figures.  </w:t>
      </w:r>
      <w:r w:rsidRPr="004D5459">
        <w:rPr>
          <w:i/>
        </w:rPr>
        <w:t>See, e.g.</w:t>
      </w:r>
      <w:r w:rsidRPr="004D5459">
        <w:t xml:space="preserve">, </w:t>
      </w:r>
      <w:r w:rsidR="001264A5" w:rsidRPr="004D5459">
        <w:rPr>
          <w:i/>
          <w:iCs/>
          <w:color w:val="000000"/>
        </w:rPr>
        <w:t>Comcast Cable Commc’ns, LLC</w:t>
      </w:r>
      <w:r w:rsidR="001264A5" w:rsidRPr="001264A5">
        <w:rPr>
          <w:iCs/>
          <w:color w:val="000000"/>
        </w:rPr>
        <w:t>,</w:t>
      </w:r>
      <w:r w:rsidR="001264A5" w:rsidRPr="001264A5">
        <w:t xml:space="preserve"> 28 FCC Rcd 9959, 9960 n.15 (MB 2013) (citing </w:t>
      </w:r>
      <w:r w:rsidRPr="004D5459">
        <w:rPr>
          <w:i/>
        </w:rPr>
        <w:t>CoxCom, Inc.</w:t>
      </w:r>
      <w:r w:rsidRPr="004D5459">
        <w:t>, 22 FCC Rcd 4384 (MB 2007)</w:t>
      </w:r>
      <w:r w:rsidR="001264A5">
        <w:t>)</w:t>
      </w:r>
      <w:r w:rsidRPr="004D5459">
        <w:t xml:space="preserve">.  We reserve the right, if another party requests access to the confidential data, to engage in a more formal process for their evaluation, protection, and limited disclosure.  </w:t>
      </w:r>
      <w:r w:rsidRPr="004D5459">
        <w:rPr>
          <w:i/>
        </w:rPr>
        <w:t>See, e.g.</w:t>
      </w:r>
      <w:r w:rsidRPr="004D5459">
        <w:t xml:space="preserve">, </w:t>
      </w:r>
      <w:r w:rsidRPr="004D5459">
        <w:rPr>
          <w:i/>
        </w:rPr>
        <w:t>Adelphia Commun. Corp.</w:t>
      </w:r>
      <w:r w:rsidRPr="004D5459">
        <w:t xml:space="preserve">, 20 FCC Rcd 20073 (MB 2005); </w:t>
      </w:r>
      <w:r w:rsidRPr="004D5459">
        <w:rPr>
          <w:i/>
        </w:rPr>
        <w:t>Sprint Petition for Pricing Flexibility for Special Access &amp; Dedicated Transp. Servs.</w:t>
      </w:r>
      <w:r w:rsidRPr="004D5459">
        <w:t>, Protective Order, 20 FCC Rcd 19882 (WCB 2005)</w:t>
      </w:r>
      <w:r w:rsidR="007B3A9D" w:rsidRPr="004D5459">
        <w:t xml:space="preserve"> (</w:t>
      </w:r>
      <w:r w:rsidR="007B3A9D" w:rsidRPr="004D5459">
        <w:rPr>
          <w:i/>
        </w:rPr>
        <w:t>Sprint Protective Order</w:t>
      </w:r>
      <w:r w:rsidR="007B3A9D" w:rsidRPr="004D5459">
        <w:t>)</w:t>
      </w:r>
      <w:r w:rsidRPr="004D5459">
        <w:t xml:space="preserve">. </w:t>
      </w:r>
    </w:p>
  </w:footnote>
  <w:footnote w:id="26">
    <w:p w:rsidR="00D63247" w:rsidRPr="004D5459" w:rsidRDefault="00D63247" w:rsidP="004D5459">
      <w:pPr>
        <w:pStyle w:val="FootnoteText"/>
        <w:jc w:val="left"/>
      </w:pPr>
      <w:r w:rsidRPr="004D5459">
        <w:rPr>
          <w:rStyle w:val="FootnoteReference"/>
        </w:rPr>
        <w:footnoteRef/>
      </w:r>
      <w:r w:rsidRPr="004D5459">
        <w:t xml:space="preserve"> Petition at 8-9.</w:t>
      </w:r>
    </w:p>
  </w:footnote>
  <w:footnote w:id="27">
    <w:p w:rsidR="00323483" w:rsidRPr="004D5459" w:rsidRDefault="00323483" w:rsidP="004D5459">
      <w:pPr>
        <w:pStyle w:val="FootnoteText"/>
        <w:jc w:val="left"/>
      </w:pPr>
      <w:r w:rsidRPr="004D5459">
        <w:rPr>
          <w:rStyle w:val="FootnoteReference"/>
        </w:rPr>
        <w:footnoteRef/>
      </w:r>
      <w:r w:rsidRPr="004D5459">
        <w:t xml:space="preserve"> Everett’s Opposition at 3-5; Mountlake Terrace’s Opposition at 3-5; Mukilteo’s Opposition at 3-5.</w:t>
      </w:r>
    </w:p>
  </w:footnote>
  <w:footnote w:id="28">
    <w:p w:rsidR="00323483" w:rsidRPr="004D5459" w:rsidRDefault="00323483" w:rsidP="004D5459">
      <w:pPr>
        <w:pStyle w:val="FootnoteText"/>
        <w:jc w:val="left"/>
        <w:rPr>
          <w:color w:val="000000"/>
        </w:rPr>
      </w:pPr>
      <w:r w:rsidRPr="004D5459">
        <w:rPr>
          <w:rStyle w:val="FootnoteReference"/>
        </w:rPr>
        <w:footnoteRef/>
      </w:r>
      <w:r w:rsidRPr="004D5459">
        <w:t xml:space="preserve"> </w:t>
      </w:r>
      <w:r w:rsidR="00D63247" w:rsidRPr="004D5459">
        <w:t xml:space="preserve">Comcast’s Reply to the Communities at </w:t>
      </w:r>
      <w:r w:rsidR="00681F17" w:rsidRPr="004D5459">
        <w:t>2-</w:t>
      </w:r>
      <w:r w:rsidR="00D63247" w:rsidRPr="004D5459">
        <w:t>3.</w:t>
      </w:r>
      <w:r w:rsidR="00FF6CEF" w:rsidRPr="004D5459">
        <w:t xml:space="preserve">  </w:t>
      </w:r>
      <w:r w:rsidR="00FF6CEF" w:rsidRPr="004D5459">
        <w:rPr>
          <w:i/>
        </w:rPr>
        <w:t xml:space="preserve">See also </w:t>
      </w:r>
      <w:r w:rsidR="007828AF" w:rsidRPr="004D5459">
        <w:rPr>
          <w:i/>
        </w:rPr>
        <w:t>Time Warner Cable Inc., Petition for Determination of Effective Competition in Nine Franchise Areas in New Jersey</w:t>
      </w:r>
      <w:r w:rsidR="00FF6CEF" w:rsidRPr="004D5459">
        <w:rPr>
          <w:color w:val="000000"/>
        </w:rPr>
        <w:t xml:space="preserve">, </w:t>
      </w:r>
      <w:r w:rsidR="00FF6CEF" w:rsidRPr="004D5459">
        <w:t xml:space="preserve">25 FCC Rcd </w:t>
      </w:r>
      <w:r w:rsidR="007828AF" w:rsidRPr="004D5459">
        <w:t>5457,</w:t>
      </w:r>
      <w:r w:rsidR="00FF6CEF" w:rsidRPr="004D5459">
        <w:t xml:space="preserve"> 5460-61, </w:t>
      </w:r>
      <w:r w:rsidR="00BA620C">
        <w:rPr>
          <w:color w:val="000000"/>
        </w:rPr>
        <w:t>¶</w:t>
      </w:r>
      <w:r w:rsidR="00FF6CEF" w:rsidRPr="004D5459">
        <w:rPr>
          <w:color w:val="000000"/>
        </w:rPr>
        <w:t xml:space="preserve"> 11 </w:t>
      </w:r>
      <w:r w:rsidR="007828AF" w:rsidRPr="004D5459">
        <w:rPr>
          <w:color w:val="000000"/>
        </w:rPr>
        <w:t xml:space="preserve">(2010) </w:t>
      </w:r>
      <w:r w:rsidR="00FF6CEF" w:rsidRPr="004D5459">
        <w:rPr>
          <w:color w:val="000000"/>
        </w:rPr>
        <w:t xml:space="preserve">(The Commission upheld cable operator’s use of 2000 census household data in determining DBS penetration for the communities at issue); </w:t>
      </w:r>
      <w:r w:rsidR="00FF6CEF" w:rsidRPr="004D5459">
        <w:rPr>
          <w:i/>
          <w:color w:val="000000"/>
        </w:rPr>
        <w:t>Comcast Cable Commc’ns, LLC</w:t>
      </w:r>
      <w:r w:rsidR="00FF6CEF" w:rsidRPr="004D5459">
        <w:rPr>
          <w:color w:val="000000"/>
        </w:rPr>
        <w:t xml:space="preserve">, </w:t>
      </w:r>
      <w:r w:rsidR="00FF6CEF" w:rsidRPr="004D5459">
        <w:rPr>
          <w:i/>
          <w:color w:val="000000"/>
        </w:rPr>
        <w:t>Petitions for Determination of Effective Competition in 107 Franchise Areas in New Jersey</w:t>
      </w:r>
      <w:r w:rsidR="00080721" w:rsidRPr="004D5459">
        <w:rPr>
          <w:color w:val="000000"/>
        </w:rPr>
        <w:t xml:space="preserve">, 24 FCC Rcd 1780, 1783-84, </w:t>
      </w:r>
      <w:r w:rsidR="00BA620C">
        <w:rPr>
          <w:color w:val="000000"/>
        </w:rPr>
        <w:t>¶</w:t>
      </w:r>
      <w:r w:rsidR="00FF6CEF" w:rsidRPr="004D5459">
        <w:rPr>
          <w:color w:val="000000"/>
        </w:rPr>
        <w:t xml:space="preserve"> 13 (2009) (“[W]e have found competing provider effective competition to exist based on household and DBS subscribership data that are several years apart in time.”);</w:t>
      </w:r>
      <w:r w:rsidR="00FF6CEF" w:rsidRPr="004D5459">
        <w:t xml:space="preserve"> </w:t>
      </w:r>
      <w:r w:rsidR="007828AF" w:rsidRPr="004D5459">
        <w:rPr>
          <w:i/>
        </w:rPr>
        <w:t>Cable Operators’ Petitions for Reconsideration and Revocation of Franchising Authorities’ Certifications to Regulate Cable Service Rates</w:t>
      </w:r>
      <w:r w:rsidR="00FF6CEF" w:rsidRPr="004D5459">
        <w:t>,</w:t>
      </w:r>
      <w:r w:rsidR="00FF6CEF" w:rsidRPr="004D5459">
        <w:rPr>
          <w:i/>
        </w:rPr>
        <w:t xml:space="preserve"> </w:t>
      </w:r>
      <w:r w:rsidR="007828AF" w:rsidRPr="004D5459">
        <w:t>9 FCC Rcd</w:t>
      </w:r>
      <w:r w:rsidR="00FF6CEF" w:rsidRPr="004D5459">
        <w:t xml:space="preserve"> </w:t>
      </w:r>
      <w:r w:rsidR="007828AF" w:rsidRPr="004D5459">
        <w:t xml:space="preserve">3656, </w:t>
      </w:r>
      <w:r w:rsidR="00FF6CEF" w:rsidRPr="004D5459">
        <w:t xml:space="preserve">3656, </w:t>
      </w:r>
      <w:r w:rsidR="00BA620C">
        <w:rPr>
          <w:color w:val="000000"/>
        </w:rPr>
        <w:t>¶</w:t>
      </w:r>
      <w:r w:rsidR="00FF6CEF" w:rsidRPr="004D5459">
        <w:rPr>
          <w:color w:val="000000"/>
        </w:rPr>
        <w:t xml:space="preserve"> 2(3)</w:t>
      </w:r>
      <w:r w:rsidR="007828AF" w:rsidRPr="004D5459">
        <w:rPr>
          <w:color w:val="000000"/>
        </w:rPr>
        <w:t xml:space="preserve"> (1994)</w:t>
      </w:r>
      <w:r w:rsidR="00FF6CEF" w:rsidRPr="004D5459">
        <w:rPr>
          <w:color w:val="000000"/>
        </w:rPr>
        <w:t xml:space="preserve"> (“With respect to household data, we realize that in many cases 1990 census data represents the most recent data available.  Accordingly, we believe that 1990 census data is an appropriate measure of households.  Operators that have access to more recent data may submit such information if they so choose.”).</w:t>
      </w:r>
    </w:p>
  </w:footnote>
  <w:footnote w:id="29">
    <w:p w:rsidR="00E6185E" w:rsidRPr="004D5459" w:rsidRDefault="00E6185E" w:rsidP="004D5459">
      <w:pPr>
        <w:pStyle w:val="FootnoteText"/>
        <w:jc w:val="left"/>
      </w:pPr>
      <w:r w:rsidRPr="004D5459">
        <w:rPr>
          <w:rStyle w:val="FootnoteReference"/>
        </w:rPr>
        <w:footnoteRef/>
      </w:r>
      <w:r w:rsidRPr="004D5459">
        <w:t xml:space="preserve"> Everett’s Opposition at 4-5; Mountlake Terrace’s Opposition at 4-5; Mukilteo’s Opposition at 4-5.  Attached to the Communities’ oppositions are documents that, the Communities state, show that DBS “subscribers have declined in the second quarter of 2013 as compared to the same time period in 2012.”  Everett’s Opposition at 4 &amp; Exh. 1; Mountlake Terrace’s Opposition at 4 &amp; Exh. 1; Mukilteo’s Opposition at 4 &amp; Exh. 1.   </w:t>
      </w:r>
    </w:p>
  </w:footnote>
  <w:footnote w:id="30">
    <w:p w:rsidR="00D63247" w:rsidRPr="004D5459" w:rsidRDefault="00D63247" w:rsidP="004D5459">
      <w:pPr>
        <w:pStyle w:val="FootnoteText"/>
        <w:jc w:val="left"/>
      </w:pPr>
      <w:r w:rsidRPr="004D5459">
        <w:rPr>
          <w:rStyle w:val="FootnoteReference"/>
        </w:rPr>
        <w:footnoteRef/>
      </w:r>
      <w:r w:rsidRPr="004D5459">
        <w:t xml:space="preserve"> </w:t>
      </w:r>
      <w:r w:rsidR="00631A36" w:rsidRPr="004D5459">
        <w:t>Comcast’</w:t>
      </w:r>
      <w:r w:rsidR="000329BC" w:rsidRPr="004D5459">
        <w:t xml:space="preserve">s Reply to the Communities at 4.  </w:t>
      </w:r>
      <w:r w:rsidR="000329BC" w:rsidRPr="004D5459">
        <w:rPr>
          <w:i/>
          <w:color w:val="000000" w:themeColor="text1"/>
        </w:rPr>
        <w:t>See</w:t>
      </w:r>
      <w:r w:rsidR="000329BC" w:rsidRPr="004D5459">
        <w:rPr>
          <w:color w:val="000000" w:themeColor="text1"/>
        </w:rPr>
        <w:t xml:space="preserve"> </w:t>
      </w:r>
      <w:r w:rsidR="000329BC" w:rsidRPr="004D5459">
        <w:rPr>
          <w:i/>
          <w:color w:val="000000" w:themeColor="text1"/>
        </w:rPr>
        <w:t>also</w:t>
      </w:r>
      <w:r w:rsidR="000329BC" w:rsidRPr="004D5459">
        <w:rPr>
          <w:color w:val="000000" w:themeColor="text1"/>
        </w:rPr>
        <w:t xml:space="preserve"> </w:t>
      </w:r>
      <w:r w:rsidR="000329BC" w:rsidRPr="004D5459">
        <w:rPr>
          <w:rStyle w:val="emphi"/>
          <w:i/>
          <w:iCs/>
          <w:color w:val="000000" w:themeColor="text1"/>
        </w:rPr>
        <w:t>Subsidiaries of Cablevision Systems Corp.</w:t>
      </w:r>
      <w:r w:rsidR="000329BC" w:rsidRPr="004D5459">
        <w:rPr>
          <w:color w:val="000000" w:themeColor="text1"/>
        </w:rPr>
        <w:t>,</w:t>
      </w:r>
      <w:r w:rsidR="000329BC" w:rsidRPr="004D5459">
        <w:rPr>
          <w:rStyle w:val="apple-converted-space"/>
          <w:color w:val="000000" w:themeColor="text1"/>
        </w:rPr>
        <w:t xml:space="preserve"> </w:t>
      </w:r>
      <w:hyperlink r:id="rId1" w:tgtFrame="_top" w:history="1">
        <w:r w:rsidR="000329BC" w:rsidRPr="004D5459">
          <w:rPr>
            <w:rStyle w:val="Hyperlink"/>
            <w:color w:val="000000" w:themeColor="text1"/>
            <w:u w:val="none"/>
          </w:rPr>
          <w:t>23 FCC Rcd 14141</w:t>
        </w:r>
      </w:hyperlink>
      <w:r w:rsidR="000329BC" w:rsidRPr="004D5459">
        <w:rPr>
          <w:color w:val="000000" w:themeColor="text1"/>
        </w:rPr>
        <w:t xml:space="preserve">, 14145, </w:t>
      </w:r>
      <w:r w:rsidR="00BA620C">
        <w:rPr>
          <w:color w:val="000000" w:themeColor="text1"/>
        </w:rPr>
        <w:t>¶</w:t>
      </w:r>
      <w:r w:rsidR="000329BC" w:rsidRPr="004D5459">
        <w:rPr>
          <w:color w:val="000000" w:themeColor="text1"/>
        </w:rPr>
        <w:t xml:space="preserve"> 15 (2008), </w:t>
      </w:r>
      <w:r w:rsidR="000329BC" w:rsidRPr="004D5459">
        <w:rPr>
          <w:rStyle w:val="emphi"/>
          <w:i/>
          <w:iCs/>
          <w:color w:val="000000" w:themeColor="text1"/>
        </w:rPr>
        <w:t>stay denied</w:t>
      </w:r>
      <w:r w:rsidR="000329BC" w:rsidRPr="004D5459">
        <w:rPr>
          <w:color w:val="000000" w:themeColor="text1"/>
        </w:rPr>
        <w:t>,</w:t>
      </w:r>
      <w:r w:rsidR="000329BC" w:rsidRPr="004D5459">
        <w:rPr>
          <w:rStyle w:val="apple-converted-space"/>
          <w:color w:val="000000" w:themeColor="text1"/>
        </w:rPr>
        <w:t> </w:t>
      </w:r>
      <w:hyperlink r:id="rId2" w:tgtFrame="_top" w:history="1">
        <w:r w:rsidR="000329BC" w:rsidRPr="004D5459">
          <w:rPr>
            <w:rStyle w:val="Hyperlink"/>
            <w:color w:val="000000" w:themeColor="text1"/>
            <w:u w:val="none"/>
          </w:rPr>
          <w:t>23 FCC Rcd 17012</w:t>
        </w:r>
      </w:hyperlink>
      <w:r w:rsidR="000329BC" w:rsidRPr="004D5459">
        <w:rPr>
          <w:rStyle w:val="apple-converted-space"/>
          <w:color w:val="000000" w:themeColor="text1"/>
        </w:rPr>
        <w:t> </w:t>
      </w:r>
      <w:r w:rsidR="000329BC" w:rsidRPr="004D5459">
        <w:rPr>
          <w:color w:val="000000" w:themeColor="text1"/>
        </w:rPr>
        <w:t>(2008) (dismissing objection that the cable operator’s estimate of DBS subscribers did not include cancellations after the date that SBCA estimated DBS subscriber numbers).</w:t>
      </w:r>
      <w:r w:rsidR="00631A36" w:rsidRPr="004D5459">
        <w:t xml:space="preserve">     </w:t>
      </w:r>
      <w:r w:rsidR="000329BC" w:rsidRPr="004D5459">
        <w:rPr>
          <w:color w:val="000000"/>
        </w:rPr>
        <w:t xml:space="preserve">  </w:t>
      </w:r>
      <w:r w:rsidR="00631A36" w:rsidRPr="004D5459">
        <w:t xml:space="preserve"> </w:t>
      </w:r>
    </w:p>
  </w:footnote>
  <w:footnote w:id="31">
    <w:p w:rsidR="00D63247" w:rsidRPr="004D5459" w:rsidRDefault="00D63247" w:rsidP="004D5459">
      <w:pPr>
        <w:pStyle w:val="FootnoteText"/>
        <w:jc w:val="left"/>
      </w:pPr>
      <w:r w:rsidRPr="004D5459">
        <w:rPr>
          <w:rStyle w:val="FootnoteReference"/>
        </w:rPr>
        <w:footnoteRef/>
      </w:r>
      <w:r w:rsidRPr="004D5459">
        <w:t xml:space="preserve"> Everett’s Opposition at 5-6; Mountlake Terrace’s Opposition at 5-6; Mukilteo’s Opposition at 5-6. </w:t>
      </w:r>
    </w:p>
  </w:footnote>
  <w:footnote w:id="32">
    <w:p w:rsidR="004D2BD9" w:rsidRPr="004D5459" w:rsidRDefault="004D2BD9" w:rsidP="004D5459">
      <w:pPr>
        <w:pStyle w:val="FootnoteText"/>
        <w:jc w:val="left"/>
      </w:pPr>
      <w:r w:rsidRPr="004D5459">
        <w:rPr>
          <w:rStyle w:val="FootnoteReference"/>
        </w:rPr>
        <w:footnoteRef/>
      </w:r>
      <w:r w:rsidRPr="004D5459">
        <w:t xml:space="preserve"> Comcast’s Reply to the Communities at 7 (citing 47 U.S.C. § 522(13)).</w:t>
      </w:r>
    </w:p>
  </w:footnote>
  <w:footnote w:id="33">
    <w:p w:rsidR="00631A36" w:rsidRPr="004D5459" w:rsidRDefault="00631A36" w:rsidP="004D5459">
      <w:pPr>
        <w:pStyle w:val="FootnoteText"/>
        <w:jc w:val="left"/>
      </w:pPr>
      <w:r w:rsidRPr="004D5459">
        <w:rPr>
          <w:rStyle w:val="FootnoteReference"/>
        </w:rPr>
        <w:footnoteRef/>
      </w:r>
      <w:r w:rsidRPr="004D5459">
        <w:t xml:space="preserve"> Comcast’s Reply to the Communities at 7</w:t>
      </w:r>
      <w:r w:rsidR="004D2BD9" w:rsidRPr="004D5459">
        <w:t xml:space="preserve">; </w:t>
      </w:r>
      <w:r w:rsidR="004D2BD9" w:rsidRPr="004D5459">
        <w:rPr>
          <w:i/>
        </w:rPr>
        <w:t>see also Cablevision Sys. E. Hampton Corp.</w:t>
      </w:r>
      <w:r w:rsidR="004D2BD9" w:rsidRPr="004D5459">
        <w:t xml:space="preserve">, 24 FCC Rcd 10846, 10849-50, </w:t>
      </w:r>
      <w:r w:rsidR="00BA620C">
        <w:rPr>
          <w:color w:val="000000"/>
        </w:rPr>
        <w:t>¶</w:t>
      </w:r>
      <w:r w:rsidR="004D2BD9" w:rsidRPr="004D5459">
        <w:t xml:space="preserve"> 13 (2009) (concerning the general objection that DBS should not provoke deregulation of rates for basic cable service, the statute generally defines the class of cable competitors as MVPDs, and specifically de</w:t>
      </w:r>
      <w:r w:rsidR="00FF6CEF" w:rsidRPr="004D5459">
        <w:t>fines DBS operators as an MVPD)</w:t>
      </w:r>
      <w:r w:rsidRPr="004D5459">
        <w:t xml:space="preserve">. </w:t>
      </w:r>
    </w:p>
  </w:footnote>
  <w:footnote w:id="34">
    <w:p w:rsidR="00A12542" w:rsidRPr="004D5459" w:rsidRDefault="00A12542" w:rsidP="004D5459">
      <w:pPr>
        <w:pStyle w:val="FootnoteText"/>
        <w:jc w:val="left"/>
      </w:pPr>
      <w:r w:rsidRPr="004D5459">
        <w:rPr>
          <w:rStyle w:val="FootnoteReference"/>
        </w:rPr>
        <w:footnoteRef/>
      </w:r>
      <w:r w:rsidRPr="004D5459">
        <w:t xml:space="preserve"> </w:t>
      </w:r>
      <w:r w:rsidR="00F915F7" w:rsidRPr="004D5459">
        <w:t>Everett’s Opposition at 5-6; Mountlake Terrace’s Opposition at 5-6; Mukilteo’s Opposition at 5-6.</w:t>
      </w:r>
    </w:p>
  </w:footnote>
  <w:footnote w:id="35">
    <w:p w:rsidR="00A12542" w:rsidRPr="004D5459" w:rsidRDefault="00A12542" w:rsidP="004D5459">
      <w:pPr>
        <w:spacing w:after="120"/>
        <w:rPr>
          <w:vanish/>
          <w:color w:val="252525"/>
          <w:sz w:val="20"/>
        </w:rPr>
      </w:pPr>
      <w:r w:rsidRPr="004D5459">
        <w:rPr>
          <w:rStyle w:val="FootnoteReference"/>
          <w:sz w:val="20"/>
        </w:rPr>
        <w:footnoteRef/>
      </w:r>
      <w:r w:rsidRPr="004D5459">
        <w:rPr>
          <w:sz w:val="20"/>
        </w:rPr>
        <w:t xml:space="preserve"> </w:t>
      </w:r>
      <w:r w:rsidRPr="004D5459">
        <w:rPr>
          <w:i/>
          <w:sz w:val="20"/>
        </w:rPr>
        <w:t>See</w:t>
      </w:r>
      <w:r w:rsidRPr="004D5459">
        <w:rPr>
          <w:sz w:val="20"/>
        </w:rPr>
        <w:t xml:space="preserve"> 47 § U.S.C. 543(b)(1); </w:t>
      </w:r>
      <w:r w:rsidRPr="004D5459">
        <w:rPr>
          <w:i/>
          <w:sz w:val="20"/>
        </w:rPr>
        <w:t>see, e.g.</w:t>
      </w:r>
      <w:r w:rsidRPr="004D5459">
        <w:rPr>
          <w:sz w:val="20"/>
        </w:rPr>
        <w:t xml:space="preserve">, </w:t>
      </w:r>
      <w:r w:rsidRPr="004D5459">
        <w:rPr>
          <w:i/>
          <w:sz w:val="20"/>
        </w:rPr>
        <w:t>Comcast Cable Commc’ns, LLC</w:t>
      </w:r>
      <w:r w:rsidRPr="004D5459">
        <w:rPr>
          <w:sz w:val="20"/>
        </w:rPr>
        <w:t xml:space="preserve">, 26 FCC Rcd 2471, 2475, </w:t>
      </w:r>
      <w:r w:rsidR="00BA620C">
        <w:rPr>
          <w:color w:val="000000"/>
          <w:sz w:val="20"/>
        </w:rPr>
        <w:t>¶</w:t>
      </w:r>
      <w:r w:rsidRPr="004D5459">
        <w:rPr>
          <w:color w:val="000000"/>
          <w:sz w:val="20"/>
        </w:rPr>
        <w:t xml:space="preserve"> 14 (2011); </w:t>
      </w:r>
      <w:r w:rsidRPr="004D5459">
        <w:rPr>
          <w:i/>
          <w:color w:val="000000"/>
          <w:sz w:val="20"/>
        </w:rPr>
        <w:t>Comcast Cable Commc’ns, LLC</w:t>
      </w:r>
      <w:r w:rsidRPr="004D5459">
        <w:rPr>
          <w:color w:val="000000"/>
          <w:sz w:val="20"/>
        </w:rPr>
        <w:t xml:space="preserve">, 25 FCC Rcd 13340, 13343, </w:t>
      </w:r>
      <w:r w:rsidR="00BA620C">
        <w:rPr>
          <w:color w:val="000000"/>
          <w:sz w:val="20"/>
        </w:rPr>
        <w:t>¶</w:t>
      </w:r>
      <w:r w:rsidRPr="004D5459">
        <w:rPr>
          <w:color w:val="000000"/>
          <w:sz w:val="20"/>
        </w:rPr>
        <w:t xml:space="preserve"> 12 (2010), </w:t>
      </w:r>
      <w:r w:rsidRPr="004D5459">
        <w:rPr>
          <w:i/>
          <w:color w:val="000000"/>
          <w:sz w:val="20"/>
        </w:rPr>
        <w:t xml:space="preserve">erratum on other grounds </w:t>
      </w:r>
      <w:r w:rsidRPr="004D5459">
        <w:rPr>
          <w:color w:val="000000"/>
          <w:sz w:val="20"/>
        </w:rPr>
        <w:t xml:space="preserve">(rel. Sept. 27, 2010); </w:t>
      </w:r>
      <w:r w:rsidRPr="004D5459">
        <w:rPr>
          <w:i/>
          <w:color w:val="000000"/>
          <w:sz w:val="20"/>
        </w:rPr>
        <w:t>Comcast Cable Commc’ns, LLC</w:t>
      </w:r>
      <w:r w:rsidRPr="004D5459">
        <w:rPr>
          <w:color w:val="000000"/>
          <w:sz w:val="20"/>
        </w:rPr>
        <w:t xml:space="preserve">, 25 FCC Rcd 12819, 12821-22, </w:t>
      </w:r>
      <w:r w:rsidR="00BA620C">
        <w:rPr>
          <w:color w:val="000000"/>
          <w:sz w:val="20"/>
        </w:rPr>
        <w:t>¶</w:t>
      </w:r>
      <w:r w:rsidRPr="004D5459">
        <w:rPr>
          <w:color w:val="000000"/>
          <w:sz w:val="20"/>
        </w:rPr>
        <w:t xml:space="preserve"> 11 (2010). </w:t>
      </w:r>
      <w:hyperlink r:id="rId3" w:anchor="co_pp_3fed000053a85" w:history="1">
        <w:r w:rsidRPr="004D5459">
          <w:rPr>
            <w:rStyle w:val="Hyperlink"/>
            <w:vanish/>
            <w:sz w:val="20"/>
          </w:rPr>
          <w:t>47 U.S.C. § 543(b)(1)</w:t>
        </w:r>
      </w:hyperlink>
      <w:r w:rsidRPr="004D5459">
        <w:rPr>
          <w:vanish/>
          <w:color w:val="252525"/>
          <w:sz w:val="20"/>
        </w:rPr>
        <w:t>.</w:t>
      </w:r>
    </w:p>
    <w:p w:rsidR="00A12542" w:rsidRPr="004D5459" w:rsidRDefault="00A12542" w:rsidP="004D5459">
      <w:pPr>
        <w:pStyle w:val="FootnoteText"/>
        <w:jc w:val="left"/>
        <w:rPr>
          <w:rStyle w:val="FootnoteReference"/>
        </w:rPr>
      </w:pPr>
    </w:p>
  </w:footnote>
  <w:footnote w:id="36">
    <w:p w:rsidR="00A12542" w:rsidRPr="004D5459" w:rsidRDefault="00A12542" w:rsidP="004D5459">
      <w:pPr>
        <w:pStyle w:val="FootnoteText"/>
        <w:jc w:val="left"/>
      </w:pPr>
      <w:r w:rsidRPr="004D5459">
        <w:rPr>
          <w:rStyle w:val="FootnoteReference"/>
        </w:rPr>
        <w:footnoteRef/>
      </w:r>
      <w:r w:rsidRPr="004D5459">
        <w:t xml:space="preserve"> </w:t>
      </w:r>
      <w:r w:rsidR="001E4C24" w:rsidRPr="001E4C24">
        <w:t xml:space="preserve"> </w:t>
      </w:r>
      <w:r w:rsidR="001E4C24" w:rsidRPr="004D5459">
        <w:t>Edmonds</w:t>
      </w:r>
      <w:r w:rsidR="001E4C24">
        <w:t>’s</w:t>
      </w:r>
      <w:r w:rsidR="001E4C24" w:rsidRPr="004D5459">
        <w:t xml:space="preserve"> Opposition</w:t>
      </w:r>
      <w:r w:rsidR="00AA7460" w:rsidRPr="004D5459">
        <w:t xml:space="preserve"> at 1</w:t>
      </w:r>
      <w:r w:rsidR="001E4C24">
        <w:t>3</w:t>
      </w:r>
      <w:r w:rsidR="00AA7460" w:rsidRPr="004D5459">
        <w:t xml:space="preserve">-17 &amp; </w:t>
      </w:r>
      <w:r w:rsidRPr="004D5459">
        <w:t>Att</w:t>
      </w:r>
      <w:r w:rsidR="00AA7460" w:rsidRPr="004D5459">
        <w:t>ach</w:t>
      </w:r>
      <w:r w:rsidRPr="004D5459">
        <w:t xml:space="preserve">. A </w:t>
      </w:r>
      <w:r w:rsidR="00AA7460" w:rsidRPr="004D5459">
        <w:t>at 5-6</w:t>
      </w:r>
      <w:r w:rsidRPr="004D5459">
        <w:t>.</w:t>
      </w:r>
    </w:p>
  </w:footnote>
  <w:footnote w:id="37">
    <w:p w:rsidR="00A12542" w:rsidRPr="004D5459" w:rsidRDefault="00A12542" w:rsidP="004D5459">
      <w:pPr>
        <w:pStyle w:val="FootnoteText"/>
        <w:jc w:val="left"/>
      </w:pPr>
      <w:r w:rsidRPr="004D5459">
        <w:rPr>
          <w:rStyle w:val="FootnoteReference"/>
        </w:rPr>
        <w:footnoteRef/>
      </w:r>
      <w:r w:rsidRPr="004D5459">
        <w:t xml:space="preserve"> Comcast’s Reply to the City at 4; </w:t>
      </w:r>
      <w:r w:rsidRPr="004D5459">
        <w:rPr>
          <w:i/>
        </w:rPr>
        <w:t>see also</w:t>
      </w:r>
      <w:r w:rsidRPr="004D5459">
        <w:t xml:space="preserve"> </w:t>
      </w:r>
      <w:r w:rsidRPr="004D5459">
        <w:rPr>
          <w:i/>
        </w:rPr>
        <w:t>Comcast Cable Commc’ns, LLC, Petition for Determination of Effective Competition in Six Blaine, Minnesota Franchise Areas</w:t>
      </w:r>
      <w:r w:rsidRPr="004D5459">
        <w:t xml:space="preserve">, 28 FCC Rcd 5508, 5511, </w:t>
      </w:r>
      <w:r w:rsidR="00BA620C">
        <w:rPr>
          <w:color w:val="000000"/>
        </w:rPr>
        <w:t>¶</w:t>
      </w:r>
      <w:r w:rsidRPr="004D5459">
        <w:rPr>
          <w:color w:val="000000"/>
        </w:rPr>
        <w:t xml:space="preserve"> 9 (2013);</w:t>
      </w:r>
      <w:r w:rsidRPr="004D5459">
        <w:rPr>
          <w:i/>
        </w:rPr>
        <w:t xml:space="preserve"> Comcast Cable Commc’ns, LLC, Petition for Determination of Effective Competition in 7 Washington Franchise </w:t>
      </w:r>
      <w:r w:rsidRPr="004D5459">
        <w:t xml:space="preserve">Areas, 26 FCC Rcd 2471, 2475, </w:t>
      </w:r>
      <w:r w:rsidR="00BA620C">
        <w:t>¶</w:t>
      </w:r>
      <w:r w:rsidRPr="004D5459">
        <w:rPr>
          <w:color w:val="000000"/>
        </w:rPr>
        <w:t xml:space="preserve"> 13 (2011); </w:t>
      </w:r>
      <w:r w:rsidRPr="004D5459">
        <w:rPr>
          <w:i/>
        </w:rPr>
        <w:t>Cablevision Systems Westchester Corp., Petition for Determination of Effective Competition in Putnam Valley, New York</w:t>
      </w:r>
      <w:r w:rsidRPr="004D5459">
        <w:t xml:space="preserve">, 24 FCC Rcd 872, 875, </w:t>
      </w:r>
      <w:r w:rsidR="00BA620C">
        <w:rPr>
          <w:color w:val="000000"/>
        </w:rPr>
        <w:t>¶</w:t>
      </w:r>
      <w:r w:rsidRPr="004D5459">
        <w:rPr>
          <w:color w:val="000000"/>
        </w:rPr>
        <w:t xml:space="preserve"> 13 (2009) (“ZIP+4 data such as Petitioner has presented is the most fine-grained and commonly available way of which we are aware to count DBS subscribers in a community.  It does not create an automatic suspicion of inaccuracy.”); </w:t>
      </w:r>
      <w:r w:rsidRPr="004D5459">
        <w:rPr>
          <w:i/>
          <w:color w:val="000000"/>
        </w:rPr>
        <w:t>Cablevision of Litchfield, Inc., Petition for Determination of Effective Competition in Eight Conn. Cmty’s</w:t>
      </w:r>
      <w:r w:rsidRPr="004D5459">
        <w:rPr>
          <w:color w:val="000000"/>
        </w:rPr>
        <w:t xml:space="preserve">, 23 FCC Rcd 16614, 16616, </w:t>
      </w:r>
      <w:r w:rsidR="00BA620C">
        <w:rPr>
          <w:color w:val="000000"/>
        </w:rPr>
        <w:t>¶</w:t>
      </w:r>
      <w:r w:rsidRPr="004D5459">
        <w:rPr>
          <w:color w:val="000000"/>
        </w:rPr>
        <w:t xml:space="preserve"> 6 (2008).</w:t>
      </w:r>
    </w:p>
  </w:footnote>
  <w:footnote w:id="38">
    <w:p w:rsidR="00A12542" w:rsidRPr="004D5459" w:rsidRDefault="00A12542" w:rsidP="004D5459">
      <w:pPr>
        <w:spacing w:after="120"/>
        <w:rPr>
          <w:color w:val="000000" w:themeColor="text1"/>
          <w:sz w:val="20"/>
        </w:rPr>
      </w:pPr>
      <w:r w:rsidRPr="004D5459">
        <w:rPr>
          <w:rStyle w:val="FootnoteReference"/>
          <w:sz w:val="20"/>
        </w:rPr>
        <w:footnoteRef/>
      </w:r>
      <w:r w:rsidRPr="004D5459">
        <w:rPr>
          <w:rStyle w:val="ssleftalign2"/>
          <w:i/>
          <w:sz w:val="20"/>
          <w:lang w:val="en"/>
        </w:rPr>
        <w:t xml:space="preserve"> </w:t>
      </w:r>
      <w:r w:rsidRPr="004D5459">
        <w:rPr>
          <w:color w:val="000000"/>
          <w:sz w:val="20"/>
        </w:rPr>
        <w:t xml:space="preserve">We also find irrelevant the City’s assertion that </w:t>
      </w:r>
      <w:r w:rsidRPr="004D5459">
        <w:rPr>
          <w:sz w:val="20"/>
        </w:rPr>
        <w:t>Comcast effectively shifted the burden of proof to the City.  Edmonds</w:t>
      </w:r>
      <w:r w:rsidR="005903FE">
        <w:rPr>
          <w:sz w:val="20"/>
        </w:rPr>
        <w:t>’s</w:t>
      </w:r>
      <w:r w:rsidRPr="004D5459">
        <w:rPr>
          <w:sz w:val="20"/>
        </w:rPr>
        <w:t xml:space="preserve"> Opposition</w:t>
      </w:r>
      <w:r w:rsidR="007C28FF" w:rsidRPr="004D5459">
        <w:rPr>
          <w:sz w:val="20"/>
        </w:rPr>
        <w:t xml:space="preserve"> at 17-19</w:t>
      </w:r>
      <w:r w:rsidR="006256C1" w:rsidRPr="004D5459">
        <w:rPr>
          <w:sz w:val="20"/>
        </w:rPr>
        <w:t xml:space="preserve"> </w:t>
      </w:r>
      <w:r w:rsidR="00AA7460" w:rsidRPr="004D5459">
        <w:rPr>
          <w:sz w:val="20"/>
        </w:rPr>
        <w:t>&amp; Attach</w:t>
      </w:r>
      <w:r w:rsidR="006256C1" w:rsidRPr="004D5459">
        <w:rPr>
          <w:sz w:val="20"/>
        </w:rPr>
        <w:t>.</w:t>
      </w:r>
      <w:r w:rsidRPr="004D5459">
        <w:rPr>
          <w:sz w:val="20"/>
        </w:rPr>
        <w:t xml:space="preserve"> </w:t>
      </w:r>
      <w:r w:rsidR="00AA7460" w:rsidRPr="004D5459">
        <w:rPr>
          <w:sz w:val="20"/>
        </w:rPr>
        <w:t xml:space="preserve">A </w:t>
      </w:r>
      <w:r w:rsidRPr="004D5459">
        <w:rPr>
          <w:sz w:val="20"/>
        </w:rPr>
        <w:t xml:space="preserve">at </w:t>
      </w:r>
      <w:r w:rsidR="00FF6CEF" w:rsidRPr="004D5459">
        <w:rPr>
          <w:sz w:val="20"/>
        </w:rPr>
        <w:t>5-6</w:t>
      </w:r>
      <w:r w:rsidRPr="004D5459">
        <w:rPr>
          <w:sz w:val="20"/>
        </w:rPr>
        <w:t xml:space="preserve">.  Pursuant to the </w:t>
      </w:r>
      <w:r w:rsidRPr="004D5459">
        <w:rPr>
          <w:i/>
          <w:sz w:val="20"/>
        </w:rPr>
        <w:t>Effective Competition Order</w:t>
      </w:r>
      <w:r w:rsidRPr="004D5459">
        <w:rPr>
          <w:sz w:val="20"/>
        </w:rPr>
        <w:t>, there is a rebuttable presumption that cable operators are subject competing provider effective competition</w:t>
      </w:r>
      <w:r w:rsidRPr="004D5459">
        <w:rPr>
          <w:color w:val="000000"/>
          <w:sz w:val="20"/>
        </w:rPr>
        <w:t xml:space="preserve">.  </w:t>
      </w:r>
      <w:r w:rsidRPr="004D5459">
        <w:rPr>
          <w:i/>
          <w:color w:val="000000"/>
          <w:sz w:val="20"/>
        </w:rPr>
        <w:t>See generally</w:t>
      </w:r>
      <w:r w:rsidRPr="004D5459">
        <w:rPr>
          <w:color w:val="000000"/>
          <w:sz w:val="20"/>
        </w:rPr>
        <w:t xml:space="preserve"> </w:t>
      </w:r>
      <w:r w:rsidRPr="004D5459">
        <w:rPr>
          <w:i/>
          <w:sz w:val="20"/>
        </w:rPr>
        <w:t>Effective Competition Order</w:t>
      </w:r>
      <w:r w:rsidRPr="004D5459">
        <w:rPr>
          <w:sz w:val="20"/>
        </w:rPr>
        <w:t xml:space="preserve">, </w:t>
      </w:r>
      <w:r w:rsidRPr="004D5459">
        <w:rPr>
          <w:spacing w:val="-2"/>
          <w:sz w:val="20"/>
        </w:rPr>
        <w:t>30 FCC Rcd 6574.</w:t>
      </w:r>
    </w:p>
  </w:footnote>
  <w:footnote w:id="39">
    <w:p w:rsidR="00146E79" w:rsidRPr="004D5459" w:rsidRDefault="00146E79" w:rsidP="004D5459">
      <w:pPr>
        <w:pStyle w:val="FootnoteText"/>
        <w:jc w:val="left"/>
      </w:pPr>
      <w:r w:rsidRPr="004D5459">
        <w:rPr>
          <w:rStyle w:val="FootnoteReference"/>
        </w:rPr>
        <w:footnoteRef/>
      </w:r>
      <w:r w:rsidRPr="004D5459">
        <w:t xml:space="preserve"> </w:t>
      </w:r>
      <w:r w:rsidR="006D3B69" w:rsidRPr="004D5459">
        <w:t xml:space="preserve">Everett’s Opposition at 4; Mountlake Terrace’s Opposition at 4; Mukilteo’s Opposition at 4; </w:t>
      </w:r>
      <w:r w:rsidRPr="004D5459">
        <w:t>Edmonds</w:t>
      </w:r>
      <w:r w:rsidR="005903FE">
        <w:t>’s</w:t>
      </w:r>
      <w:r w:rsidRPr="004D5459">
        <w:t xml:space="preserve"> Opposition at 8.  The City </w:t>
      </w:r>
      <w:r w:rsidR="006D3B69" w:rsidRPr="004D5459">
        <w:t xml:space="preserve">of Edmonds </w:t>
      </w:r>
      <w:r w:rsidRPr="004D5459">
        <w:t xml:space="preserve">requested an un-redacted copy of the </w:t>
      </w:r>
      <w:r w:rsidR="00AE1DF3">
        <w:t>P</w:t>
      </w:r>
      <w:r w:rsidRPr="004D5459">
        <w:t xml:space="preserve">etition, but Petitioner denied its request because of Petitioner’s confidential agreement with Frontier.  </w:t>
      </w:r>
      <w:r w:rsidR="006D3B69" w:rsidRPr="004D5459">
        <w:t>Edmonds</w:t>
      </w:r>
      <w:r w:rsidR="005903FE">
        <w:t>’s</w:t>
      </w:r>
      <w:r w:rsidR="006D3B69" w:rsidRPr="004D5459">
        <w:t xml:space="preserve"> Opposition </w:t>
      </w:r>
      <w:r w:rsidRPr="004D5459">
        <w:t>at 9, 12.</w:t>
      </w:r>
    </w:p>
  </w:footnote>
  <w:footnote w:id="40">
    <w:p w:rsidR="00146E79" w:rsidRPr="004D5459" w:rsidRDefault="00146E79" w:rsidP="004D5459">
      <w:pPr>
        <w:pStyle w:val="FootnoteText"/>
        <w:jc w:val="left"/>
      </w:pPr>
      <w:r w:rsidRPr="004D5459">
        <w:rPr>
          <w:rStyle w:val="FootnoteReference"/>
        </w:rPr>
        <w:footnoteRef/>
      </w:r>
      <w:r w:rsidRPr="004D5459">
        <w:t xml:space="preserve"> </w:t>
      </w:r>
      <w:r w:rsidR="006D3B69" w:rsidRPr="004D5459">
        <w:t xml:space="preserve">Comcast’s Reply to the Communities at 4-5; </w:t>
      </w:r>
      <w:r w:rsidR="004C30F7" w:rsidRPr="004D5459">
        <w:t>Comcast’s Reply to the City at 2</w:t>
      </w:r>
      <w:r w:rsidR="00AA7460" w:rsidRPr="004D5459">
        <w:t>-3</w:t>
      </w:r>
      <w:r w:rsidR="004C30F7" w:rsidRPr="004D5459">
        <w:t>.</w:t>
      </w:r>
      <w:r w:rsidR="006D3B69" w:rsidRPr="004D5459">
        <w:t xml:space="preserve">  Petitioner notes that in order to obtain subscribership data from Frontier</w:t>
      </w:r>
      <w:r w:rsidR="00BA620C">
        <w:t>,</w:t>
      </w:r>
      <w:r w:rsidR="006D3B69" w:rsidRPr="004D5459">
        <w:t xml:space="preserve"> Petitioner had to agree to a confidentiality agreement with Frontier.  Comcast’s Reply to the Communities at 4</w:t>
      </w:r>
      <w:r w:rsidR="006D3B69" w:rsidRPr="004D5459">
        <w:rPr>
          <w:iCs/>
        </w:rPr>
        <w:t>, Exhs. 1-2.</w:t>
      </w:r>
      <w:r w:rsidR="004C30F7" w:rsidRPr="004D5459">
        <w:t xml:space="preserve"> </w:t>
      </w:r>
      <w:r w:rsidRPr="004D5459">
        <w:rPr>
          <w:iCs/>
        </w:rPr>
        <w:t xml:space="preserve"> </w:t>
      </w:r>
      <w:r w:rsidRPr="004D5459">
        <w:t xml:space="preserve">   </w:t>
      </w:r>
    </w:p>
  </w:footnote>
  <w:footnote w:id="41">
    <w:p w:rsidR="006D3B69" w:rsidRPr="004D5459" w:rsidRDefault="006D3B69" w:rsidP="004D5459">
      <w:pPr>
        <w:pStyle w:val="FootnoteText"/>
        <w:jc w:val="left"/>
      </w:pPr>
      <w:r w:rsidRPr="004D5459">
        <w:rPr>
          <w:rStyle w:val="FootnoteReference"/>
          <w:color w:val="000000" w:themeColor="text1"/>
        </w:rPr>
        <w:footnoteRef/>
      </w:r>
      <w:r w:rsidRPr="004D5459">
        <w:rPr>
          <w:color w:val="000000" w:themeColor="text1"/>
        </w:rPr>
        <w:t xml:space="preserve"> </w:t>
      </w:r>
      <w:r w:rsidRPr="004D5459">
        <w:rPr>
          <w:i/>
          <w:color w:val="000000" w:themeColor="text1"/>
        </w:rPr>
        <w:t xml:space="preserve">See Comcast Cable </w:t>
      </w:r>
      <w:r w:rsidRPr="004D5459">
        <w:rPr>
          <w:i/>
          <w:iCs/>
          <w:color w:val="000000"/>
        </w:rPr>
        <w:t>Commc’ns, LLC</w:t>
      </w:r>
      <w:r w:rsidRPr="004D5459">
        <w:rPr>
          <w:color w:val="000000"/>
        </w:rPr>
        <w:t xml:space="preserve">, </w:t>
      </w:r>
      <w:r w:rsidRPr="004D5459">
        <w:rPr>
          <w:iCs/>
          <w:color w:val="000000"/>
        </w:rPr>
        <w:t xml:space="preserve">27 FCC Rcd 15940, 15941, </w:t>
      </w:r>
      <w:r w:rsidR="00BA620C">
        <w:rPr>
          <w:iCs/>
          <w:color w:val="000000"/>
        </w:rPr>
        <w:t>¶</w:t>
      </w:r>
      <w:r w:rsidRPr="004D5459">
        <w:rPr>
          <w:color w:val="000000"/>
        </w:rPr>
        <w:t xml:space="preserve"> 5 (2012) (the Commission accepted Comcast’s effective competition filing containing confidential Verizon subscriber information, and subsequently facilitated a protective order between Verizon and the Division of Rate Counsel of the State of New Jersey (the DRC) that allowed the DRC to review Verizon’s confidential data).</w:t>
      </w:r>
    </w:p>
  </w:footnote>
  <w:footnote w:id="42">
    <w:p w:rsidR="004C30F7" w:rsidRPr="004D5459" w:rsidRDefault="004C30F7" w:rsidP="004D5459">
      <w:pPr>
        <w:pStyle w:val="FootnoteText"/>
        <w:jc w:val="left"/>
      </w:pPr>
      <w:r w:rsidRPr="004D5459">
        <w:rPr>
          <w:rStyle w:val="FootnoteReference"/>
        </w:rPr>
        <w:footnoteRef/>
      </w:r>
      <w:r w:rsidRPr="004D5459">
        <w:t xml:space="preserve"> As noted above, we reserve the right, if a party requests access to the confidential data, to engage in a more formal process for their evaluation, protection, and limited disclosure.  </w:t>
      </w:r>
      <w:r w:rsidRPr="004D5459">
        <w:rPr>
          <w:i/>
        </w:rPr>
        <w:t>See, e.g.</w:t>
      </w:r>
      <w:r w:rsidRPr="004D5459">
        <w:t xml:space="preserve">, </w:t>
      </w:r>
      <w:r w:rsidRPr="004D5459">
        <w:rPr>
          <w:i/>
        </w:rPr>
        <w:t>Adelphia Commun. Corp.</w:t>
      </w:r>
      <w:r w:rsidRPr="004D5459">
        <w:t xml:space="preserve">, 20 FCC Rcd 20073; </w:t>
      </w:r>
      <w:r w:rsidRPr="004D5459">
        <w:rPr>
          <w:i/>
        </w:rPr>
        <w:t>Sprint Protective Order</w:t>
      </w:r>
      <w:r w:rsidRPr="004D5459">
        <w:t xml:space="preserve">, 20 FCC Rcd 19882.  </w:t>
      </w:r>
      <w:r w:rsidRPr="004D5459">
        <w:rPr>
          <w:i/>
        </w:rPr>
        <w:t>See also supra</w:t>
      </w:r>
      <w:r w:rsidRPr="004D5459">
        <w:t xml:space="preserve"> n</w:t>
      </w:r>
      <w:r w:rsidR="00080721" w:rsidRPr="004D5459">
        <w:t>ote 24</w:t>
      </w:r>
      <w:r w:rsidRPr="004D5459">
        <w:t xml:space="preserve">.  </w:t>
      </w:r>
    </w:p>
  </w:footnote>
  <w:footnote w:id="43">
    <w:p w:rsidR="00E15D77" w:rsidRPr="004D5459" w:rsidRDefault="00E15D77" w:rsidP="004D5459">
      <w:pPr>
        <w:pStyle w:val="FootnoteText"/>
        <w:jc w:val="left"/>
        <w:rPr>
          <w:color w:val="000000"/>
        </w:rPr>
      </w:pPr>
      <w:r w:rsidRPr="004D5459">
        <w:rPr>
          <w:rStyle w:val="FootnoteReference"/>
          <w:color w:val="000000"/>
        </w:rPr>
        <w:footnoteRef/>
      </w:r>
      <w:r w:rsidRPr="004D5459">
        <w:rPr>
          <w:color w:val="000000"/>
        </w:rP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77" w:rsidRDefault="00F24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77" w:rsidRDefault="00E15D77">
    <w:pPr>
      <w:pStyle w:val="Header"/>
      <w:tabs>
        <w:tab w:val="clear" w:pos="4320"/>
        <w:tab w:val="clear" w:pos="8640"/>
        <w:tab w:val="center" w:pos="4680"/>
        <w:tab w:val="right" w:pos="9360"/>
      </w:tabs>
      <w:rPr>
        <w:b/>
      </w:rPr>
    </w:pPr>
    <w:r>
      <w:rPr>
        <w:b/>
      </w:rPr>
      <w:tab/>
      <w:t xml:space="preserve">Federal </w:t>
    </w:r>
    <w:r w:rsidR="00C46C6A">
      <w:rPr>
        <w:b/>
      </w:rPr>
      <w:t>Communications Commission</w:t>
    </w:r>
    <w:r w:rsidR="00C46C6A">
      <w:rPr>
        <w:b/>
      </w:rPr>
      <w:tab/>
      <w:t>DA 16</w:t>
    </w:r>
    <w:r w:rsidR="00215B13">
      <w:rPr>
        <w:b/>
      </w:rPr>
      <w:t>-230</w:t>
    </w:r>
    <w:r>
      <w:rPr>
        <w:b/>
      </w:rPr>
      <w:t xml:space="preserve"> </w:t>
    </w:r>
  </w:p>
  <w:p w:rsidR="00E15D77" w:rsidRDefault="00C46C6A">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D4567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E15D77" w:rsidRDefault="00E15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77" w:rsidRDefault="00E15D77">
    <w:pPr>
      <w:pStyle w:val="Header"/>
      <w:tabs>
        <w:tab w:val="clear" w:pos="4320"/>
        <w:tab w:val="clear" w:pos="8640"/>
        <w:tab w:val="center" w:pos="4680"/>
        <w:tab w:val="right" w:pos="9360"/>
      </w:tabs>
      <w:rPr>
        <w:b/>
      </w:rPr>
    </w:pPr>
    <w:r>
      <w:rPr>
        <w:b/>
      </w:rPr>
      <w:tab/>
      <w:t>Federal Communications Commission</w:t>
    </w:r>
    <w:r>
      <w:rPr>
        <w:b/>
      </w:rPr>
      <w:tab/>
      <w:t xml:space="preserve"> </w:t>
    </w:r>
    <w:r w:rsidRPr="00C55A76">
      <w:rPr>
        <w:b/>
      </w:rPr>
      <w:t xml:space="preserve"> </w:t>
    </w:r>
    <w:r w:rsidR="00C46C6A">
      <w:rPr>
        <w:b/>
      </w:rPr>
      <w:t>DA 16</w:t>
    </w:r>
    <w:r w:rsidR="00215B13">
      <w:rPr>
        <w:b/>
      </w:rPr>
      <w:t>-230</w:t>
    </w:r>
  </w:p>
  <w:p w:rsidR="00E15D77" w:rsidRDefault="00C46C6A">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1D3DF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0958AE"/>
    <w:multiLevelType w:val="hybridMultilevel"/>
    <w:tmpl w:val="2A30ED14"/>
    <w:lvl w:ilvl="0" w:tplc="8F16E006">
      <w:start w:val="1"/>
      <w:numFmt w:val="upperRoman"/>
      <w:lvlText w:val="%1."/>
      <w:lvlJc w:val="left"/>
      <w:pPr>
        <w:ind w:left="720" w:hanging="720"/>
      </w:pPr>
      <w:rPr>
        <w:rFonts w:hint="default"/>
      </w:rPr>
    </w:lvl>
    <w:lvl w:ilvl="1" w:tplc="D054D630">
      <w:start w:val="1"/>
      <w:numFmt w:val="lowerLetter"/>
      <w:lvlText w:val="%2."/>
      <w:lvlJc w:val="left"/>
      <w:pPr>
        <w:ind w:left="207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multilevel"/>
    <w:tmpl w:val="8ED620A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ind w:left="1886" w:hanging="360"/>
      </w:pPr>
    </w:lvl>
    <w:lvl w:ilvl="2" w:tentative="1">
      <w:start w:val="1"/>
      <w:numFmt w:val="lowerRoman"/>
      <w:lvlText w:val="%3."/>
      <w:lvlJc w:val="right"/>
      <w:pPr>
        <w:ind w:left="2606" w:hanging="180"/>
      </w:pPr>
    </w:lvl>
    <w:lvl w:ilvl="3" w:tentative="1">
      <w:start w:val="1"/>
      <w:numFmt w:val="decimal"/>
      <w:lvlText w:val="%4."/>
      <w:lvlJc w:val="left"/>
      <w:pPr>
        <w:ind w:left="3326" w:hanging="360"/>
      </w:pPr>
    </w:lvl>
    <w:lvl w:ilvl="4" w:tentative="1">
      <w:start w:val="1"/>
      <w:numFmt w:val="lowerLetter"/>
      <w:lvlText w:val="%5."/>
      <w:lvlJc w:val="left"/>
      <w:pPr>
        <w:ind w:left="4046" w:hanging="360"/>
      </w:pPr>
    </w:lvl>
    <w:lvl w:ilvl="5" w:tentative="1">
      <w:start w:val="1"/>
      <w:numFmt w:val="lowerRoman"/>
      <w:lvlText w:val="%6."/>
      <w:lvlJc w:val="right"/>
      <w:pPr>
        <w:ind w:left="4766" w:hanging="180"/>
      </w:pPr>
    </w:lvl>
    <w:lvl w:ilvl="6" w:tentative="1">
      <w:start w:val="1"/>
      <w:numFmt w:val="decimal"/>
      <w:lvlText w:val="%7."/>
      <w:lvlJc w:val="left"/>
      <w:pPr>
        <w:ind w:left="5486" w:hanging="360"/>
      </w:pPr>
    </w:lvl>
    <w:lvl w:ilvl="7" w:tentative="1">
      <w:start w:val="1"/>
      <w:numFmt w:val="lowerLetter"/>
      <w:lvlText w:val="%8."/>
      <w:lvlJc w:val="left"/>
      <w:pPr>
        <w:ind w:left="6206" w:hanging="360"/>
      </w:pPr>
    </w:lvl>
    <w:lvl w:ilvl="8" w:tentative="1">
      <w:start w:val="1"/>
      <w:numFmt w:val="lowerRoman"/>
      <w:lvlText w:val="%9."/>
      <w:lvlJc w:val="right"/>
      <w:pPr>
        <w:ind w:left="6926" w:hanging="180"/>
      </w:p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7">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6A4825F5"/>
    <w:multiLevelType w:val="hybridMultilevel"/>
    <w:tmpl w:val="278C7FB4"/>
    <w:lvl w:ilvl="0" w:tplc="2C74DE98">
      <w:start w:val="1"/>
      <w:numFmt w:val="decimal"/>
      <w:lvlText w:val="%1."/>
      <w:lvlJc w:val="left"/>
      <w:pPr>
        <w:tabs>
          <w:tab w:val="num" w:pos="1166"/>
        </w:tabs>
        <w:ind w:left="86" w:firstLine="720"/>
      </w:pPr>
      <w:rPr>
        <w:rFonts w:ascii="Times New Roman" w:hAnsi="Times New Roman" w:cs="Times New Roman" w:hint="default"/>
        <w:b w:val="0"/>
        <w:sz w:val="22"/>
        <w:szCs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73030A39"/>
    <w:multiLevelType w:val="hybridMultilevel"/>
    <w:tmpl w:val="D61A4568"/>
    <w:lvl w:ilvl="0" w:tplc="8F846896">
      <w:start w:val="7"/>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4"/>
  </w:num>
  <w:num w:numId="3">
    <w:abstractNumId w:val="4"/>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1"/>
  </w:num>
  <w:num w:numId="12">
    <w:abstractNumId w:val="7"/>
  </w:num>
  <w:num w:numId="13">
    <w:abstractNumId w:val="13"/>
  </w:num>
  <w:num w:numId="14">
    <w:abstractNumId w:val="18"/>
  </w:num>
  <w:num w:numId="15">
    <w:abstractNumId w:val="2"/>
  </w:num>
  <w:num w:numId="16">
    <w:abstractNumId w:val="3"/>
  </w:num>
  <w:num w:numId="17">
    <w:abstractNumId w:val="9"/>
  </w:num>
  <w:num w:numId="18">
    <w:abstractNumId w:val="1"/>
  </w:num>
  <w:num w:numId="19">
    <w:abstractNumId w:val="10"/>
  </w:num>
  <w:num w:numId="20">
    <w:abstractNumId w:val="15"/>
  </w:num>
  <w:num w:numId="21">
    <w:abstractNumId w:val="16"/>
  </w:num>
  <w:num w:numId="22">
    <w:abstractNumId w:val="0"/>
  </w:num>
  <w:num w:numId="23">
    <w:abstractNumId w:val="22"/>
  </w:num>
  <w:num w:numId="24">
    <w:abstractNumId w:val="23"/>
  </w:num>
  <w:num w:numId="25">
    <w:abstractNumId w:val="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BA"/>
    <w:rsid w:val="00000FFE"/>
    <w:rsid w:val="00002AD8"/>
    <w:rsid w:val="0000314B"/>
    <w:rsid w:val="0000530A"/>
    <w:rsid w:val="00012C28"/>
    <w:rsid w:val="000156C5"/>
    <w:rsid w:val="000176C9"/>
    <w:rsid w:val="000205A3"/>
    <w:rsid w:val="00020786"/>
    <w:rsid w:val="000278D4"/>
    <w:rsid w:val="000279A2"/>
    <w:rsid w:val="00031215"/>
    <w:rsid w:val="000329BC"/>
    <w:rsid w:val="00032DFA"/>
    <w:rsid w:val="000466F4"/>
    <w:rsid w:val="00050E59"/>
    <w:rsid w:val="00050F69"/>
    <w:rsid w:val="00051F7B"/>
    <w:rsid w:val="00052A56"/>
    <w:rsid w:val="000558F8"/>
    <w:rsid w:val="00060044"/>
    <w:rsid w:val="00066473"/>
    <w:rsid w:val="00070B75"/>
    <w:rsid w:val="0007356B"/>
    <w:rsid w:val="00077748"/>
    <w:rsid w:val="00080721"/>
    <w:rsid w:val="00082396"/>
    <w:rsid w:val="00082CC1"/>
    <w:rsid w:val="000901AE"/>
    <w:rsid w:val="000910FA"/>
    <w:rsid w:val="00091EE3"/>
    <w:rsid w:val="00094AE1"/>
    <w:rsid w:val="0009579C"/>
    <w:rsid w:val="00096473"/>
    <w:rsid w:val="00096721"/>
    <w:rsid w:val="00097016"/>
    <w:rsid w:val="000A0DAB"/>
    <w:rsid w:val="000A0ED1"/>
    <w:rsid w:val="000A1B50"/>
    <w:rsid w:val="000A2185"/>
    <w:rsid w:val="000A24A4"/>
    <w:rsid w:val="000A4314"/>
    <w:rsid w:val="000B152F"/>
    <w:rsid w:val="000B2A44"/>
    <w:rsid w:val="000B410D"/>
    <w:rsid w:val="000B5F98"/>
    <w:rsid w:val="000C0589"/>
    <w:rsid w:val="000C0E53"/>
    <w:rsid w:val="000C109C"/>
    <w:rsid w:val="000C192C"/>
    <w:rsid w:val="000C1C97"/>
    <w:rsid w:val="000C3CA4"/>
    <w:rsid w:val="000C4D59"/>
    <w:rsid w:val="000C7300"/>
    <w:rsid w:val="000D189D"/>
    <w:rsid w:val="000D4EEB"/>
    <w:rsid w:val="000D75E1"/>
    <w:rsid w:val="000E27F7"/>
    <w:rsid w:val="000E2B59"/>
    <w:rsid w:val="000E341B"/>
    <w:rsid w:val="000F1B15"/>
    <w:rsid w:val="00105001"/>
    <w:rsid w:val="00107C50"/>
    <w:rsid w:val="001162A4"/>
    <w:rsid w:val="00116AF6"/>
    <w:rsid w:val="00117A1D"/>
    <w:rsid w:val="00124A39"/>
    <w:rsid w:val="001264A5"/>
    <w:rsid w:val="0013458C"/>
    <w:rsid w:val="00134F0E"/>
    <w:rsid w:val="00135E35"/>
    <w:rsid w:val="00137DF1"/>
    <w:rsid w:val="001437C1"/>
    <w:rsid w:val="001466FC"/>
    <w:rsid w:val="00146A9E"/>
    <w:rsid w:val="00146E79"/>
    <w:rsid w:val="00152ADD"/>
    <w:rsid w:val="00152B2D"/>
    <w:rsid w:val="00153212"/>
    <w:rsid w:val="00155B12"/>
    <w:rsid w:val="0015693C"/>
    <w:rsid w:val="001604C3"/>
    <w:rsid w:val="00162B7A"/>
    <w:rsid w:val="00162E6A"/>
    <w:rsid w:val="00163BE1"/>
    <w:rsid w:val="00164A24"/>
    <w:rsid w:val="00171179"/>
    <w:rsid w:val="001730CC"/>
    <w:rsid w:val="001752B7"/>
    <w:rsid w:val="001763A8"/>
    <w:rsid w:val="00182D6E"/>
    <w:rsid w:val="00183A47"/>
    <w:rsid w:val="001841DA"/>
    <w:rsid w:val="00190AB2"/>
    <w:rsid w:val="00192A8E"/>
    <w:rsid w:val="0019321C"/>
    <w:rsid w:val="0019354C"/>
    <w:rsid w:val="00194EDE"/>
    <w:rsid w:val="001956F7"/>
    <w:rsid w:val="00196226"/>
    <w:rsid w:val="001A1CDB"/>
    <w:rsid w:val="001B1BF2"/>
    <w:rsid w:val="001C025D"/>
    <w:rsid w:val="001C296E"/>
    <w:rsid w:val="001C41F1"/>
    <w:rsid w:val="001C58E5"/>
    <w:rsid w:val="001D2DA3"/>
    <w:rsid w:val="001D757B"/>
    <w:rsid w:val="001E2232"/>
    <w:rsid w:val="001E4C24"/>
    <w:rsid w:val="001E5269"/>
    <w:rsid w:val="001E6301"/>
    <w:rsid w:val="001E6464"/>
    <w:rsid w:val="001E7CCC"/>
    <w:rsid w:val="001F16E0"/>
    <w:rsid w:val="001F349B"/>
    <w:rsid w:val="001F4184"/>
    <w:rsid w:val="001F6442"/>
    <w:rsid w:val="00200E74"/>
    <w:rsid w:val="002022C8"/>
    <w:rsid w:val="002036CA"/>
    <w:rsid w:val="00204322"/>
    <w:rsid w:val="00204D09"/>
    <w:rsid w:val="00206403"/>
    <w:rsid w:val="00210F71"/>
    <w:rsid w:val="002116B4"/>
    <w:rsid w:val="0021376E"/>
    <w:rsid w:val="00213A16"/>
    <w:rsid w:val="00214083"/>
    <w:rsid w:val="00215B13"/>
    <w:rsid w:val="00220508"/>
    <w:rsid w:val="00221153"/>
    <w:rsid w:val="0022622B"/>
    <w:rsid w:val="0023049C"/>
    <w:rsid w:val="00232460"/>
    <w:rsid w:val="00236435"/>
    <w:rsid w:val="002371D9"/>
    <w:rsid w:val="00241984"/>
    <w:rsid w:val="00245FF5"/>
    <w:rsid w:val="00252D6A"/>
    <w:rsid w:val="002568B8"/>
    <w:rsid w:val="00256E52"/>
    <w:rsid w:val="00261198"/>
    <w:rsid w:val="002643D1"/>
    <w:rsid w:val="00270667"/>
    <w:rsid w:val="002729AA"/>
    <w:rsid w:val="00280EEE"/>
    <w:rsid w:val="0028176B"/>
    <w:rsid w:val="00281F72"/>
    <w:rsid w:val="002875B9"/>
    <w:rsid w:val="002A38AD"/>
    <w:rsid w:val="002A4B5F"/>
    <w:rsid w:val="002A5681"/>
    <w:rsid w:val="002A6FB0"/>
    <w:rsid w:val="002B060E"/>
    <w:rsid w:val="002B0B2D"/>
    <w:rsid w:val="002B2A8E"/>
    <w:rsid w:val="002C1F17"/>
    <w:rsid w:val="002C51D4"/>
    <w:rsid w:val="002C5649"/>
    <w:rsid w:val="002C74D5"/>
    <w:rsid w:val="002D1382"/>
    <w:rsid w:val="002D3ED6"/>
    <w:rsid w:val="002D412D"/>
    <w:rsid w:val="002D52C0"/>
    <w:rsid w:val="002D7A6C"/>
    <w:rsid w:val="002E6F89"/>
    <w:rsid w:val="002F3934"/>
    <w:rsid w:val="002F4C30"/>
    <w:rsid w:val="002F552A"/>
    <w:rsid w:val="002F583B"/>
    <w:rsid w:val="0030146C"/>
    <w:rsid w:val="0030286C"/>
    <w:rsid w:val="00304998"/>
    <w:rsid w:val="0031054C"/>
    <w:rsid w:val="00320A76"/>
    <w:rsid w:val="0032249F"/>
    <w:rsid w:val="00323483"/>
    <w:rsid w:val="00325ED5"/>
    <w:rsid w:val="00326CD0"/>
    <w:rsid w:val="0033152B"/>
    <w:rsid w:val="00332DC9"/>
    <w:rsid w:val="003338DF"/>
    <w:rsid w:val="00333E38"/>
    <w:rsid w:val="003367A0"/>
    <w:rsid w:val="00336C28"/>
    <w:rsid w:val="00337911"/>
    <w:rsid w:val="00341813"/>
    <w:rsid w:val="00342998"/>
    <w:rsid w:val="0034445A"/>
    <w:rsid w:val="00346E48"/>
    <w:rsid w:val="0034734E"/>
    <w:rsid w:val="00350262"/>
    <w:rsid w:val="0035083E"/>
    <w:rsid w:val="00351DFA"/>
    <w:rsid w:val="003557A3"/>
    <w:rsid w:val="003559A3"/>
    <w:rsid w:val="0036475E"/>
    <w:rsid w:val="00365879"/>
    <w:rsid w:val="00365F92"/>
    <w:rsid w:val="00371620"/>
    <w:rsid w:val="00371ED6"/>
    <w:rsid w:val="003806BA"/>
    <w:rsid w:val="003912A3"/>
    <w:rsid w:val="00392856"/>
    <w:rsid w:val="00392B05"/>
    <w:rsid w:val="00393654"/>
    <w:rsid w:val="00393C92"/>
    <w:rsid w:val="003A3582"/>
    <w:rsid w:val="003B03CE"/>
    <w:rsid w:val="003B460D"/>
    <w:rsid w:val="003C4269"/>
    <w:rsid w:val="003C50CB"/>
    <w:rsid w:val="003D4EF0"/>
    <w:rsid w:val="003D58E7"/>
    <w:rsid w:val="003D6311"/>
    <w:rsid w:val="003D6F71"/>
    <w:rsid w:val="003D70F9"/>
    <w:rsid w:val="003E1E55"/>
    <w:rsid w:val="003E42AD"/>
    <w:rsid w:val="003E58E1"/>
    <w:rsid w:val="003F0478"/>
    <w:rsid w:val="003F0DCE"/>
    <w:rsid w:val="003F1247"/>
    <w:rsid w:val="003F2F86"/>
    <w:rsid w:val="004026A5"/>
    <w:rsid w:val="004028DE"/>
    <w:rsid w:val="00404699"/>
    <w:rsid w:val="00406208"/>
    <w:rsid w:val="00407B2E"/>
    <w:rsid w:val="004111D0"/>
    <w:rsid w:val="00417211"/>
    <w:rsid w:val="00420F25"/>
    <w:rsid w:val="00422F22"/>
    <w:rsid w:val="00423B7A"/>
    <w:rsid w:val="0042583C"/>
    <w:rsid w:val="004343F5"/>
    <w:rsid w:val="0043494E"/>
    <w:rsid w:val="004353E5"/>
    <w:rsid w:val="00435D16"/>
    <w:rsid w:val="004369A0"/>
    <w:rsid w:val="00443674"/>
    <w:rsid w:val="00452302"/>
    <w:rsid w:val="00456181"/>
    <w:rsid w:val="00461E36"/>
    <w:rsid w:val="00462FBC"/>
    <w:rsid w:val="004662E6"/>
    <w:rsid w:val="00467455"/>
    <w:rsid w:val="00481559"/>
    <w:rsid w:val="004815A9"/>
    <w:rsid w:val="004869E1"/>
    <w:rsid w:val="00487685"/>
    <w:rsid w:val="00490BCB"/>
    <w:rsid w:val="004941A8"/>
    <w:rsid w:val="00496C3C"/>
    <w:rsid w:val="004A04DF"/>
    <w:rsid w:val="004A0687"/>
    <w:rsid w:val="004A41D7"/>
    <w:rsid w:val="004B3932"/>
    <w:rsid w:val="004B7146"/>
    <w:rsid w:val="004C0DE5"/>
    <w:rsid w:val="004C1115"/>
    <w:rsid w:val="004C30F7"/>
    <w:rsid w:val="004C52F5"/>
    <w:rsid w:val="004C60F6"/>
    <w:rsid w:val="004C7254"/>
    <w:rsid w:val="004C741C"/>
    <w:rsid w:val="004C75B9"/>
    <w:rsid w:val="004D2BD9"/>
    <w:rsid w:val="004D3B38"/>
    <w:rsid w:val="004D5459"/>
    <w:rsid w:val="004D6E92"/>
    <w:rsid w:val="004E2CCB"/>
    <w:rsid w:val="004E37BB"/>
    <w:rsid w:val="004E61F6"/>
    <w:rsid w:val="004E7B7D"/>
    <w:rsid w:val="004F0245"/>
    <w:rsid w:val="004F09AD"/>
    <w:rsid w:val="004F0AF0"/>
    <w:rsid w:val="004F0CD6"/>
    <w:rsid w:val="004F0E05"/>
    <w:rsid w:val="004F18DD"/>
    <w:rsid w:val="004F2751"/>
    <w:rsid w:val="004F7391"/>
    <w:rsid w:val="005006AB"/>
    <w:rsid w:val="0050201A"/>
    <w:rsid w:val="005024D4"/>
    <w:rsid w:val="005057C4"/>
    <w:rsid w:val="00506626"/>
    <w:rsid w:val="0051560F"/>
    <w:rsid w:val="00517CE6"/>
    <w:rsid w:val="005243F1"/>
    <w:rsid w:val="00526891"/>
    <w:rsid w:val="00527DD1"/>
    <w:rsid w:val="00530C18"/>
    <w:rsid w:val="00530D33"/>
    <w:rsid w:val="005315EE"/>
    <w:rsid w:val="00533EB4"/>
    <w:rsid w:val="0053462D"/>
    <w:rsid w:val="00535626"/>
    <w:rsid w:val="005358AD"/>
    <w:rsid w:val="00536D71"/>
    <w:rsid w:val="00542F1B"/>
    <w:rsid w:val="00544584"/>
    <w:rsid w:val="005452AB"/>
    <w:rsid w:val="00547ECA"/>
    <w:rsid w:val="00550F34"/>
    <w:rsid w:val="005542AF"/>
    <w:rsid w:val="005630A5"/>
    <w:rsid w:val="00564AED"/>
    <w:rsid w:val="005651E8"/>
    <w:rsid w:val="00571042"/>
    <w:rsid w:val="0057589C"/>
    <w:rsid w:val="00576D94"/>
    <w:rsid w:val="00580EA8"/>
    <w:rsid w:val="00583D8D"/>
    <w:rsid w:val="00583E2F"/>
    <w:rsid w:val="00585A3E"/>
    <w:rsid w:val="00587529"/>
    <w:rsid w:val="005900E7"/>
    <w:rsid w:val="005903FE"/>
    <w:rsid w:val="00593354"/>
    <w:rsid w:val="005A0EFE"/>
    <w:rsid w:val="005A220B"/>
    <w:rsid w:val="005B0F01"/>
    <w:rsid w:val="005B36D3"/>
    <w:rsid w:val="005B4CB2"/>
    <w:rsid w:val="005C4173"/>
    <w:rsid w:val="005C4176"/>
    <w:rsid w:val="005D4F51"/>
    <w:rsid w:val="005E07F4"/>
    <w:rsid w:val="005E2207"/>
    <w:rsid w:val="005E25B4"/>
    <w:rsid w:val="005E5C74"/>
    <w:rsid w:val="005E6848"/>
    <w:rsid w:val="005E6934"/>
    <w:rsid w:val="005F163C"/>
    <w:rsid w:val="005F5848"/>
    <w:rsid w:val="005F7FCD"/>
    <w:rsid w:val="00603F26"/>
    <w:rsid w:val="00606852"/>
    <w:rsid w:val="006129D1"/>
    <w:rsid w:val="00613FD6"/>
    <w:rsid w:val="006141FA"/>
    <w:rsid w:val="00621D27"/>
    <w:rsid w:val="00623D3C"/>
    <w:rsid w:val="006256C1"/>
    <w:rsid w:val="0062668A"/>
    <w:rsid w:val="00631A36"/>
    <w:rsid w:val="00631A40"/>
    <w:rsid w:val="00637172"/>
    <w:rsid w:val="00640A0A"/>
    <w:rsid w:val="00640FDD"/>
    <w:rsid w:val="0064116A"/>
    <w:rsid w:val="0064334D"/>
    <w:rsid w:val="00643A35"/>
    <w:rsid w:val="00643BDE"/>
    <w:rsid w:val="00654774"/>
    <w:rsid w:val="006562D3"/>
    <w:rsid w:val="00657658"/>
    <w:rsid w:val="00660E10"/>
    <w:rsid w:val="00663903"/>
    <w:rsid w:val="00665EF2"/>
    <w:rsid w:val="00670C9F"/>
    <w:rsid w:val="0067102E"/>
    <w:rsid w:val="006764EF"/>
    <w:rsid w:val="00681F17"/>
    <w:rsid w:val="0068247C"/>
    <w:rsid w:val="00685005"/>
    <w:rsid w:val="006A127E"/>
    <w:rsid w:val="006A2A73"/>
    <w:rsid w:val="006A30CA"/>
    <w:rsid w:val="006B37EA"/>
    <w:rsid w:val="006B63E3"/>
    <w:rsid w:val="006C1070"/>
    <w:rsid w:val="006C169C"/>
    <w:rsid w:val="006C2AE6"/>
    <w:rsid w:val="006C3197"/>
    <w:rsid w:val="006C7F43"/>
    <w:rsid w:val="006D151D"/>
    <w:rsid w:val="006D3B69"/>
    <w:rsid w:val="006E10D0"/>
    <w:rsid w:val="006E3388"/>
    <w:rsid w:val="006E3DAB"/>
    <w:rsid w:val="006F41D9"/>
    <w:rsid w:val="006F4F45"/>
    <w:rsid w:val="00700108"/>
    <w:rsid w:val="00701FFD"/>
    <w:rsid w:val="00702B97"/>
    <w:rsid w:val="00704890"/>
    <w:rsid w:val="007073C4"/>
    <w:rsid w:val="007115D5"/>
    <w:rsid w:val="00717804"/>
    <w:rsid w:val="00721CCB"/>
    <w:rsid w:val="0072256C"/>
    <w:rsid w:val="00723C06"/>
    <w:rsid w:val="00725BE9"/>
    <w:rsid w:val="00726C84"/>
    <w:rsid w:val="0073076F"/>
    <w:rsid w:val="00731E01"/>
    <w:rsid w:val="00732869"/>
    <w:rsid w:val="00735A35"/>
    <w:rsid w:val="00735F4C"/>
    <w:rsid w:val="007366D9"/>
    <w:rsid w:val="00740A46"/>
    <w:rsid w:val="00741E7E"/>
    <w:rsid w:val="00742806"/>
    <w:rsid w:val="00743A4B"/>
    <w:rsid w:val="00747535"/>
    <w:rsid w:val="00750647"/>
    <w:rsid w:val="0075077F"/>
    <w:rsid w:val="00751C12"/>
    <w:rsid w:val="007606EC"/>
    <w:rsid w:val="00761203"/>
    <w:rsid w:val="00764FF4"/>
    <w:rsid w:val="0076564F"/>
    <w:rsid w:val="00775282"/>
    <w:rsid w:val="0077551C"/>
    <w:rsid w:val="007776E5"/>
    <w:rsid w:val="007779F6"/>
    <w:rsid w:val="00777D7B"/>
    <w:rsid w:val="0078162C"/>
    <w:rsid w:val="007828AF"/>
    <w:rsid w:val="00784347"/>
    <w:rsid w:val="007851B7"/>
    <w:rsid w:val="00786157"/>
    <w:rsid w:val="007868D4"/>
    <w:rsid w:val="007936FA"/>
    <w:rsid w:val="00794EF2"/>
    <w:rsid w:val="007A264B"/>
    <w:rsid w:val="007A302F"/>
    <w:rsid w:val="007A42D7"/>
    <w:rsid w:val="007A6700"/>
    <w:rsid w:val="007B3A9D"/>
    <w:rsid w:val="007B4735"/>
    <w:rsid w:val="007B5F11"/>
    <w:rsid w:val="007C00D5"/>
    <w:rsid w:val="007C28FF"/>
    <w:rsid w:val="007C3409"/>
    <w:rsid w:val="007C3995"/>
    <w:rsid w:val="007C3D0E"/>
    <w:rsid w:val="007D44A9"/>
    <w:rsid w:val="007D766A"/>
    <w:rsid w:val="007E2376"/>
    <w:rsid w:val="007E540C"/>
    <w:rsid w:val="007E5AB8"/>
    <w:rsid w:val="007E7816"/>
    <w:rsid w:val="007F5E28"/>
    <w:rsid w:val="008000F3"/>
    <w:rsid w:val="00802026"/>
    <w:rsid w:val="00807102"/>
    <w:rsid w:val="008119C4"/>
    <w:rsid w:val="0081236F"/>
    <w:rsid w:val="0081329B"/>
    <w:rsid w:val="008152B7"/>
    <w:rsid w:val="00817240"/>
    <w:rsid w:val="00817B6B"/>
    <w:rsid w:val="008241BB"/>
    <w:rsid w:val="008252E6"/>
    <w:rsid w:val="0083223D"/>
    <w:rsid w:val="0083242C"/>
    <w:rsid w:val="008357CE"/>
    <w:rsid w:val="008359E9"/>
    <w:rsid w:val="008362CC"/>
    <w:rsid w:val="00840EF0"/>
    <w:rsid w:val="00842CB3"/>
    <w:rsid w:val="008431F8"/>
    <w:rsid w:val="0084476B"/>
    <w:rsid w:val="00850354"/>
    <w:rsid w:val="00855735"/>
    <w:rsid w:val="00856FA2"/>
    <w:rsid w:val="00857F0C"/>
    <w:rsid w:val="008710E9"/>
    <w:rsid w:val="00876BAF"/>
    <w:rsid w:val="00880607"/>
    <w:rsid w:val="0088289F"/>
    <w:rsid w:val="00883D57"/>
    <w:rsid w:val="00885106"/>
    <w:rsid w:val="008865DA"/>
    <w:rsid w:val="00892B88"/>
    <w:rsid w:val="0089413D"/>
    <w:rsid w:val="00894504"/>
    <w:rsid w:val="008949A9"/>
    <w:rsid w:val="00894E05"/>
    <w:rsid w:val="00895410"/>
    <w:rsid w:val="008A24F8"/>
    <w:rsid w:val="008A3B10"/>
    <w:rsid w:val="008A5A1A"/>
    <w:rsid w:val="008B1412"/>
    <w:rsid w:val="008B3602"/>
    <w:rsid w:val="008B4E8C"/>
    <w:rsid w:val="008B76B5"/>
    <w:rsid w:val="008B77AE"/>
    <w:rsid w:val="008C0B9E"/>
    <w:rsid w:val="008C2E48"/>
    <w:rsid w:val="008C3F78"/>
    <w:rsid w:val="008C4AC0"/>
    <w:rsid w:val="008C7261"/>
    <w:rsid w:val="008C72A2"/>
    <w:rsid w:val="008D5AA7"/>
    <w:rsid w:val="008E081D"/>
    <w:rsid w:val="008E0FE3"/>
    <w:rsid w:val="008E7EAE"/>
    <w:rsid w:val="008F2C77"/>
    <w:rsid w:val="008F4511"/>
    <w:rsid w:val="00903B9F"/>
    <w:rsid w:val="00904DAC"/>
    <w:rsid w:val="00905C05"/>
    <w:rsid w:val="00910E67"/>
    <w:rsid w:val="00911692"/>
    <w:rsid w:val="0091325A"/>
    <w:rsid w:val="009244A7"/>
    <w:rsid w:val="00926734"/>
    <w:rsid w:val="009302C6"/>
    <w:rsid w:val="00935135"/>
    <w:rsid w:val="00943E42"/>
    <w:rsid w:val="0094548C"/>
    <w:rsid w:val="00952A5C"/>
    <w:rsid w:val="00960738"/>
    <w:rsid w:val="00960955"/>
    <w:rsid w:val="00964078"/>
    <w:rsid w:val="0096612E"/>
    <w:rsid w:val="009666B6"/>
    <w:rsid w:val="009668C3"/>
    <w:rsid w:val="00970C49"/>
    <w:rsid w:val="009760B9"/>
    <w:rsid w:val="0097651A"/>
    <w:rsid w:val="00976E31"/>
    <w:rsid w:val="00983D60"/>
    <w:rsid w:val="00983F5C"/>
    <w:rsid w:val="0098481F"/>
    <w:rsid w:val="00987200"/>
    <w:rsid w:val="00990497"/>
    <w:rsid w:val="00990C94"/>
    <w:rsid w:val="00991E67"/>
    <w:rsid w:val="009A0733"/>
    <w:rsid w:val="009A36E6"/>
    <w:rsid w:val="009A5486"/>
    <w:rsid w:val="009A5B64"/>
    <w:rsid w:val="009A6DC0"/>
    <w:rsid w:val="009B03D2"/>
    <w:rsid w:val="009B73D9"/>
    <w:rsid w:val="009C08CA"/>
    <w:rsid w:val="009C5DDA"/>
    <w:rsid w:val="009C7CA1"/>
    <w:rsid w:val="009D6463"/>
    <w:rsid w:val="009D67E5"/>
    <w:rsid w:val="009E617C"/>
    <w:rsid w:val="009F2DBF"/>
    <w:rsid w:val="009F33C5"/>
    <w:rsid w:val="009F57C8"/>
    <w:rsid w:val="009F7ECC"/>
    <w:rsid w:val="00A01D85"/>
    <w:rsid w:val="00A02524"/>
    <w:rsid w:val="00A03EFB"/>
    <w:rsid w:val="00A12542"/>
    <w:rsid w:val="00A1373E"/>
    <w:rsid w:val="00A2062D"/>
    <w:rsid w:val="00A2122F"/>
    <w:rsid w:val="00A24D71"/>
    <w:rsid w:val="00A2520B"/>
    <w:rsid w:val="00A2540C"/>
    <w:rsid w:val="00A25457"/>
    <w:rsid w:val="00A25BF9"/>
    <w:rsid w:val="00A30F2F"/>
    <w:rsid w:val="00A31462"/>
    <w:rsid w:val="00A323D0"/>
    <w:rsid w:val="00A345FD"/>
    <w:rsid w:val="00A3529D"/>
    <w:rsid w:val="00A36E2C"/>
    <w:rsid w:val="00A44615"/>
    <w:rsid w:val="00A458A2"/>
    <w:rsid w:val="00A460B1"/>
    <w:rsid w:val="00A47281"/>
    <w:rsid w:val="00A50420"/>
    <w:rsid w:val="00A51234"/>
    <w:rsid w:val="00A55D3B"/>
    <w:rsid w:val="00A56AAB"/>
    <w:rsid w:val="00A56AC6"/>
    <w:rsid w:val="00A570C9"/>
    <w:rsid w:val="00A60ED8"/>
    <w:rsid w:val="00A6649E"/>
    <w:rsid w:val="00A70DAF"/>
    <w:rsid w:val="00A719B4"/>
    <w:rsid w:val="00A7497A"/>
    <w:rsid w:val="00A83F61"/>
    <w:rsid w:val="00A84C6F"/>
    <w:rsid w:val="00A8530A"/>
    <w:rsid w:val="00A853D3"/>
    <w:rsid w:val="00A865BE"/>
    <w:rsid w:val="00A91BA9"/>
    <w:rsid w:val="00AA7460"/>
    <w:rsid w:val="00AB1131"/>
    <w:rsid w:val="00AB13E5"/>
    <w:rsid w:val="00AB436B"/>
    <w:rsid w:val="00AB462E"/>
    <w:rsid w:val="00AB53D9"/>
    <w:rsid w:val="00AB592F"/>
    <w:rsid w:val="00AB7570"/>
    <w:rsid w:val="00AC1EC4"/>
    <w:rsid w:val="00AC36BD"/>
    <w:rsid w:val="00AC5824"/>
    <w:rsid w:val="00AC5F46"/>
    <w:rsid w:val="00AC766F"/>
    <w:rsid w:val="00AC7F54"/>
    <w:rsid w:val="00AD3363"/>
    <w:rsid w:val="00AD4CA6"/>
    <w:rsid w:val="00AE1031"/>
    <w:rsid w:val="00AE1DF3"/>
    <w:rsid w:val="00AE39AF"/>
    <w:rsid w:val="00AE3A55"/>
    <w:rsid w:val="00AE7EBF"/>
    <w:rsid w:val="00AF01CC"/>
    <w:rsid w:val="00B002D7"/>
    <w:rsid w:val="00B06E7A"/>
    <w:rsid w:val="00B1141C"/>
    <w:rsid w:val="00B11E54"/>
    <w:rsid w:val="00B1298D"/>
    <w:rsid w:val="00B138EB"/>
    <w:rsid w:val="00B1390F"/>
    <w:rsid w:val="00B14BF6"/>
    <w:rsid w:val="00B169D7"/>
    <w:rsid w:val="00B17F4E"/>
    <w:rsid w:val="00B221F7"/>
    <w:rsid w:val="00B31310"/>
    <w:rsid w:val="00B33207"/>
    <w:rsid w:val="00B3575F"/>
    <w:rsid w:val="00B45439"/>
    <w:rsid w:val="00B470A7"/>
    <w:rsid w:val="00B52225"/>
    <w:rsid w:val="00B5347A"/>
    <w:rsid w:val="00B67AF8"/>
    <w:rsid w:val="00B71D6C"/>
    <w:rsid w:val="00B762BA"/>
    <w:rsid w:val="00B772D1"/>
    <w:rsid w:val="00B801AE"/>
    <w:rsid w:val="00B86A77"/>
    <w:rsid w:val="00B90AD4"/>
    <w:rsid w:val="00B96CB1"/>
    <w:rsid w:val="00B96DF5"/>
    <w:rsid w:val="00B973E6"/>
    <w:rsid w:val="00BA0399"/>
    <w:rsid w:val="00BA1278"/>
    <w:rsid w:val="00BA205B"/>
    <w:rsid w:val="00BA4597"/>
    <w:rsid w:val="00BA4DF7"/>
    <w:rsid w:val="00BA55DB"/>
    <w:rsid w:val="00BA620C"/>
    <w:rsid w:val="00BA76EC"/>
    <w:rsid w:val="00BB6094"/>
    <w:rsid w:val="00BB62CB"/>
    <w:rsid w:val="00BC1CA1"/>
    <w:rsid w:val="00BC3DE8"/>
    <w:rsid w:val="00BC73F8"/>
    <w:rsid w:val="00BD67A8"/>
    <w:rsid w:val="00BE0157"/>
    <w:rsid w:val="00BE25B5"/>
    <w:rsid w:val="00BE6D07"/>
    <w:rsid w:val="00BF44F0"/>
    <w:rsid w:val="00BF56DF"/>
    <w:rsid w:val="00BF5FDC"/>
    <w:rsid w:val="00C008EF"/>
    <w:rsid w:val="00C06892"/>
    <w:rsid w:val="00C07766"/>
    <w:rsid w:val="00C10A8E"/>
    <w:rsid w:val="00C1697C"/>
    <w:rsid w:val="00C200D9"/>
    <w:rsid w:val="00C20E0B"/>
    <w:rsid w:val="00C228C8"/>
    <w:rsid w:val="00C24536"/>
    <w:rsid w:val="00C279E3"/>
    <w:rsid w:val="00C27F46"/>
    <w:rsid w:val="00C3398A"/>
    <w:rsid w:val="00C4307C"/>
    <w:rsid w:val="00C43617"/>
    <w:rsid w:val="00C45B3B"/>
    <w:rsid w:val="00C46C6A"/>
    <w:rsid w:val="00C5184C"/>
    <w:rsid w:val="00C54ACA"/>
    <w:rsid w:val="00C55A76"/>
    <w:rsid w:val="00C56A04"/>
    <w:rsid w:val="00C604BA"/>
    <w:rsid w:val="00C60B65"/>
    <w:rsid w:val="00C62DBE"/>
    <w:rsid w:val="00C66C59"/>
    <w:rsid w:val="00C71EC7"/>
    <w:rsid w:val="00C748FE"/>
    <w:rsid w:val="00C8195B"/>
    <w:rsid w:val="00C84358"/>
    <w:rsid w:val="00C86E48"/>
    <w:rsid w:val="00C90BEE"/>
    <w:rsid w:val="00C92B16"/>
    <w:rsid w:val="00C930EC"/>
    <w:rsid w:val="00CA561F"/>
    <w:rsid w:val="00CA5856"/>
    <w:rsid w:val="00CA5A5C"/>
    <w:rsid w:val="00CA6AEF"/>
    <w:rsid w:val="00CB1B75"/>
    <w:rsid w:val="00CB1FF1"/>
    <w:rsid w:val="00CB239C"/>
    <w:rsid w:val="00CB5B20"/>
    <w:rsid w:val="00CB6C3D"/>
    <w:rsid w:val="00CC029C"/>
    <w:rsid w:val="00CC19F1"/>
    <w:rsid w:val="00CC339C"/>
    <w:rsid w:val="00CD3584"/>
    <w:rsid w:val="00CE4E28"/>
    <w:rsid w:val="00CF106B"/>
    <w:rsid w:val="00CF106C"/>
    <w:rsid w:val="00CF2991"/>
    <w:rsid w:val="00D04680"/>
    <w:rsid w:val="00D04ECE"/>
    <w:rsid w:val="00D05F7E"/>
    <w:rsid w:val="00D07E31"/>
    <w:rsid w:val="00D14212"/>
    <w:rsid w:val="00D16C21"/>
    <w:rsid w:val="00D20850"/>
    <w:rsid w:val="00D219F5"/>
    <w:rsid w:val="00D222ED"/>
    <w:rsid w:val="00D2601B"/>
    <w:rsid w:val="00D2704A"/>
    <w:rsid w:val="00D31D14"/>
    <w:rsid w:val="00D32142"/>
    <w:rsid w:val="00D3340B"/>
    <w:rsid w:val="00D33ED3"/>
    <w:rsid w:val="00D35B3F"/>
    <w:rsid w:val="00D36933"/>
    <w:rsid w:val="00D373DB"/>
    <w:rsid w:val="00D43EEE"/>
    <w:rsid w:val="00D451B6"/>
    <w:rsid w:val="00D54CAE"/>
    <w:rsid w:val="00D6005A"/>
    <w:rsid w:val="00D63247"/>
    <w:rsid w:val="00D6639B"/>
    <w:rsid w:val="00D6746F"/>
    <w:rsid w:val="00D676C0"/>
    <w:rsid w:val="00D67F5F"/>
    <w:rsid w:val="00D713DE"/>
    <w:rsid w:val="00D714EF"/>
    <w:rsid w:val="00D83EE1"/>
    <w:rsid w:val="00D853C1"/>
    <w:rsid w:val="00D85924"/>
    <w:rsid w:val="00D85B8F"/>
    <w:rsid w:val="00DA391A"/>
    <w:rsid w:val="00DA5637"/>
    <w:rsid w:val="00DA715B"/>
    <w:rsid w:val="00DA750C"/>
    <w:rsid w:val="00DA7A4D"/>
    <w:rsid w:val="00DB1501"/>
    <w:rsid w:val="00DB643E"/>
    <w:rsid w:val="00DC04CB"/>
    <w:rsid w:val="00DC09E8"/>
    <w:rsid w:val="00DC15EE"/>
    <w:rsid w:val="00DC3D4B"/>
    <w:rsid w:val="00DC4F3C"/>
    <w:rsid w:val="00DC4FCB"/>
    <w:rsid w:val="00DD1511"/>
    <w:rsid w:val="00DD1590"/>
    <w:rsid w:val="00DD6231"/>
    <w:rsid w:val="00DE210D"/>
    <w:rsid w:val="00DE3A0E"/>
    <w:rsid w:val="00DE492B"/>
    <w:rsid w:val="00DE532B"/>
    <w:rsid w:val="00DE6E14"/>
    <w:rsid w:val="00DF063E"/>
    <w:rsid w:val="00DF172D"/>
    <w:rsid w:val="00DF6D13"/>
    <w:rsid w:val="00E01EF1"/>
    <w:rsid w:val="00E024EC"/>
    <w:rsid w:val="00E04294"/>
    <w:rsid w:val="00E11907"/>
    <w:rsid w:val="00E13762"/>
    <w:rsid w:val="00E13973"/>
    <w:rsid w:val="00E15D77"/>
    <w:rsid w:val="00E1705B"/>
    <w:rsid w:val="00E171F2"/>
    <w:rsid w:val="00E17DAE"/>
    <w:rsid w:val="00E20AE6"/>
    <w:rsid w:val="00E222D9"/>
    <w:rsid w:val="00E22BC3"/>
    <w:rsid w:val="00E254E5"/>
    <w:rsid w:val="00E34CCF"/>
    <w:rsid w:val="00E413E2"/>
    <w:rsid w:val="00E44CF5"/>
    <w:rsid w:val="00E46AC6"/>
    <w:rsid w:val="00E4720A"/>
    <w:rsid w:val="00E502B1"/>
    <w:rsid w:val="00E50370"/>
    <w:rsid w:val="00E574A6"/>
    <w:rsid w:val="00E6185E"/>
    <w:rsid w:val="00E61921"/>
    <w:rsid w:val="00E630BA"/>
    <w:rsid w:val="00E65484"/>
    <w:rsid w:val="00E704FC"/>
    <w:rsid w:val="00E71601"/>
    <w:rsid w:val="00E717D3"/>
    <w:rsid w:val="00E726C3"/>
    <w:rsid w:val="00E73241"/>
    <w:rsid w:val="00E750EB"/>
    <w:rsid w:val="00E768BC"/>
    <w:rsid w:val="00E769E4"/>
    <w:rsid w:val="00E7742E"/>
    <w:rsid w:val="00E83276"/>
    <w:rsid w:val="00E85CC8"/>
    <w:rsid w:val="00E87448"/>
    <w:rsid w:val="00E90B47"/>
    <w:rsid w:val="00E94C1D"/>
    <w:rsid w:val="00E96F2B"/>
    <w:rsid w:val="00E97C35"/>
    <w:rsid w:val="00EA374D"/>
    <w:rsid w:val="00EA39BB"/>
    <w:rsid w:val="00EA3EA5"/>
    <w:rsid w:val="00EA580B"/>
    <w:rsid w:val="00EB7FD4"/>
    <w:rsid w:val="00EC3916"/>
    <w:rsid w:val="00EC3C7F"/>
    <w:rsid w:val="00EC542E"/>
    <w:rsid w:val="00EC54D6"/>
    <w:rsid w:val="00ED097F"/>
    <w:rsid w:val="00ED0F6A"/>
    <w:rsid w:val="00ED1A9B"/>
    <w:rsid w:val="00ED4515"/>
    <w:rsid w:val="00EE5C19"/>
    <w:rsid w:val="00EF0E6D"/>
    <w:rsid w:val="00F02B7C"/>
    <w:rsid w:val="00F063F2"/>
    <w:rsid w:val="00F06DEA"/>
    <w:rsid w:val="00F12AEA"/>
    <w:rsid w:val="00F1520C"/>
    <w:rsid w:val="00F2023B"/>
    <w:rsid w:val="00F21FBC"/>
    <w:rsid w:val="00F242F4"/>
    <w:rsid w:val="00F24D77"/>
    <w:rsid w:val="00F2754B"/>
    <w:rsid w:val="00F27790"/>
    <w:rsid w:val="00F30627"/>
    <w:rsid w:val="00F32284"/>
    <w:rsid w:val="00F33D0E"/>
    <w:rsid w:val="00F3441C"/>
    <w:rsid w:val="00F36773"/>
    <w:rsid w:val="00F37E29"/>
    <w:rsid w:val="00F4288E"/>
    <w:rsid w:val="00F438E0"/>
    <w:rsid w:val="00F4723E"/>
    <w:rsid w:val="00F513E2"/>
    <w:rsid w:val="00F55802"/>
    <w:rsid w:val="00F57AD6"/>
    <w:rsid w:val="00F60112"/>
    <w:rsid w:val="00F60EB1"/>
    <w:rsid w:val="00F61000"/>
    <w:rsid w:val="00F62B63"/>
    <w:rsid w:val="00F6726B"/>
    <w:rsid w:val="00F6751B"/>
    <w:rsid w:val="00F700E1"/>
    <w:rsid w:val="00F71E60"/>
    <w:rsid w:val="00F76436"/>
    <w:rsid w:val="00F82FC6"/>
    <w:rsid w:val="00F832F4"/>
    <w:rsid w:val="00F855B4"/>
    <w:rsid w:val="00F872AC"/>
    <w:rsid w:val="00F915F7"/>
    <w:rsid w:val="00F93E40"/>
    <w:rsid w:val="00F95B00"/>
    <w:rsid w:val="00FA0430"/>
    <w:rsid w:val="00FA1755"/>
    <w:rsid w:val="00FA5F08"/>
    <w:rsid w:val="00FA6128"/>
    <w:rsid w:val="00FB00F2"/>
    <w:rsid w:val="00FB0F01"/>
    <w:rsid w:val="00FB2557"/>
    <w:rsid w:val="00FB2C53"/>
    <w:rsid w:val="00FB4BA0"/>
    <w:rsid w:val="00FB54E6"/>
    <w:rsid w:val="00FB6FEB"/>
    <w:rsid w:val="00FB7CE8"/>
    <w:rsid w:val="00FC1C54"/>
    <w:rsid w:val="00FC2572"/>
    <w:rsid w:val="00FC32FC"/>
    <w:rsid w:val="00FC5EDE"/>
    <w:rsid w:val="00FC7433"/>
    <w:rsid w:val="00FC7E1F"/>
    <w:rsid w:val="00FD098A"/>
    <w:rsid w:val="00FD1543"/>
    <w:rsid w:val="00FD3373"/>
    <w:rsid w:val="00FD3642"/>
    <w:rsid w:val="00FD3711"/>
    <w:rsid w:val="00FD40A3"/>
    <w:rsid w:val="00FD5C53"/>
    <w:rsid w:val="00FF6CEF"/>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B762BA"/>
    <w:pPr>
      <w:tabs>
        <w:tab w:val="left" w:pos="1440"/>
      </w:tabs>
      <w:ind w:left="360"/>
      <w:jc w:val="both"/>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link w:val="FootnoteText"/>
    <w:semiHidden/>
    <w:rsid w:val="0083242C"/>
  </w:style>
  <w:style w:type="paragraph" w:styleId="ListParagraph">
    <w:name w:val="List Paragraph"/>
    <w:basedOn w:val="Normal"/>
    <w:uiPriority w:val="34"/>
    <w:qFormat/>
    <w:rsid w:val="0083242C"/>
    <w:pPr>
      <w:spacing w:after="200" w:line="276" w:lineRule="auto"/>
      <w:ind w:left="720"/>
      <w:contextualSpacing/>
    </w:pPr>
    <w:rPr>
      <w:rFonts w:ascii="Calibri" w:eastAsia="Calibri" w:hAnsi="Calibri"/>
      <w:szCs w:val="22"/>
    </w:rPr>
  </w:style>
  <w:style w:type="character" w:customStyle="1" w:styleId="ssleftalign2">
    <w:name w:val="ss_leftalign2"/>
    <w:rsid w:val="006562D3"/>
  </w:style>
  <w:style w:type="character" w:customStyle="1" w:styleId="emphi">
    <w:name w:val="emphi"/>
    <w:basedOn w:val="DefaultParagraphFont"/>
    <w:rsid w:val="008B77AE"/>
  </w:style>
  <w:style w:type="character" w:customStyle="1" w:styleId="apple-converted-space">
    <w:name w:val="apple-converted-space"/>
    <w:basedOn w:val="DefaultParagraphFont"/>
    <w:rsid w:val="008B7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B762BA"/>
    <w:pPr>
      <w:tabs>
        <w:tab w:val="left" w:pos="1440"/>
      </w:tabs>
      <w:ind w:left="360"/>
      <w:jc w:val="both"/>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link w:val="FootnoteText"/>
    <w:semiHidden/>
    <w:rsid w:val="0083242C"/>
  </w:style>
  <w:style w:type="paragraph" w:styleId="ListParagraph">
    <w:name w:val="List Paragraph"/>
    <w:basedOn w:val="Normal"/>
    <w:uiPriority w:val="34"/>
    <w:qFormat/>
    <w:rsid w:val="0083242C"/>
    <w:pPr>
      <w:spacing w:after="200" w:line="276" w:lineRule="auto"/>
      <w:ind w:left="720"/>
      <w:contextualSpacing/>
    </w:pPr>
    <w:rPr>
      <w:rFonts w:ascii="Calibri" w:eastAsia="Calibri" w:hAnsi="Calibri"/>
      <w:szCs w:val="22"/>
    </w:rPr>
  </w:style>
  <w:style w:type="character" w:customStyle="1" w:styleId="ssleftalign2">
    <w:name w:val="ss_leftalign2"/>
    <w:rsid w:val="006562D3"/>
  </w:style>
  <w:style w:type="character" w:customStyle="1" w:styleId="emphi">
    <w:name w:val="emphi"/>
    <w:basedOn w:val="DefaultParagraphFont"/>
    <w:rsid w:val="008B77AE"/>
  </w:style>
  <w:style w:type="character" w:customStyle="1" w:styleId="apple-converted-space">
    <w:name w:val="apple-converted-space"/>
    <w:basedOn w:val="DefaultParagraphFont"/>
    <w:rsid w:val="008B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6173">
      <w:bodyDiv w:val="1"/>
      <w:marLeft w:val="0"/>
      <w:marRight w:val="0"/>
      <w:marTop w:val="0"/>
      <w:marBottom w:val="0"/>
      <w:divBdr>
        <w:top w:val="none" w:sz="0" w:space="0" w:color="auto"/>
        <w:left w:val="none" w:sz="0" w:space="0" w:color="auto"/>
        <w:bottom w:val="none" w:sz="0" w:space="0" w:color="auto"/>
        <w:right w:val="none" w:sz="0" w:space="0" w:color="auto"/>
      </w:divBdr>
      <w:divsChild>
        <w:div w:id="741412368">
          <w:marLeft w:val="0"/>
          <w:marRight w:val="0"/>
          <w:marTop w:val="0"/>
          <w:marBottom w:val="0"/>
          <w:divBdr>
            <w:top w:val="none" w:sz="0" w:space="0" w:color="auto"/>
            <w:left w:val="single" w:sz="6" w:space="0" w:color="BBBBBB"/>
            <w:bottom w:val="single" w:sz="6" w:space="0" w:color="BBBBBB"/>
            <w:right w:val="single" w:sz="6" w:space="0" w:color="BBBBBB"/>
          </w:divBdr>
          <w:divsChild>
            <w:div w:id="1320883443">
              <w:marLeft w:val="0"/>
              <w:marRight w:val="0"/>
              <w:marTop w:val="0"/>
              <w:marBottom w:val="0"/>
              <w:divBdr>
                <w:top w:val="none" w:sz="0" w:space="0" w:color="auto"/>
                <w:left w:val="none" w:sz="0" w:space="0" w:color="auto"/>
                <w:bottom w:val="none" w:sz="0" w:space="0" w:color="auto"/>
                <w:right w:val="none" w:sz="0" w:space="0" w:color="auto"/>
              </w:divBdr>
              <w:divsChild>
                <w:div w:id="836459311">
                  <w:marLeft w:val="0"/>
                  <w:marRight w:val="0"/>
                  <w:marTop w:val="0"/>
                  <w:marBottom w:val="0"/>
                  <w:divBdr>
                    <w:top w:val="none" w:sz="0" w:space="0" w:color="auto"/>
                    <w:left w:val="none" w:sz="0" w:space="0" w:color="auto"/>
                    <w:bottom w:val="none" w:sz="0" w:space="0" w:color="auto"/>
                    <w:right w:val="none" w:sz="0" w:space="0" w:color="auto"/>
                  </w:divBdr>
                  <w:divsChild>
                    <w:div w:id="295768840">
                      <w:marLeft w:val="0"/>
                      <w:marRight w:val="0"/>
                      <w:marTop w:val="0"/>
                      <w:marBottom w:val="0"/>
                      <w:divBdr>
                        <w:top w:val="none" w:sz="0" w:space="0" w:color="auto"/>
                        <w:left w:val="none" w:sz="0" w:space="0" w:color="auto"/>
                        <w:bottom w:val="none" w:sz="0" w:space="0" w:color="auto"/>
                        <w:right w:val="none" w:sz="0" w:space="0" w:color="auto"/>
                      </w:divBdr>
                      <w:divsChild>
                        <w:div w:id="1295060770">
                          <w:marLeft w:val="0"/>
                          <w:marRight w:val="0"/>
                          <w:marTop w:val="0"/>
                          <w:marBottom w:val="0"/>
                          <w:divBdr>
                            <w:top w:val="none" w:sz="0" w:space="0" w:color="auto"/>
                            <w:left w:val="none" w:sz="0" w:space="0" w:color="auto"/>
                            <w:bottom w:val="none" w:sz="0" w:space="0" w:color="auto"/>
                            <w:right w:val="none" w:sz="0" w:space="0" w:color="auto"/>
                          </w:divBdr>
                          <w:divsChild>
                            <w:div w:id="637611170">
                              <w:marLeft w:val="0"/>
                              <w:marRight w:val="0"/>
                              <w:marTop w:val="0"/>
                              <w:marBottom w:val="0"/>
                              <w:divBdr>
                                <w:top w:val="none" w:sz="0" w:space="0" w:color="auto"/>
                                <w:left w:val="none" w:sz="0" w:space="0" w:color="auto"/>
                                <w:bottom w:val="none" w:sz="0" w:space="0" w:color="auto"/>
                                <w:right w:val="none" w:sz="0" w:space="0" w:color="auto"/>
                              </w:divBdr>
                              <w:divsChild>
                                <w:div w:id="509873187">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277638769">
                                          <w:marLeft w:val="1200"/>
                                          <w:marRight w:val="1200"/>
                                          <w:marTop w:val="0"/>
                                          <w:marBottom w:val="0"/>
                                          <w:divBdr>
                                            <w:top w:val="none" w:sz="0" w:space="0" w:color="auto"/>
                                            <w:left w:val="none" w:sz="0" w:space="0" w:color="auto"/>
                                            <w:bottom w:val="none" w:sz="0" w:space="0" w:color="auto"/>
                                            <w:right w:val="none" w:sz="0" w:space="0" w:color="auto"/>
                                          </w:divBdr>
                                          <w:divsChild>
                                            <w:div w:id="266156597">
                                              <w:marLeft w:val="0"/>
                                              <w:marRight w:val="0"/>
                                              <w:marTop w:val="0"/>
                                              <w:marBottom w:val="0"/>
                                              <w:divBdr>
                                                <w:top w:val="none" w:sz="0" w:space="0" w:color="auto"/>
                                                <w:left w:val="none" w:sz="0" w:space="0" w:color="auto"/>
                                                <w:bottom w:val="none" w:sz="0" w:space="0" w:color="auto"/>
                                                <w:right w:val="none" w:sz="0" w:space="0" w:color="auto"/>
                                              </w:divBdr>
                                              <w:divsChild>
                                                <w:div w:id="566771430">
                                                  <w:marLeft w:val="0"/>
                                                  <w:marRight w:val="0"/>
                                                  <w:marTop w:val="0"/>
                                                  <w:marBottom w:val="0"/>
                                                  <w:divBdr>
                                                    <w:top w:val="single" w:sz="6" w:space="5" w:color="D6D6D6"/>
                                                    <w:left w:val="none" w:sz="0" w:space="0" w:color="auto"/>
                                                    <w:bottom w:val="none" w:sz="0" w:space="0" w:color="auto"/>
                                                    <w:right w:val="none" w:sz="0" w:space="0" w:color="auto"/>
                                                  </w:divBdr>
                                                  <w:divsChild>
                                                    <w:div w:id="1682078646">
                                                      <w:marLeft w:val="0"/>
                                                      <w:marRight w:val="0"/>
                                                      <w:marTop w:val="0"/>
                                                      <w:marBottom w:val="0"/>
                                                      <w:divBdr>
                                                        <w:top w:val="none" w:sz="0" w:space="0" w:color="auto"/>
                                                        <w:left w:val="none" w:sz="0" w:space="0" w:color="auto"/>
                                                        <w:bottom w:val="none" w:sz="0" w:space="0" w:color="auto"/>
                                                        <w:right w:val="none" w:sz="0" w:space="0" w:color="auto"/>
                                                      </w:divBdr>
                                                      <w:divsChild>
                                                        <w:div w:id="2129082107">
                                                          <w:marLeft w:val="0"/>
                                                          <w:marRight w:val="0"/>
                                                          <w:marTop w:val="0"/>
                                                          <w:marBottom w:val="0"/>
                                                          <w:divBdr>
                                                            <w:top w:val="none" w:sz="0" w:space="0" w:color="auto"/>
                                                            <w:left w:val="none" w:sz="0" w:space="0" w:color="auto"/>
                                                            <w:bottom w:val="none" w:sz="0" w:space="0" w:color="auto"/>
                                                            <w:right w:val="none" w:sz="0" w:space="0" w:color="auto"/>
                                                          </w:divBdr>
                                                          <w:divsChild>
                                                            <w:div w:id="1702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next.westlaw.com/Link/Document/FullText?findType=L&amp;pubNum=1000546&amp;cite=47USCAS543&amp;originationContext=document&amp;transitionType=DocumentItem&amp;contextData=(sc.UserEnteredCitation)" TargetMode="External"/><Relationship Id="rId2" Type="http://schemas.openxmlformats.org/officeDocument/2006/relationships/hyperlink" Target="http://telecomlaw.bna.com/terc/display/link_res.adp?fedfid=18900079&amp;fname=fccrcd_23_17012&amp;vname=comrgdec" TargetMode="External"/><Relationship Id="rId1" Type="http://schemas.openxmlformats.org/officeDocument/2006/relationships/hyperlink" Target="http://telecomlaw.bna.com/terc/display/link_res.adp?fedfid=18900079&amp;fname=fccrcd_23_14141&amp;vname=comrgd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1819</Words>
  <Characters>10441</Characters>
  <Application>Microsoft Office Word</Application>
  <DocSecurity>0</DocSecurity>
  <Lines>220</Lines>
  <Paragraphs>92</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12301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2016-02-29T20:48:00Z</cp:lastPrinted>
  <dcterms:created xsi:type="dcterms:W3CDTF">2016-03-01T17:37:00Z</dcterms:created>
  <dcterms:modified xsi:type="dcterms:W3CDTF">2016-03-01T17:37:00Z</dcterms:modified>
  <cp:category> </cp:category>
  <cp:contentStatus> </cp:contentStatus>
</cp:coreProperties>
</file>